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133350</wp:posOffset>
            </wp:positionH>
            <wp:positionV relativeFrom="paragraph">
              <wp:posOffset>213995</wp:posOffset>
            </wp:positionV>
            <wp:extent cx="69894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89445" cy="8255"/>
                    </a:xfrm>
                    <a:prstGeom prst="rect">
                      <a:avLst/>
                    </a:prstGeom>
                    <a:noFill/>
                  </pic:spPr>
                </pic:pic>
              </a:graphicData>
            </a:graphic>
          </wp:anchor>
        </w:drawing>
        <w:drawing>
          <wp:anchor simplePos="0" relativeHeight="251657728" behindDoc="1" locked="0" layoutInCell="0" allowOverlap="1">
            <wp:simplePos x="0" y="0"/>
            <wp:positionH relativeFrom="column">
              <wp:posOffset>133350</wp:posOffset>
            </wp:positionH>
            <wp:positionV relativeFrom="paragraph">
              <wp:posOffset>256540</wp:posOffset>
            </wp:positionV>
            <wp:extent cx="69894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00" w:lineRule="exact"/>
        <w:rPr>
          <w:sz w:val="24"/>
          <w:szCs w:val="24"/>
          <w:color w:val="auto"/>
        </w:rPr>
      </w:pPr>
    </w:p>
    <w:p>
      <w:pPr>
        <w:spacing w:after="0" w:line="355" w:lineRule="exact"/>
        <w:rPr>
          <w:sz w:val="24"/>
          <w:szCs w:val="24"/>
          <w:color w:val="auto"/>
        </w:rPr>
      </w:pPr>
    </w:p>
    <w:p>
      <w:pPr>
        <w:jc w:val="center"/>
        <w:ind w:right="-259"/>
        <w:spacing w:after="0"/>
        <w:rPr>
          <w:sz w:val="20"/>
          <w:szCs w:val="20"/>
          <w:color w:val="auto"/>
        </w:rPr>
      </w:pPr>
      <w:r>
        <w:rPr>
          <w:rFonts w:ascii="Arial" w:cs="Arial" w:eastAsia="Arial" w:hAnsi="Arial"/>
          <w:sz w:val="23"/>
          <w:szCs w:val="23"/>
          <w:b w:val="1"/>
          <w:bCs w:val="1"/>
          <w:color w:val="auto"/>
        </w:rPr>
        <w:t>UNITED STATES</w:t>
      </w:r>
    </w:p>
    <w:p>
      <w:pPr>
        <w:spacing w:after="0" w:line="31" w:lineRule="exact"/>
        <w:rPr>
          <w:sz w:val="24"/>
          <w:szCs w:val="24"/>
          <w:color w:val="auto"/>
        </w:rPr>
      </w:pPr>
    </w:p>
    <w:p>
      <w:pPr>
        <w:jc w:val="center"/>
        <w:ind w:right="-259"/>
        <w:spacing w:after="0"/>
        <w:rPr>
          <w:sz w:val="20"/>
          <w:szCs w:val="20"/>
          <w:color w:val="auto"/>
        </w:rPr>
      </w:pPr>
      <w:r>
        <w:rPr>
          <w:rFonts w:ascii="Arial" w:cs="Arial" w:eastAsia="Arial" w:hAnsi="Arial"/>
          <w:sz w:val="23"/>
          <w:szCs w:val="23"/>
          <w:b w:val="1"/>
          <w:bCs w:val="1"/>
          <w:color w:val="auto"/>
        </w:rPr>
        <w:t>SECURITIES AND EXCHANGE COMMISSION</w:t>
      </w:r>
    </w:p>
    <w:p>
      <w:pPr>
        <w:spacing w:after="0" w:line="10" w:lineRule="exact"/>
        <w:rPr>
          <w:sz w:val="24"/>
          <w:szCs w:val="24"/>
          <w:color w:val="auto"/>
        </w:rPr>
      </w:pPr>
    </w:p>
    <w:p>
      <w:pPr>
        <w:jc w:val="center"/>
        <w:ind w:right="-259"/>
        <w:spacing w:after="0"/>
        <w:rPr>
          <w:sz w:val="20"/>
          <w:szCs w:val="20"/>
          <w:color w:val="auto"/>
        </w:rPr>
      </w:pPr>
      <w:r>
        <w:rPr>
          <w:rFonts w:ascii="Arial" w:cs="Arial" w:eastAsia="Arial" w:hAnsi="Arial"/>
          <w:sz w:val="20"/>
          <w:szCs w:val="20"/>
          <w:b w:val="1"/>
          <w:bCs w:val="1"/>
          <w:color w:val="auto"/>
        </w:rPr>
        <w:t>Washington, D.C. 20549</w:t>
      </w:r>
    </w:p>
    <w:p>
      <w:pPr>
        <w:spacing w:after="0" w:line="400" w:lineRule="exact"/>
        <w:rPr>
          <w:sz w:val="24"/>
          <w:szCs w:val="24"/>
          <w:color w:val="auto"/>
        </w:rPr>
      </w:pPr>
    </w:p>
    <w:p>
      <w:pPr>
        <w:jc w:val="center"/>
        <w:ind w:right="-259"/>
        <w:spacing w:after="0"/>
        <w:rPr>
          <w:sz w:val="20"/>
          <w:szCs w:val="20"/>
          <w:color w:val="auto"/>
        </w:rPr>
      </w:pPr>
      <w:r>
        <w:rPr>
          <w:rFonts w:ascii="Arial" w:cs="Arial" w:eastAsia="Arial" w:hAnsi="Arial"/>
          <w:sz w:val="29"/>
          <w:szCs w:val="29"/>
          <w:b w:val="1"/>
          <w:bCs w:val="1"/>
          <w:color w:val="auto"/>
        </w:rPr>
        <w:t>SCHEDULE 14A</w:t>
      </w:r>
    </w:p>
    <w:p>
      <w:pPr>
        <w:spacing w:after="0" w:line="32"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(Rule 14a-101)</w:t>
      </w:r>
    </w:p>
    <w:p>
      <w:pPr>
        <w:spacing w:after="0" w:line="200" w:lineRule="exact"/>
        <w:rPr>
          <w:sz w:val="24"/>
          <w:szCs w:val="24"/>
          <w:color w:val="auto"/>
        </w:rPr>
      </w:pPr>
    </w:p>
    <w:p>
      <w:pPr>
        <w:spacing w:after="0" w:line="202" w:lineRule="exact"/>
        <w:rPr>
          <w:sz w:val="24"/>
          <w:szCs w:val="24"/>
          <w:color w:val="auto"/>
        </w:rPr>
      </w:pPr>
    </w:p>
    <w:p>
      <w:pPr>
        <w:ind w:left="3280"/>
        <w:spacing w:after="0"/>
        <w:rPr>
          <w:sz w:val="20"/>
          <w:szCs w:val="20"/>
          <w:color w:val="auto"/>
        </w:rPr>
      </w:pPr>
      <w:r>
        <w:rPr>
          <w:rFonts w:ascii="Arial" w:cs="Arial" w:eastAsia="Arial" w:hAnsi="Arial"/>
          <w:sz w:val="20"/>
          <w:szCs w:val="20"/>
          <w:b w:val="1"/>
          <w:bCs w:val="1"/>
          <w:color w:val="auto"/>
        </w:rPr>
        <w:t>INFORMATION REQUIRED IN PROXY STATEMENT</w:t>
      </w:r>
    </w:p>
    <w:p>
      <w:pPr>
        <w:spacing w:after="0" w:line="107" w:lineRule="exact"/>
        <w:rPr>
          <w:sz w:val="24"/>
          <w:szCs w:val="24"/>
          <w:color w:val="auto"/>
        </w:rPr>
      </w:pPr>
    </w:p>
    <w:p>
      <w:pPr>
        <w:ind w:left="4220"/>
        <w:spacing w:after="0"/>
        <w:rPr>
          <w:sz w:val="20"/>
          <w:szCs w:val="20"/>
          <w:color w:val="auto"/>
        </w:rPr>
      </w:pPr>
      <w:r>
        <w:rPr>
          <w:rFonts w:ascii="Arial" w:cs="Arial" w:eastAsia="Arial" w:hAnsi="Arial"/>
          <w:sz w:val="20"/>
          <w:szCs w:val="20"/>
          <w:b w:val="1"/>
          <w:bCs w:val="1"/>
          <w:color w:val="auto"/>
        </w:rPr>
        <w:t>SCHEDULE 14A INFORMATION</w:t>
      </w:r>
    </w:p>
    <w:p>
      <w:pPr>
        <w:spacing w:after="0" w:line="107" w:lineRule="exact"/>
        <w:rPr>
          <w:sz w:val="24"/>
          <w:szCs w:val="24"/>
          <w:color w:val="auto"/>
        </w:rPr>
      </w:pPr>
    </w:p>
    <w:p>
      <w:pPr>
        <w:ind w:left="2900"/>
        <w:spacing w:after="0"/>
        <w:rPr>
          <w:sz w:val="20"/>
          <w:szCs w:val="20"/>
          <w:color w:val="auto"/>
        </w:rPr>
      </w:pPr>
      <w:r>
        <w:rPr>
          <w:rFonts w:ascii="Arial" w:cs="Arial" w:eastAsia="Arial" w:hAnsi="Arial"/>
          <w:sz w:val="20"/>
          <w:szCs w:val="20"/>
          <w:b w:val="1"/>
          <w:bCs w:val="1"/>
          <w:color w:val="auto"/>
        </w:rPr>
        <w:t>PROXY STATEMENT PURSUANT TO SECTION 14(a) OF THE</w:t>
      </w:r>
    </w:p>
    <w:p>
      <w:pPr>
        <w:spacing w:after="0" w:line="21" w:lineRule="exact"/>
        <w:rPr>
          <w:sz w:val="24"/>
          <w:szCs w:val="24"/>
          <w:color w:val="auto"/>
        </w:rPr>
      </w:pPr>
    </w:p>
    <w:p>
      <w:pPr>
        <w:jc w:val="center"/>
        <w:ind w:right="-259"/>
        <w:spacing w:after="0"/>
        <w:rPr>
          <w:sz w:val="20"/>
          <w:szCs w:val="20"/>
          <w:color w:val="auto"/>
        </w:rPr>
      </w:pPr>
      <w:r>
        <w:rPr>
          <w:rFonts w:ascii="Arial" w:cs="Arial" w:eastAsia="Arial" w:hAnsi="Arial"/>
          <w:sz w:val="20"/>
          <w:szCs w:val="20"/>
          <w:b w:val="1"/>
          <w:bCs w:val="1"/>
          <w:color w:val="auto"/>
        </w:rPr>
        <w:t>SECURITIES EXCHANGE ACT OF 1934</w:t>
      </w:r>
    </w:p>
    <w:p>
      <w:pPr>
        <w:jc w:val="center"/>
        <w:ind w:right="-259"/>
        <w:spacing w:after="0"/>
        <w:rPr>
          <w:sz w:val="20"/>
          <w:szCs w:val="20"/>
          <w:color w:val="auto"/>
        </w:rPr>
      </w:pPr>
      <w:r>
        <w:rPr>
          <w:rFonts w:ascii="Arial" w:cs="Arial" w:eastAsia="Arial" w:hAnsi="Arial"/>
          <w:sz w:val="20"/>
          <w:szCs w:val="20"/>
          <w:b w:val="1"/>
          <w:bCs w:val="1"/>
          <w:color w:val="auto"/>
        </w:rPr>
        <w:t>(AMENDMENT NO.  )</w:t>
      </w:r>
    </w:p>
    <w:p>
      <w:pPr>
        <w:spacing w:after="0" w:line="79" w:lineRule="exact"/>
        <w:rPr>
          <w:sz w:val="24"/>
          <w:szCs w:val="24"/>
          <w:color w:val="auto"/>
        </w:rPr>
      </w:pPr>
    </w:p>
    <w:p>
      <w:pPr>
        <w:ind w:left="220"/>
        <w:spacing w:after="0" w:line="173" w:lineRule="exact"/>
        <w:rPr>
          <w:sz w:val="20"/>
          <w:szCs w:val="20"/>
          <w:color w:val="auto"/>
        </w:rPr>
      </w:pPr>
      <w:r>
        <w:rPr>
          <w:rFonts w:ascii="Arial" w:cs="Arial" w:eastAsia="Arial" w:hAnsi="Arial"/>
          <w:sz w:val="15"/>
          <w:szCs w:val="15"/>
          <w:color w:val="auto"/>
        </w:rPr>
        <w:t xml:space="preserve">Filed by the Registrant </w:t>
      </w:r>
      <w:r>
        <w:rPr>
          <w:rFonts w:ascii="MS PGothic" w:cs="MS PGothic" w:eastAsia="MS PGothic" w:hAnsi="MS PGothic"/>
          <w:sz w:val="15"/>
          <w:szCs w:val="15"/>
          <w:color w:val="auto"/>
        </w:rPr>
        <w:t>☒</w:t>
      </w:r>
    </w:p>
    <w:p>
      <w:pPr>
        <w:spacing w:after="0" w:line="124" w:lineRule="exact"/>
        <w:rPr>
          <w:sz w:val="24"/>
          <w:szCs w:val="24"/>
          <w:color w:val="auto"/>
        </w:rPr>
      </w:pPr>
    </w:p>
    <w:p>
      <w:pPr>
        <w:ind w:left="220"/>
        <w:spacing w:after="0" w:line="173" w:lineRule="exact"/>
        <w:rPr>
          <w:sz w:val="20"/>
          <w:szCs w:val="20"/>
          <w:color w:val="auto"/>
        </w:rPr>
      </w:pPr>
      <w:r>
        <w:rPr>
          <w:rFonts w:ascii="Arial" w:cs="Arial" w:eastAsia="Arial" w:hAnsi="Arial"/>
          <w:sz w:val="15"/>
          <w:szCs w:val="15"/>
          <w:color w:val="auto"/>
        </w:rPr>
        <w:t xml:space="preserve">Filed by a Party other than the Registrant </w:t>
      </w:r>
      <w:r>
        <w:rPr>
          <w:rFonts w:ascii="MS PGothic" w:cs="MS PGothic" w:eastAsia="MS PGothic" w:hAnsi="MS PGothic"/>
          <w:sz w:val="15"/>
          <w:szCs w:val="15"/>
          <w:color w:val="auto"/>
        </w:rPr>
        <w:t>☐</w:t>
      </w:r>
    </w:p>
    <w:p>
      <w:pPr>
        <w:spacing w:after="0" w:line="200" w:lineRule="exact"/>
        <w:rPr>
          <w:sz w:val="24"/>
          <w:szCs w:val="24"/>
          <w:color w:val="auto"/>
        </w:rPr>
      </w:pPr>
    </w:p>
    <w:p>
      <w:pPr>
        <w:spacing w:after="0" w:line="264" w:lineRule="exact"/>
        <w:rPr>
          <w:sz w:val="24"/>
          <w:szCs w:val="24"/>
          <w:color w:val="auto"/>
        </w:rPr>
      </w:pPr>
    </w:p>
    <w:p>
      <w:pPr>
        <w:ind w:left="220"/>
        <w:spacing w:after="0"/>
        <w:rPr>
          <w:sz w:val="20"/>
          <w:szCs w:val="20"/>
          <w:color w:val="auto"/>
        </w:rPr>
      </w:pPr>
      <w:r>
        <w:rPr>
          <w:rFonts w:ascii="Arial" w:cs="Arial" w:eastAsia="Arial" w:hAnsi="Arial"/>
          <w:sz w:val="15"/>
          <w:szCs w:val="15"/>
          <w:color w:val="auto"/>
        </w:rPr>
        <w:t>Check the appropriate box:</w:t>
      </w:r>
    </w:p>
    <w:p>
      <w:pPr>
        <w:spacing w:after="0" w:line="151" w:lineRule="exact"/>
        <w:rPr>
          <w:sz w:val="24"/>
          <w:szCs w:val="24"/>
          <w:color w:val="auto"/>
        </w:rPr>
      </w:pPr>
    </w:p>
    <w:p>
      <w:pPr>
        <w:ind w:left="780" w:hanging="570"/>
        <w:spacing w:after="0"/>
        <w:tabs>
          <w:tab w:leader="none" w:pos="780" w:val="left"/>
        </w:tabs>
        <w:numPr>
          <w:ilvl w:val="0"/>
          <w:numId w:val="1"/>
        </w:numPr>
        <w:rPr>
          <w:rFonts w:ascii="MS PGothic" w:cs="MS PGothic" w:eastAsia="MS PGothic" w:hAnsi="MS PGothic"/>
          <w:sz w:val="16"/>
          <w:szCs w:val="16"/>
          <w:color w:val="auto"/>
        </w:rPr>
      </w:pPr>
      <w:r>
        <w:rPr>
          <w:rFonts w:ascii="Arial" w:cs="Arial" w:eastAsia="Arial" w:hAnsi="Arial"/>
          <w:sz w:val="15"/>
          <w:szCs w:val="15"/>
          <w:color w:val="auto"/>
        </w:rPr>
        <w:t>Preliminary Proxy Statement</w:t>
      </w:r>
    </w:p>
    <w:p>
      <w:pPr>
        <w:spacing w:after="0" w:line="29" w:lineRule="exact"/>
        <w:rPr>
          <w:rFonts w:ascii="MS PGothic" w:cs="MS PGothic" w:eastAsia="MS PGothic" w:hAnsi="MS PGothic"/>
          <w:sz w:val="16"/>
          <w:szCs w:val="16"/>
          <w:color w:val="auto"/>
        </w:rPr>
      </w:pPr>
    </w:p>
    <w:p>
      <w:pPr>
        <w:ind w:left="780" w:hanging="570"/>
        <w:spacing w:after="0"/>
        <w:tabs>
          <w:tab w:leader="none" w:pos="780" w:val="left"/>
        </w:tabs>
        <w:numPr>
          <w:ilvl w:val="0"/>
          <w:numId w:val="1"/>
        </w:numPr>
        <w:rPr>
          <w:rFonts w:ascii="MS PGothic" w:cs="MS PGothic" w:eastAsia="MS PGothic" w:hAnsi="MS PGothic"/>
          <w:sz w:val="16"/>
          <w:szCs w:val="16"/>
          <w:color w:val="auto"/>
        </w:rPr>
      </w:pPr>
      <w:r>
        <w:rPr>
          <w:rFonts w:ascii="Arial" w:cs="Arial" w:eastAsia="Arial" w:hAnsi="Arial"/>
          <w:sz w:val="15"/>
          <w:szCs w:val="15"/>
          <w:color w:val="auto"/>
        </w:rPr>
        <w:t>Confidential, for Use of the Commission Only (as permitted by Rule 14a-6(e)(2))</w:t>
      </w:r>
    </w:p>
    <w:p>
      <w:pPr>
        <w:spacing w:after="0" w:line="30" w:lineRule="exact"/>
        <w:rPr>
          <w:sz w:val="24"/>
          <w:szCs w:val="24"/>
          <w:color w:val="auto"/>
        </w:rPr>
      </w:pPr>
    </w:p>
    <w:p>
      <w:pPr>
        <w:ind w:left="780" w:hanging="570"/>
        <w:spacing w:after="0"/>
        <w:tabs>
          <w:tab w:leader="none" w:pos="780" w:val="left"/>
        </w:tabs>
        <w:numPr>
          <w:ilvl w:val="0"/>
          <w:numId w:val="2"/>
        </w:numPr>
        <w:rPr>
          <w:rFonts w:ascii="MS PGothic" w:cs="MS PGothic" w:eastAsia="MS PGothic" w:hAnsi="MS PGothic"/>
          <w:sz w:val="16"/>
          <w:szCs w:val="16"/>
          <w:color w:val="auto"/>
        </w:rPr>
      </w:pPr>
      <w:r>
        <w:rPr>
          <w:rFonts w:ascii="Arial" w:cs="Arial" w:eastAsia="Arial" w:hAnsi="Arial"/>
          <w:sz w:val="15"/>
          <w:szCs w:val="15"/>
          <w:color w:val="auto"/>
        </w:rPr>
        <w:t>Definitive Proxy Statement</w:t>
      </w:r>
    </w:p>
    <w:p>
      <w:pPr>
        <w:spacing w:after="0" w:line="30" w:lineRule="exact"/>
        <w:rPr>
          <w:sz w:val="24"/>
          <w:szCs w:val="24"/>
          <w:color w:val="auto"/>
        </w:rPr>
      </w:pPr>
    </w:p>
    <w:p>
      <w:pPr>
        <w:ind w:left="780" w:hanging="570"/>
        <w:spacing w:after="0"/>
        <w:tabs>
          <w:tab w:leader="none" w:pos="780" w:val="left"/>
        </w:tabs>
        <w:numPr>
          <w:ilvl w:val="0"/>
          <w:numId w:val="3"/>
        </w:numPr>
        <w:rPr>
          <w:rFonts w:ascii="MS PGothic" w:cs="MS PGothic" w:eastAsia="MS PGothic" w:hAnsi="MS PGothic"/>
          <w:sz w:val="16"/>
          <w:szCs w:val="16"/>
          <w:color w:val="auto"/>
        </w:rPr>
      </w:pPr>
      <w:r>
        <w:rPr>
          <w:rFonts w:ascii="Arial" w:cs="Arial" w:eastAsia="Arial" w:hAnsi="Arial"/>
          <w:sz w:val="15"/>
          <w:szCs w:val="15"/>
          <w:color w:val="auto"/>
        </w:rPr>
        <w:t>Definitive Additional Materials</w:t>
      </w:r>
    </w:p>
    <w:p>
      <w:pPr>
        <w:spacing w:after="0" w:line="29" w:lineRule="exact"/>
        <w:rPr>
          <w:rFonts w:ascii="MS PGothic" w:cs="MS PGothic" w:eastAsia="MS PGothic" w:hAnsi="MS PGothic"/>
          <w:sz w:val="16"/>
          <w:szCs w:val="16"/>
          <w:color w:val="auto"/>
        </w:rPr>
      </w:pPr>
    </w:p>
    <w:p>
      <w:pPr>
        <w:ind w:left="780" w:hanging="570"/>
        <w:spacing w:after="0"/>
        <w:tabs>
          <w:tab w:leader="none" w:pos="780" w:val="left"/>
        </w:tabs>
        <w:numPr>
          <w:ilvl w:val="0"/>
          <w:numId w:val="3"/>
        </w:numPr>
        <w:rPr>
          <w:rFonts w:ascii="MS PGothic" w:cs="MS PGothic" w:eastAsia="MS PGothic" w:hAnsi="MS PGothic"/>
          <w:sz w:val="16"/>
          <w:szCs w:val="16"/>
          <w:color w:val="auto"/>
        </w:rPr>
      </w:pPr>
      <w:r>
        <w:rPr>
          <w:rFonts w:ascii="Arial" w:cs="Arial" w:eastAsia="Arial" w:hAnsi="Arial"/>
          <w:sz w:val="15"/>
          <w:szCs w:val="15"/>
          <w:color w:val="auto"/>
        </w:rPr>
        <w:t>Soliciting Material Pursuant to Section 240.14a-11(c) or Section 240.14a-2.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133350</wp:posOffset>
            </wp:positionH>
            <wp:positionV relativeFrom="paragraph">
              <wp:posOffset>481330</wp:posOffset>
            </wp:positionV>
            <wp:extent cx="69894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89445" cy="8255"/>
                    </a:xfrm>
                    <a:prstGeom prst="rect">
                      <a:avLst/>
                    </a:prstGeom>
                    <a:noFill/>
                  </pic:spPr>
                </pic:pic>
              </a:graphicData>
            </a:graphic>
          </wp:anchor>
        </w:drawing>
        <w:drawing>
          <wp:anchor simplePos="0" relativeHeight="251657728" behindDoc="1" locked="0" layoutInCell="0" allowOverlap="1">
            <wp:simplePos x="0" y="0"/>
            <wp:positionH relativeFrom="column">
              <wp:posOffset>2506345</wp:posOffset>
            </wp:positionH>
            <wp:positionV relativeFrom="paragraph">
              <wp:posOffset>70485</wp:posOffset>
            </wp:positionV>
            <wp:extent cx="2244090" cy="2743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44090" cy="2743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6" w:lineRule="exact"/>
        <w:rPr>
          <w:sz w:val="24"/>
          <w:szCs w:val="24"/>
          <w:color w:val="auto"/>
        </w:rPr>
      </w:pPr>
    </w:p>
    <w:p>
      <w:pPr>
        <w:jc w:val="center"/>
        <w:ind w:right="-259"/>
        <w:spacing w:after="0"/>
        <w:rPr>
          <w:sz w:val="20"/>
          <w:szCs w:val="20"/>
          <w:color w:val="auto"/>
        </w:rPr>
      </w:pPr>
      <w:r>
        <w:rPr>
          <w:rFonts w:ascii="Arial" w:cs="Arial" w:eastAsia="Arial" w:hAnsi="Arial"/>
          <w:sz w:val="14"/>
          <w:szCs w:val="14"/>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133350</wp:posOffset>
            </wp:positionH>
            <wp:positionV relativeFrom="paragraph">
              <wp:posOffset>97790</wp:posOffset>
            </wp:positionV>
            <wp:extent cx="69894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156" w:lineRule="exact"/>
        <w:rPr>
          <w:sz w:val="24"/>
          <w:szCs w:val="24"/>
          <w:color w:val="auto"/>
        </w:rPr>
      </w:pPr>
    </w:p>
    <w:p>
      <w:pPr>
        <w:jc w:val="center"/>
        <w:ind w:right="-259"/>
        <w:spacing w:after="0"/>
        <w:rPr>
          <w:sz w:val="20"/>
          <w:szCs w:val="20"/>
          <w:color w:val="auto"/>
        </w:rPr>
      </w:pPr>
      <w:r>
        <w:rPr>
          <w:rFonts w:ascii="Arial" w:cs="Arial" w:eastAsia="Arial" w:hAnsi="Arial"/>
          <w:sz w:val="14"/>
          <w:szCs w:val="14"/>
          <w:color w:val="auto"/>
        </w:rPr>
        <w:t>(Name of Person(s) Filing Proxy Statement, if other than Registrant)</w:t>
      </w:r>
    </w:p>
    <w:p>
      <w:pPr>
        <w:spacing w:after="0" w:line="128" w:lineRule="exact"/>
        <w:rPr>
          <w:sz w:val="24"/>
          <w:szCs w:val="24"/>
          <w:color w:val="auto"/>
        </w:rPr>
      </w:pPr>
    </w:p>
    <w:p>
      <w:pPr>
        <w:ind w:left="220"/>
        <w:spacing w:after="0"/>
        <w:rPr>
          <w:sz w:val="20"/>
          <w:szCs w:val="20"/>
          <w:color w:val="auto"/>
        </w:rPr>
      </w:pPr>
      <w:r>
        <w:rPr>
          <w:rFonts w:ascii="Arial" w:cs="Arial" w:eastAsia="Arial" w:hAnsi="Arial"/>
          <w:sz w:val="15"/>
          <w:szCs w:val="15"/>
          <w:color w:val="auto"/>
        </w:rPr>
        <w:t>Payment of Filing Fee (Check the appropriate box):</w:t>
      </w:r>
    </w:p>
    <w:p>
      <w:pPr>
        <w:spacing w:after="0" w:line="97" w:lineRule="exact"/>
        <w:rPr>
          <w:sz w:val="24"/>
          <w:szCs w:val="24"/>
          <w:color w:val="auto"/>
        </w:rPr>
      </w:pPr>
    </w:p>
    <w:p>
      <w:pPr>
        <w:ind w:left="780" w:hanging="570"/>
        <w:spacing w:after="0"/>
        <w:tabs>
          <w:tab w:leader="none" w:pos="780" w:val="left"/>
        </w:tabs>
        <w:numPr>
          <w:ilvl w:val="0"/>
          <w:numId w:val="4"/>
        </w:numPr>
        <w:rPr>
          <w:rFonts w:ascii="MS PGothic" w:cs="MS PGothic" w:eastAsia="MS PGothic" w:hAnsi="MS PGothic"/>
          <w:sz w:val="15"/>
          <w:szCs w:val="15"/>
          <w:color w:val="auto"/>
        </w:rPr>
      </w:pPr>
      <w:r>
        <w:rPr>
          <w:rFonts w:ascii="Arial" w:cs="Arial" w:eastAsia="Arial" w:hAnsi="Arial"/>
          <w:sz w:val="15"/>
          <w:szCs w:val="15"/>
          <w:color w:val="auto"/>
        </w:rPr>
        <w:t>No fee required.</w:t>
      </w:r>
    </w:p>
    <w:p>
      <w:pPr>
        <w:spacing w:after="0" w:line="124" w:lineRule="exact"/>
        <w:rPr>
          <w:sz w:val="24"/>
          <w:szCs w:val="24"/>
          <w:color w:val="auto"/>
        </w:rPr>
      </w:pPr>
    </w:p>
    <w:p>
      <w:pPr>
        <w:ind w:left="780" w:hanging="570"/>
        <w:spacing w:after="0"/>
        <w:tabs>
          <w:tab w:leader="none" w:pos="780" w:val="left"/>
        </w:tabs>
        <w:numPr>
          <w:ilvl w:val="0"/>
          <w:numId w:val="5"/>
        </w:numPr>
        <w:rPr>
          <w:rFonts w:ascii="MS PGothic" w:cs="MS PGothic" w:eastAsia="MS PGothic" w:hAnsi="MS PGothic"/>
          <w:sz w:val="15"/>
          <w:szCs w:val="15"/>
          <w:color w:val="auto"/>
        </w:rPr>
      </w:pPr>
      <w:r>
        <w:rPr>
          <w:rFonts w:ascii="Arial" w:cs="Arial" w:eastAsia="Arial" w:hAnsi="Arial"/>
          <w:sz w:val="15"/>
          <w:szCs w:val="15"/>
          <w:color w:val="auto"/>
        </w:rPr>
        <w:t>Fee computed on table below per Exchange Act Rules 14a-6(i)(4) and 0-12.</w:t>
      </w:r>
    </w:p>
    <w:p>
      <w:pPr>
        <w:spacing w:after="0" w:line="124" w:lineRule="exact"/>
        <w:rPr>
          <w:rFonts w:ascii="MS PGothic" w:cs="MS PGothic" w:eastAsia="MS PGothic" w:hAnsi="MS PGothic"/>
          <w:sz w:val="15"/>
          <w:szCs w:val="15"/>
          <w:color w:val="auto"/>
        </w:rPr>
      </w:pPr>
    </w:p>
    <w:p>
      <w:pPr>
        <w:ind w:left="1320" w:hanging="543"/>
        <w:spacing w:after="0"/>
        <w:tabs>
          <w:tab w:leader="none" w:pos="1320" w:val="left"/>
        </w:tabs>
        <w:numPr>
          <w:ilvl w:val="1"/>
          <w:numId w:val="5"/>
        </w:numPr>
        <w:rPr>
          <w:rFonts w:ascii="Arial" w:cs="Arial" w:eastAsia="Arial" w:hAnsi="Arial"/>
          <w:sz w:val="15"/>
          <w:szCs w:val="15"/>
          <w:color w:val="auto"/>
        </w:rPr>
      </w:pPr>
      <w:r>
        <w:rPr>
          <w:rFonts w:ascii="Arial" w:cs="Arial" w:eastAsia="Arial" w:hAnsi="Arial"/>
          <w:sz w:val="15"/>
          <w:szCs w:val="15"/>
          <w:color w:val="auto"/>
        </w:rPr>
        <w:t>Title of each class of securities to which transaction applies:</w:t>
      </w:r>
    </w:p>
    <w:p>
      <w:pPr>
        <w:spacing w:after="0" w:line="286" w:lineRule="exact"/>
        <w:rPr>
          <w:rFonts w:ascii="Arial" w:cs="Arial" w:eastAsia="Arial" w:hAnsi="Arial"/>
          <w:sz w:val="15"/>
          <w:szCs w:val="15"/>
          <w:color w:val="auto"/>
        </w:rPr>
      </w:pPr>
    </w:p>
    <w:p>
      <w:pPr>
        <w:ind w:left="1320" w:hanging="543"/>
        <w:spacing w:after="0"/>
        <w:tabs>
          <w:tab w:leader="none" w:pos="1320" w:val="left"/>
        </w:tabs>
        <w:numPr>
          <w:ilvl w:val="1"/>
          <w:numId w:val="5"/>
        </w:numPr>
        <w:rPr>
          <w:rFonts w:ascii="Arial" w:cs="Arial" w:eastAsia="Arial" w:hAnsi="Arial"/>
          <w:sz w:val="15"/>
          <w:szCs w:val="15"/>
          <w:color w:val="auto"/>
        </w:rPr>
      </w:pPr>
      <w:r>
        <w:rPr>
          <w:rFonts w:ascii="Arial" w:cs="Arial" w:eastAsia="Arial" w:hAnsi="Arial"/>
          <w:sz w:val="15"/>
          <w:szCs w:val="15"/>
          <w:color w:val="auto"/>
        </w:rPr>
        <w:t>Aggregate number of securities to which transaction applies:</w:t>
      </w:r>
    </w:p>
    <w:p>
      <w:pPr>
        <w:spacing w:after="0" w:line="286" w:lineRule="exact"/>
        <w:rPr>
          <w:rFonts w:ascii="Arial" w:cs="Arial" w:eastAsia="Arial" w:hAnsi="Arial"/>
          <w:sz w:val="15"/>
          <w:szCs w:val="15"/>
          <w:color w:val="auto"/>
        </w:rPr>
      </w:pPr>
    </w:p>
    <w:p>
      <w:pPr>
        <w:ind w:left="1320" w:right="100" w:hanging="543"/>
        <w:spacing w:after="0" w:line="255" w:lineRule="auto"/>
        <w:tabs>
          <w:tab w:leader="none" w:pos="1320" w:val="left"/>
        </w:tabs>
        <w:numPr>
          <w:ilvl w:val="1"/>
          <w:numId w:val="5"/>
        </w:numPr>
        <w:rPr>
          <w:rFonts w:ascii="Arial" w:cs="Arial" w:eastAsia="Arial" w:hAnsi="Arial"/>
          <w:sz w:val="15"/>
          <w:szCs w:val="15"/>
          <w:color w:val="auto"/>
        </w:rPr>
      </w:pPr>
      <w:r>
        <w:rPr>
          <w:rFonts w:ascii="Arial" w:cs="Arial" w:eastAsia="Arial" w:hAnsi="Arial"/>
          <w:sz w:val="15"/>
          <w:szCs w:val="15"/>
          <w:color w:val="auto"/>
        </w:rPr>
        <w:t>Per unit price or other underlying value of transaction computed pursuant to Exchange Act Rule 0-11 (Set forth the amount on which the filing fee is calculated and state how it was determined):</w:t>
      </w:r>
    </w:p>
    <w:p>
      <w:pPr>
        <w:spacing w:after="0" w:line="253" w:lineRule="exact"/>
        <w:rPr>
          <w:rFonts w:ascii="Arial" w:cs="Arial" w:eastAsia="Arial" w:hAnsi="Arial"/>
          <w:sz w:val="15"/>
          <w:szCs w:val="15"/>
          <w:color w:val="auto"/>
        </w:rPr>
      </w:pPr>
    </w:p>
    <w:p>
      <w:pPr>
        <w:ind w:left="1320" w:hanging="543"/>
        <w:spacing w:after="0"/>
        <w:tabs>
          <w:tab w:leader="none" w:pos="1320" w:val="left"/>
        </w:tabs>
        <w:numPr>
          <w:ilvl w:val="1"/>
          <w:numId w:val="5"/>
        </w:numPr>
        <w:rPr>
          <w:rFonts w:ascii="Arial" w:cs="Arial" w:eastAsia="Arial" w:hAnsi="Arial"/>
          <w:sz w:val="15"/>
          <w:szCs w:val="15"/>
          <w:color w:val="auto"/>
        </w:rPr>
      </w:pPr>
      <w:r>
        <w:rPr>
          <w:rFonts w:ascii="Arial" w:cs="Arial" w:eastAsia="Arial" w:hAnsi="Arial"/>
          <w:sz w:val="15"/>
          <w:szCs w:val="15"/>
          <w:color w:val="auto"/>
        </w:rPr>
        <w:t>Proposed maximum aggregate value of transaction:</w:t>
      </w:r>
    </w:p>
    <w:p>
      <w:pPr>
        <w:spacing w:after="0" w:line="286" w:lineRule="exact"/>
        <w:rPr>
          <w:rFonts w:ascii="Arial" w:cs="Arial" w:eastAsia="Arial" w:hAnsi="Arial"/>
          <w:sz w:val="15"/>
          <w:szCs w:val="15"/>
          <w:color w:val="auto"/>
        </w:rPr>
      </w:pPr>
    </w:p>
    <w:p>
      <w:pPr>
        <w:ind w:left="1320" w:hanging="543"/>
        <w:spacing w:after="0"/>
        <w:tabs>
          <w:tab w:leader="none" w:pos="1320" w:val="left"/>
        </w:tabs>
        <w:numPr>
          <w:ilvl w:val="1"/>
          <w:numId w:val="5"/>
        </w:numPr>
        <w:rPr>
          <w:rFonts w:ascii="Arial" w:cs="Arial" w:eastAsia="Arial" w:hAnsi="Arial"/>
          <w:sz w:val="15"/>
          <w:szCs w:val="15"/>
          <w:color w:val="auto"/>
        </w:rPr>
      </w:pPr>
      <w:r>
        <w:rPr>
          <w:rFonts w:ascii="Arial" w:cs="Arial" w:eastAsia="Arial" w:hAnsi="Arial"/>
          <w:sz w:val="15"/>
          <w:szCs w:val="15"/>
          <w:color w:val="auto"/>
        </w:rPr>
        <w:t>Total fee paid:</w:t>
      </w:r>
    </w:p>
    <w:p>
      <w:pPr>
        <w:spacing w:after="0" w:line="200" w:lineRule="exact"/>
        <w:rPr>
          <w:rFonts w:ascii="Arial" w:cs="Arial" w:eastAsia="Arial" w:hAnsi="Arial"/>
          <w:sz w:val="15"/>
          <w:szCs w:val="15"/>
          <w:color w:val="auto"/>
        </w:rPr>
      </w:pPr>
    </w:p>
    <w:p>
      <w:pPr>
        <w:spacing w:after="0" w:line="207" w:lineRule="exact"/>
        <w:rPr>
          <w:rFonts w:ascii="Arial" w:cs="Arial" w:eastAsia="Arial" w:hAnsi="Arial"/>
          <w:sz w:val="15"/>
          <w:szCs w:val="15"/>
          <w:color w:val="auto"/>
        </w:rPr>
      </w:pPr>
    </w:p>
    <w:p>
      <w:pPr>
        <w:ind w:left="780" w:hanging="570"/>
        <w:spacing w:after="0"/>
        <w:tabs>
          <w:tab w:leader="none" w:pos="780" w:val="left"/>
        </w:tabs>
        <w:numPr>
          <w:ilvl w:val="0"/>
          <w:numId w:val="5"/>
        </w:numPr>
        <w:rPr>
          <w:rFonts w:ascii="MS PGothic" w:cs="MS PGothic" w:eastAsia="MS PGothic" w:hAnsi="MS PGothic"/>
          <w:sz w:val="15"/>
          <w:szCs w:val="15"/>
          <w:color w:val="auto"/>
        </w:rPr>
      </w:pPr>
      <w:r>
        <w:rPr>
          <w:rFonts w:ascii="Arial" w:cs="Arial" w:eastAsia="Arial" w:hAnsi="Arial"/>
          <w:sz w:val="15"/>
          <w:szCs w:val="15"/>
          <w:color w:val="auto"/>
        </w:rPr>
        <w:t>Fee paid previously with preliminary materials.</w:t>
      </w:r>
    </w:p>
    <w:p>
      <w:pPr>
        <w:spacing w:after="0" w:line="124" w:lineRule="exact"/>
        <w:rPr>
          <w:rFonts w:ascii="MS PGothic" w:cs="MS PGothic" w:eastAsia="MS PGothic" w:hAnsi="MS PGothic"/>
          <w:sz w:val="15"/>
          <w:szCs w:val="15"/>
          <w:color w:val="auto"/>
        </w:rPr>
      </w:pPr>
    </w:p>
    <w:p>
      <w:pPr>
        <w:ind w:left="780" w:hanging="570"/>
        <w:spacing w:after="0" w:line="255" w:lineRule="auto"/>
        <w:tabs>
          <w:tab w:leader="none" w:pos="780" w:val="left"/>
        </w:tabs>
        <w:numPr>
          <w:ilvl w:val="0"/>
          <w:numId w:val="5"/>
        </w:numPr>
        <w:rPr>
          <w:rFonts w:ascii="MS PGothic" w:cs="MS PGothic" w:eastAsia="MS PGothic" w:hAnsi="MS PGothic"/>
          <w:sz w:val="15"/>
          <w:szCs w:val="15"/>
          <w:color w:val="auto"/>
        </w:rPr>
      </w:pPr>
      <w:r>
        <w:rPr>
          <w:rFonts w:ascii="Arial" w:cs="Arial" w:eastAsia="Arial" w:hAnsi="Arial"/>
          <w:sz w:val="15"/>
          <w:szCs w:val="15"/>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65" w:lineRule="exact"/>
        <w:rPr>
          <w:rFonts w:ascii="MS PGothic" w:cs="MS PGothic" w:eastAsia="MS PGothic" w:hAnsi="MS PGothic"/>
          <w:sz w:val="15"/>
          <w:szCs w:val="15"/>
          <w:color w:val="auto"/>
        </w:rPr>
      </w:pPr>
    </w:p>
    <w:p>
      <w:pPr>
        <w:ind w:left="1320" w:hanging="543"/>
        <w:spacing w:after="0"/>
        <w:tabs>
          <w:tab w:leader="none" w:pos="1320" w:val="left"/>
        </w:tabs>
        <w:numPr>
          <w:ilvl w:val="1"/>
          <w:numId w:val="5"/>
        </w:numPr>
        <w:rPr>
          <w:rFonts w:ascii="Arial" w:cs="Arial" w:eastAsia="Arial" w:hAnsi="Arial"/>
          <w:sz w:val="15"/>
          <w:szCs w:val="15"/>
          <w:color w:val="auto"/>
        </w:rPr>
      </w:pPr>
      <w:r>
        <w:rPr>
          <w:rFonts w:ascii="Arial" w:cs="Arial" w:eastAsia="Arial" w:hAnsi="Arial"/>
          <w:sz w:val="15"/>
          <w:szCs w:val="15"/>
          <w:color w:val="auto"/>
        </w:rPr>
        <w:t>Amount Previously Paid:</w:t>
      </w:r>
    </w:p>
    <w:p>
      <w:pPr>
        <w:spacing w:after="0" w:line="191" w:lineRule="exact"/>
        <w:rPr>
          <w:rFonts w:ascii="Arial" w:cs="Arial" w:eastAsia="Arial" w:hAnsi="Arial"/>
          <w:sz w:val="15"/>
          <w:szCs w:val="15"/>
          <w:color w:val="auto"/>
        </w:rPr>
      </w:pPr>
    </w:p>
    <w:p>
      <w:pPr>
        <w:ind w:left="1320" w:hanging="543"/>
        <w:spacing w:after="0"/>
        <w:tabs>
          <w:tab w:leader="none" w:pos="1320" w:val="left"/>
        </w:tabs>
        <w:numPr>
          <w:ilvl w:val="1"/>
          <w:numId w:val="5"/>
        </w:numPr>
        <w:rPr>
          <w:rFonts w:ascii="Arial" w:cs="Arial" w:eastAsia="Arial" w:hAnsi="Arial"/>
          <w:sz w:val="15"/>
          <w:szCs w:val="15"/>
          <w:color w:val="auto"/>
        </w:rPr>
      </w:pPr>
      <w:r>
        <w:rPr>
          <w:rFonts w:ascii="Arial" w:cs="Arial" w:eastAsia="Arial" w:hAnsi="Arial"/>
          <w:sz w:val="15"/>
          <w:szCs w:val="15"/>
          <w:color w:val="auto"/>
        </w:rPr>
        <w:t>Form, Schedule or Registration Statement No.:</w:t>
      </w:r>
    </w:p>
    <w:p>
      <w:pPr>
        <w:spacing w:after="0" w:line="191" w:lineRule="exact"/>
        <w:rPr>
          <w:rFonts w:ascii="Arial" w:cs="Arial" w:eastAsia="Arial" w:hAnsi="Arial"/>
          <w:sz w:val="15"/>
          <w:szCs w:val="15"/>
          <w:color w:val="auto"/>
        </w:rPr>
      </w:pPr>
    </w:p>
    <w:p>
      <w:pPr>
        <w:ind w:left="1320" w:hanging="543"/>
        <w:spacing w:after="0"/>
        <w:tabs>
          <w:tab w:leader="none" w:pos="1320" w:val="left"/>
        </w:tabs>
        <w:numPr>
          <w:ilvl w:val="1"/>
          <w:numId w:val="5"/>
        </w:numPr>
        <w:rPr>
          <w:rFonts w:ascii="Arial" w:cs="Arial" w:eastAsia="Arial" w:hAnsi="Arial"/>
          <w:sz w:val="15"/>
          <w:szCs w:val="15"/>
          <w:color w:val="auto"/>
        </w:rPr>
      </w:pPr>
      <w:r>
        <w:rPr>
          <w:rFonts w:ascii="Arial" w:cs="Arial" w:eastAsia="Arial" w:hAnsi="Arial"/>
          <w:sz w:val="15"/>
          <w:szCs w:val="15"/>
          <w:color w:val="auto"/>
        </w:rPr>
        <w:t>Filing Party:</w:t>
      </w:r>
    </w:p>
    <w:p>
      <w:pPr>
        <w:spacing w:after="0" w:line="191" w:lineRule="exact"/>
        <w:rPr>
          <w:rFonts w:ascii="Arial" w:cs="Arial" w:eastAsia="Arial" w:hAnsi="Arial"/>
          <w:sz w:val="15"/>
          <w:szCs w:val="15"/>
          <w:color w:val="auto"/>
        </w:rPr>
      </w:pPr>
    </w:p>
    <w:p>
      <w:pPr>
        <w:ind w:left="1320" w:hanging="543"/>
        <w:spacing w:after="0"/>
        <w:tabs>
          <w:tab w:leader="none" w:pos="1320" w:val="left"/>
        </w:tabs>
        <w:numPr>
          <w:ilvl w:val="1"/>
          <w:numId w:val="5"/>
        </w:numPr>
        <w:rPr>
          <w:rFonts w:ascii="Arial" w:cs="Arial" w:eastAsia="Arial" w:hAnsi="Arial"/>
          <w:sz w:val="15"/>
          <w:szCs w:val="15"/>
          <w:color w:val="auto"/>
        </w:rPr>
      </w:pPr>
      <w:r>
        <w:rPr>
          <w:rFonts w:ascii="Arial" w:cs="Arial" w:eastAsia="Arial" w:hAnsi="Arial"/>
          <w:sz w:val="15"/>
          <w:szCs w:val="15"/>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835660</wp:posOffset>
            </wp:positionH>
            <wp:positionV relativeFrom="paragraph">
              <wp:posOffset>-2644775</wp:posOffset>
            </wp:positionV>
            <wp:extent cx="62871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87135" cy="8255"/>
                    </a:xfrm>
                    <a:prstGeom prst="rect">
                      <a:avLst/>
                    </a:prstGeom>
                    <a:noFill/>
                  </pic:spPr>
                </pic:pic>
              </a:graphicData>
            </a:graphic>
          </wp:anchor>
        </w:drawing>
        <w:drawing>
          <wp:anchor simplePos="0" relativeHeight="251657728" behindDoc="1" locked="0" layoutInCell="0" allowOverlap="1">
            <wp:simplePos x="0" y="0"/>
            <wp:positionH relativeFrom="column">
              <wp:posOffset>835660</wp:posOffset>
            </wp:positionH>
            <wp:positionV relativeFrom="paragraph">
              <wp:posOffset>-2353310</wp:posOffset>
            </wp:positionV>
            <wp:extent cx="62871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87135" cy="8255"/>
                    </a:xfrm>
                    <a:prstGeom prst="rect">
                      <a:avLst/>
                    </a:prstGeom>
                    <a:noFill/>
                  </pic:spPr>
                </pic:pic>
              </a:graphicData>
            </a:graphic>
          </wp:anchor>
        </w:drawing>
        <w:drawing>
          <wp:anchor simplePos="0" relativeHeight="251657728" behindDoc="1" locked="0" layoutInCell="0" allowOverlap="1">
            <wp:simplePos x="0" y="0"/>
            <wp:positionH relativeFrom="column">
              <wp:posOffset>835660</wp:posOffset>
            </wp:positionH>
            <wp:positionV relativeFrom="paragraph">
              <wp:posOffset>-1958975</wp:posOffset>
            </wp:positionV>
            <wp:extent cx="62871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87135" cy="8255"/>
                    </a:xfrm>
                    <a:prstGeom prst="rect">
                      <a:avLst/>
                    </a:prstGeom>
                    <a:noFill/>
                  </pic:spPr>
                </pic:pic>
              </a:graphicData>
            </a:graphic>
          </wp:anchor>
        </w:drawing>
        <w:drawing>
          <wp:anchor simplePos="0" relativeHeight="251657728" behindDoc="1" locked="0" layoutInCell="0" allowOverlap="1">
            <wp:simplePos x="0" y="0"/>
            <wp:positionH relativeFrom="column">
              <wp:posOffset>835660</wp:posOffset>
            </wp:positionH>
            <wp:positionV relativeFrom="paragraph">
              <wp:posOffset>-1668145</wp:posOffset>
            </wp:positionV>
            <wp:extent cx="62871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87135" cy="8255"/>
                    </a:xfrm>
                    <a:prstGeom prst="rect">
                      <a:avLst/>
                    </a:prstGeom>
                    <a:noFill/>
                  </pic:spPr>
                </pic:pic>
              </a:graphicData>
            </a:graphic>
          </wp:anchor>
        </w:drawing>
        <w:drawing>
          <wp:anchor simplePos="0" relativeHeight="251657728" behindDoc="1" locked="0" layoutInCell="0" allowOverlap="1">
            <wp:simplePos x="0" y="0"/>
            <wp:positionH relativeFrom="column">
              <wp:posOffset>835660</wp:posOffset>
            </wp:positionH>
            <wp:positionV relativeFrom="paragraph">
              <wp:posOffset>-1342390</wp:posOffset>
            </wp:positionV>
            <wp:extent cx="62871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87135" cy="8255"/>
                    </a:xfrm>
                    <a:prstGeom prst="rect">
                      <a:avLst/>
                    </a:prstGeom>
                    <a:noFill/>
                  </pic:spPr>
                </pic:pic>
              </a:graphicData>
            </a:graphic>
          </wp:anchor>
        </w:drawing>
        <w:drawing>
          <wp:anchor simplePos="0" relativeHeight="251657728" behindDoc="1" locked="0" layoutInCell="0" allowOverlap="1">
            <wp:simplePos x="0" y="0"/>
            <wp:positionH relativeFrom="column">
              <wp:posOffset>835660</wp:posOffset>
            </wp:positionH>
            <wp:positionV relativeFrom="paragraph">
              <wp:posOffset>-605790</wp:posOffset>
            </wp:positionV>
            <wp:extent cx="628713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87135" cy="8255"/>
                    </a:xfrm>
                    <a:prstGeom prst="rect">
                      <a:avLst/>
                    </a:prstGeom>
                    <a:noFill/>
                  </pic:spPr>
                </pic:pic>
              </a:graphicData>
            </a:graphic>
          </wp:anchor>
        </w:drawing>
        <w:drawing>
          <wp:anchor simplePos="0" relativeHeight="251657728" behindDoc="1" locked="0" layoutInCell="0" allowOverlap="1">
            <wp:simplePos x="0" y="0"/>
            <wp:positionH relativeFrom="column">
              <wp:posOffset>835660</wp:posOffset>
            </wp:positionH>
            <wp:positionV relativeFrom="paragraph">
              <wp:posOffset>-374650</wp:posOffset>
            </wp:positionV>
            <wp:extent cx="62871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87135" cy="8255"/>
                    </a:xfrm>
                    <a:prstGeom prst="rect">
                      <a:avLst/>
                    </a:prstGeom>
                    <a:noFill/>
                  </pic:spPr>
                </pic:pic>
              </a:graphicData>
            </a:graphic>
          </wp:anchor>
        </w:drawing>
        <w:drawing>
          <wp:anchor simplePos="0" relativeHeight="251657728" behindDoc="1" locked="0" layoutInCell="0" allowOverlap="1">
            <wp:simplePos x="0" y="0"/>
            <wp:positionH relativeFrom="column">
              <wp:posOffset>835660</wp:posOffset>
            </wp:positionH>
            <wp:positionV relativeFrom="paragraph">
              <wp:posOffset>-143510</wp:posOffset>
            </wp:positionV>
            <wp:extent cx="62871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87135" cy="8255"/>
                    </a:xfrm>
                    <a:prstGeom prst="rect">
                      <a:avLst/>
                    </a:prstGeom>
                    <a:noFill/>
                  </pic:spPr>
                </pic:pic>
              </a:graphicData>
            </a:graphic>
          </wp:anchor>
        </w:drawing>
        <w:drawing>
          <wp:anchor simplePos="0" relativeHeight="251657728" behindDoc="1" locked="0" layoutInCell="0" allowOverlap="1">
            <wp:simplePos x="0" y="0"/>
            <wp:positionH relativeFrom="column">
              <wp:posOffset>835660</wp:posOffset>
            </wp:positionH>
            <wp:positionV relativeFrom="paragraph">
              <wp:posOffset>87630</wp:posOffset>
            </wp:positionV>
            <wp:extent cx="628713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87135" cy="8255"/>
                    </a:xfrm>
                    <a:prstGeom prst="rect">
                      <a:avLst/>
                    </a:prstGeom>
                    <a:noFill/>
                  </pic:spPr>
                </pic:pic>
              </a:graphicData>
            </a:graphic>
          </wp:anchor>
        </w:drawing>
        <w:drawing>
          <wp:anchor simplePos="0" relativeHeight="251657728" behindDoc="1" locked="0" layoutInCell="0" allowOverlap="1">
            <wp:simplePos x="0" y="0"/>
            <wp:positionH relativeFrom="column">
              <wp:posOffset>133350</wp:posOffset>
            </wp:positionH>
            <wp:positionV relativeFrom="paragraph">
              <wp:posOffset>207010</wp:posOffset>
            </wp:positionV>
            <wp:extent cx="698944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89445" cy="8255"/>
                    </a:xfrm>
                    <a:prstGeom prst="rect">
                      <a:avLst/>
                    </a:prstGeom>
                    <a:noFill/>
                  </pic:spPr>
                </pic:pic>
              </a:graphicData>
            </a:graphic>
          </wp:anchor>
        </w:drawing>
        <w:drawing>
          <wp:anchor simplePos="0" relativeHeight="251657728" behindDoc="1" locked="0" layoutInCell="0" allowOverlap="1">
            <wp:simplePos x="0" y="0"/>
            <wp:positionH relativeFrom="column">
              <wp:posOffset>133350</wp:posOffset>
            </wp:positionH>
            <wp:positionV relativeFrom="paragraph">
              <wp:posOffset>250190</wp:posOffset>
            </wp:positionV>
            <wp:extent cx="698944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ectPr>
          <w:pgSz w:w="11900" w:h="16838" w:orient="portrait"/>
          <w:cols w:equalWidth="0" w:num="1">
            <w:col w:w="11160"/>
          </w:cols>
          <w:pgMar w:left="240" w:top="230" w:right="499" w:bottom="1440" w:gutter="0" w:footer="0" w:header="0"/>
        </w:sectPr>
      </w:pPr>
    </w:p>
    <w:bookmarkStart w:id="1" w:name="page2"/>
    <w:bookmarkEnd w:id="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219710</wp:posOffset>
            </wp:positionV>
            <wp:extent cx="7181850" cy="92513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1850" cy="925131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205105</wp:posOffset>
            </wp:positionV>
            <wp:extent cx="6989445" cy="6508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89445" cy="650875"/>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ind w:left="220"/>
        <w:spacing w:after="0"/>
        <w:rPr>
          <w:sz w:val="20"/>
          <w:szCs w:val="20"/>
          <w:color w:val="auto"/>
        </w:rPr>
      </w:pPr>
      <w:r>
        <w:rPr>
          <w:rFonts w:ascii="Arial" w:cs="Arial" w:eastAsia="Arial" w:hAnsi="Arial"/>
          <w:sz w:val="43"/>
          <w:szCs w:val="43"/>
          <w:color w:val="32406B"/>
        </w:rPr>
        <w:t>Notice of 2018 Annual Meeting of Shareholders</w:t>
      </w:r>
    </w:p>
    <w:p>
      <w:pPr>
        <w:spacing w:after="0" w:line="200" w:lineRule="exact"/>
        <w:rPr>
          <w:sz w:val="20"/>
          <w:szCs w:val="20"/>
          <w:color w:val="auto"/>
        </w:rPr>
      </w:pPr>
    </w:p>
    <w:p>
      <w:pPr>
        <w:spacing w:after="0" w:line="21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May 4, 2018</w:t>
      </w:r>
    </w:p>
    <w:p>
      <w:pPr>
        <w:ind w:left="220"/>
        <w:spacing w:after="0" w:line="234" w:lineRule="auto"/>
        <w:rPr>
          <w:sz w:val="20"/>
          <w:szCs w:val="20"/>
          <w:color w:val="auto"/>
        </w:rPr>
      </w:pPr>
      <w:r>
        <w:rPr>
          <w:rFonts w:ascii="Arial" w:cs="Arial" w:eastAsia="Arial" w:hAnsi="Arial"/>
          <w:sz w:val="18"/>
          <w:szCs w:val="18"/>
          <w:color w:val="auto"/>
        </w:rPr>
        <w:t>9:00 a.m. Central Time</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Hilton Chicago/Oak Brook Hills Resort, 3500 Midwest Road, Oak Brook, Illinois 60523</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Dear Fellow Shareholder:</w:t>
      </w:r>
    </w:p>
    <w:p>
      <w:pPr>
        <w:spacing w:after="0" w:line="211" w:lineRule="exact"/>
        <w:rPr>
          <w:sz w:val="20"/>
          <w:szCs w:val="20"/>
          <w:color w:val="auto"/>
        </w:rPr>
      </w:pPr>
    </w:p>
    <w:p>
      <w:pPr>
        <w:ind w:left="220" w:right="200"/>
        <w:spacing w:after="0" w:line="274" w:lineRule="auto"/>
        <w:rPr>
          <w:sz w:val="20"/>
          <w:szCs w:val="20"/>
          <w:color w:val="auto"/>
        </w:rPr>
      </w:pPr>
      <w:r>
        <w:rPr>
          <w:rFonts w:ascii="Arial" w:cs="Arial" w:eastAsia="Arial" w:hAnsi="Arial"/>
          <w:sz w:val="17"/>
          <w:szCs w:val="17"/>
          <w:color w:val="auto"/>
        </w:rPr>
        <w:t>You are cordially invited to attend our Annual Meeting of Shareholders (the “Annual Meeting”) at the Hilton Chicago/Oak Brook Hills Resort, 3500 Midwest Road, Oak Brook, Illinois 60523, on May 4, 2018 at 9:00 a.m., Central Time, to be held for the following purposes:</w:t>
      </w:r>
    </w:p>
    <w:p>
      <w:pPr>
        <w:spacing w:after="0" w:line="80" w:lineRule="exact"/>
        <w:rPr>
          <w:sz w:val="20"/>
          <w:szCs w:val="20"/>
          <w:color w:val="auto"/>
        </w:rPr>
      </w:pPr>
    </w:p>
    <w:p>
      <w:pPr>
        <w:ind w:left="960" w:hanging="426"/>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elect ten directors.</w:t>
      </w:r>
    </w:p>
    <w:p>
      <w:pPr>
        <w:spacing w:after="0" w:line="76" w:lineRule="exact"/>
        <w:rPr>
          <w:rFonts w:ascii="Arial" w:cs="Arial" w:eastAsia="Arial" w:hAnsi="Arial"/>
          <w:sz w:val="18"/>
          <w:szCs w:val="18"/>
          <w:color w:val="auto"/>
        </w:rPr>
      </w:pPr>
    </w:p>
    <w:p>
      <w:pPr>
        <w:ind w:left="960" w:right="500" w:hanging="426"/>
        <w:spacing w:after="0" w:line="245"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ratify the appointment of PricewaterhouseCoopers LLP (“PwC”) as our independent registered public accounting firm for 2018.</w:t>
      </w:r>
    </w:p>
    <w:p>
      <w:pPr>
        <w:spacing w:after="0" w:line="63" w:lineRule="exact"/>
        <w:rPr>
          <w:rFonts w:ascii="Arial" w:cs="Arial" w:eastAsia="Arial" w:hAnsi="Arial"/>
          <w:sz w:val="18"/>
          <w:szCs w:val="18"/>
          <w:color w:val="auto"/>
        </w:rPr>
      </w:pPr>
    </w:p>
    <w:p>
      <w:pPr>
        <w:ind w:left="960" w:hanging="426"/>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on an advisory basis, named executive officer (“NEO”) compensation.</w:t>
      </w:r>
    </w:p>
    <w:p>
      <w:pPr>
        <w:spacing w:after="0" w:line="76" w:lineRule="exact"/>
        <w:rPr>
          <w:rFonts w:ascii="Arial" w:cs="Arial" w:eastAsia="Arial" w:hAnsi="Arial"/>
          <w:sz w:val="18"/>
          <w:szCs w:val="18"/>
          <w:color w:val="auto"/>
        </w:rPr>
      </w:pPr>
    </w:p>
    <w:p>
      <w:pPr>
        <w:ind w:left="960" w:right="220" w:hanging="426"/>
        <w:spacing w:after="0" w:line="245"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amendments to Article 15 of our Restated Certificate of Incorporation (our “charter”) to eliminate the super-majority voting requirement.</w:t>
      </w:r>
    </w:p>
    <w:p>
      <w:pPr>
        <w:spacing w:after="0" w:line="63" w:lineRule="exact"/>
        <w:rPr>
          <w:rFonts w:ascii="Arial" w:cs="Arial" w:eastAsia="Arial" w:hAnsi="Arial"/>
          <w:sz w:val="18"/>
          <w:szCs w:val="18"/>
          <w:color w:val="auto"/>
        </w:rPr>
      </w:pPr>
    </w:p>
    <w:p>
      <w:pPr>
        <w:ind w:left="960" w:hanging="426"/>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amendments to Article 16 of our charter to eliminate the super-majority voting requirement.</w:t>
      </w:r>
    </w:p>
    <w:p>
      <w:pPr>
        <w:spacing w:after="0" w:line="76" w:lineRule="exact"/>
        <w:rPr>
          <w:rFonts w:ascii="Arial" w:cs="Arial" w:eastAsia="Arial" w:hAnsi="Arial"/>
          <w:sz w:val="18"/>
          <w:szCs w:val="18"/>
          <w:color w:val="auto"/>
        </w:rPr>
      </w:pPr>
    </w:p>
    <w:p>
      <w:pPr>
        <w:ind w:left="960" w:right="1200" w:hanging="426"/>
        <w:spacing w:after="0" w:line="245"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consider such other business as may properly come before the Annual Meeting, including any adjournments or postponements thereof.</w:t>
      </w:r>
    </w:p>
    <w:p>
      <w:pPr>
        <w:spacing w:after="0" w:line="90" w:lineRule="exact"/>
        <w:rPr>
          <w:sz w:val="20"/>
          <w:szCs w:val="20"/>
          <w:color w:val="auto"/>
        </w:rPr>
      </w:pPr>
    </w:p>
    <w:p>
      <w:pPr>
        <w:ind w:left="220" w:right="20"/>
        <w:spacing w:after="0"/>
        <w:rPr>
          <w:sz w:val="20"/>
          <w:szCs w:val="20"/>
          <w:color w:val="auto"/>
        </w:rPr>
      </w:pPr>
      <w:r>
        <w:rPr>
          <w:rFonts w:ascii="Arial" w:cs="Arial" w:eastAsia="Arial" w:hAnsi="Arial"/>
          <w:sz w:val="18"/>
          <w:szCs w:val="18"/>
          <w:color w:val="auto"/>
        </w:rPr>
        <w:t xml:space="preserve">All holders of record at the close of business on March 12, 2018 are entitled to notice of and to vote at the Annual Meeting or any adjournments or postponements thereof. </w:t>
      </w:r>
      <w:r>
        <w:rPr>
          <w:rFonts w:ascii="Arial" w:cs="Arial" w:eastAsia="Arial" w:hAnsi="Arial"/>
          <w:sz w:val="18"/>
          <w:szCs w:val="18"/>
          <w:b w:val="1"/>
          <w:bCs w:val="1"/>
          <w:color w:val="auto"/>
        </w:rPr>
        <w:t>Whether or not you plan to attend the Annual Meeting, we urge you to vote your shares as</w:t>
      </w:r>
      <w:r>
        <w:rPr>
          <w:rFonts w:ascii="Arial" w:cs="Arial" w:eastAsia="Arial" w:hAnsi="Arial"/>
          <w:sz w:val="18"/>
          <w:szCs w:val="18"/>
          <w:color w:val="auto"/>
        </w:rPr>
        <w:t xml:space="preserve"> </w:t>
      </w:r>
      <w:r>
        <w:rPr>
          <w:rFonts w:ascii="Arial" w:cs="Arial" w:eastAsia="Arial" w:hAnsi="Arial"/>
          <w:sz w:val="18"/>
          <w:szCs w:val="18"/>
          <w:b w:val="1"/>
          <w:bCs w:val="1"/>
          <w:color w:val="auto"/>
        </w:rPr>
        <w:t>soon as possible.</w:t>
      </w:r>
    </w:p>
    <w:p>
      <w:pPr>
        <w:spacing w:after="0" w:line="18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March 22, 2018</w:t>
      </w:r>
    </w:p>
    <w:p>
      <w:pPr>
        <w:spacing w:after="0" w:line="2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By authority of the Board of Directors,</w:t>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Ivonne M. Cabrera</w:t>
      </w:r>
    </w:p>
    <w:p>
      <w:pPr>
        <w:jc w:val="right"/>
        <w:spacing w:after="0"/>
        <w:rPr>
          <w:sz w:val="20"/>
          <w:szCs w:val="20"/>
          <w:color w:val="auto"/>
        </w:rPr>
      </w:pPr>
      <w:r>
        <w:rPr>
          <w:rFonts w:ascii="Arial" w:cs="Arial" w:eastAsia="Arial" w:hAnsi="Arial"/>
          <w:sz w:val="18"/>
          <w:szCs w:val="18"/>
          <w:i w:val="1"/>
          <w:iCs w:val="1"/>
          <w:color w:val="auto"/>
        </w:rPr>
        <w:t>Secretary</w:t>
      </w:r>
    </w:p>
    <w:p>
      <w:pPr>
        <w:sectPr>
          <w:pgSz w:w="11900" w:h="16838" w:orient="portrait"/>
          <w:cols w:equalWidth="0" w:num="1">
            <w:col w:w="11220"/>
          </w:cols>
          <w:pgMar w:left="240" w:top="459" w:right="4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3"/>
          </w:tcPr>
          <w:p>
            <w:pPr>
              <w:spacing w:after="0"/>
              <w:rPr>
                <w:rFonts w:ascii="Arial" w:cs="Arial" w:eastAsia="Arial" w:hAnsi="Arial"/>
                <w:sz w:val="18"/>
                <w:szCs w:val="18"/>
                <w:b w:val="1"/>
                <w:bCs w:val="1"/>
                <w:color w:val="0000EE"/>
                <w:w w:val="88"/>
              </w:rPr>
            </w:pPr>
            <w:hyperlink w:anchor="page4">
              <w:r>
                <w:rPr>
                  <w:rFonts w:ascii="Arial" w:cs="Arial" w:eastAsia="Arial" w:hAnsi="Arial"/>
                  <w:sz w:val="18"/>
                  <w:szCs w:val="18"/>
                  <w:b w:val="1"/>
                  <w:bCs w:val="1"/>
                  <w:color w:val="0000EE"/>
                  <w:w w:val="88"/>
                </w:rPr>
                <w:t>Table of Contents</w:t>
              </w:r>
            </w:hyperlink>
          </w:p>
        </w:tc>
        <w:tc>
          <w:tcPr>
            <w:tcW w:w="7720" w:type="dxa"/>
            <w:vAlign w:val="bottom"/>
            <w:gridSpan w:val="30"/>
          </w:tcPr>
          <w:p>
            <w:pPr>
              <w:spacing w:after="0"/>
              <w:rPr>
                <w:sz w:val="17"/>
                <w:szCs w:val="17"/>
                <w:color w:val="auto"/>
              </w:rPr>
            </w:pPr>
          </w:p>
        </w:tc>
        <w:tc>
          <w:tcPr>
            <w:tcW w:w="2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0"/>
        </w:trPr>
        <w:tc>
          <w:tcPr>
            <w:tcW w:w="220" w:type="dxa"/>
            <w:vAlign w:val="bottom"/>
          </w:tcPr>
          <w:p>
            <w:pPr>
              <w:spacing w:after="0"/>
              <w:rPr>
                <w:sz w:val="24"/>
                <w:szCs w:val="24"/>
                <w:color w:val="auto"/>
              </w:rPr>
            </w:pPr>
          </w:p>
        </w:tc>
        <w:tc>
          <w:tcPr>
            <w:tcW w:w="8860" w:type="dxa"/>
            <w:vAlign w:val="bottom"/>
            <w:gridSpan w:val="32"/>
          </w:tcPr>
          <w:p>
            <w:pPr>
              <w:spacing w:after="0"/>
              <w:rPr>
                <w:sz w:val="20"/>
                <w:szCs w:val="20"/>
                <w:color w:val="auto"/>
              </w:rPr>
            </w:pPr>
            <w:r>
              <w:rPr>
                <w:rFonts w:ascii="Arial" w:cs="Arial" w:eastAsia="Arial" w:hAnsi="Arial"/>
                <w:sz w:val="22"/>
                <w:szCs w:val="22"/>
                <w:b w:val="1"/>
                <w:bCs w:val="1"/>
                <w:color w:val="32406B"/>
              </w:rPr>
              <w:t>TABLE OF CONTENTS</w:t>
            </w: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220" w:type="dxa"/>
            <w:vAlign w:val="bottom"/>
          </w:tcPr>
          <w:p>
            <w:pPr>
              <w:spacing w:after="0"/>
              <w:rPr>
                <w:sz w:val="24"/>
                <w:szCs w:val="24"/>
                <w:color w:val="auto"/>
              </w:rPr>
            </w:pPr>
          </w:p>
        </w:tc>
        <w:tc>
          <w:tcPr>
            <w:tcW w:w="8860" w:type="dxa"/>
            <w:vAlign w:val="bottom"/>
            <w:gridSpan w:val="32"/>
          </w:tcPr>
          <w:p>
            <w:pPr>
              <w:spacing w:after="0"/>
              <w:rPr>
                <w:sz w:val="20"/>
                <w:szCs w:val="20"/>
                <w:color w:val="auto"/>
              </w:rPr>
            </w:pPr>
            <w:r>
              <w:rPr>
                <w:rFonts w:ascii="Arial" w:cs="Arial" w:eastAsia="Arial" w:hAnsi="Arial"/>
                <w:sz w:val="22"/>
                <w:szCs w:val="22"/>
                <w:color w:val="32406B"/>
              </w:rPr>
              <w:t>Notice of 2018 Annual Meeting of Shareholders</w:t>
            </w: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20" w:type="dxa"/>
            <w:vAlign w:val="bottom"/>
          </w:tcPr>
          <w:p>
            <w:pPr>
              <w:spacing w:after="0"/>
              <w:rPr>
                <w:sz w:val="24"/>
                <w:szCs w:val="24"/>
                <w:color w:val="auto"/>
              </w:rPr>
            </w:pPr>
          </w:p>
        </w:tc>
        <w:tc>
          <w:tcPr>
            <w:tcW w:w="8860" w:type="dxa"/>
            <w:vAlign w:val="bottom"/>
            <w:gridSpan w:val="32"/>
          </w:tcPr>
          <w:p>
            <w:pPr>
              <w:spacing w:after="0"/>
              <w:rPr>
                <w:rFonts w:ascii="Arial" w:cs="Arial" w:eastAsia="Arial" w:hAnsi="Arial"/>
                <w:sz w:val="22"/>
                <w:szCs w:val="22"/>
                <w:color w:val="0000EE"/>
              </w:rPr>
            </w:pPr>
            <w:hyperlink w:anchor="page6">
              <w:r>
                <w:rPr>
                  <w:rFonts w:ascii="Arial" w:cs="Arial" w:eastAsia="Arial" w:hAnsi="Arial"/>
                  <w:sz w:val="22"/>
                  <w:szCs w:val="22"/>
                  <w:color w:val="0000EE"/>
                </w:rPr>
                <w:t>Proxy Statement Summary</w:t>
              </w:r>
            </w:hyperlink>
          </w:p>
        </w:tc>
        <w:tc>
          <w:tcPr>
            <w:tcW w:w="2080" w:type="dxa"/>
            <w:vAlign w:val="bottom"/>
          </w:tcPr>
          <w:p>
            <w:pPr>
              <w:jc w:val="right"/>
              <w:spacing w:after="0"/>
              <w:rPr>
                <w:sz w:val="20"/>
                <w:szCs w:val="20"/>
                <w:color w:val="auto"/>
              </w:rPr>
            </w:pPr>
            <w:r>
              <w:rPr>
                <w:rFonts w:ascii="Arial" w:cs="Arial" w:eastAsia="Arial" w:hAnsi="Arial"/>
                <w:sz w:val="22"/>
                <w:szCs w:val="22"/>
                <w:color w:val="32406B"/>
              </w:rPr>
              <w:t>1</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60" w:type="dxa"/>
            <w:vAlign w:val="bottom"/>
            <w:gridSpan w:val="31"/>
          </w:tcPr>
          <w:p>
            <w:pPr>
              <w:spacing w:after="0" w:line="209" w:lineRule="exact"/>
              <w:rPr>
                <w:rFonts w:ascii="Arial" w:cs="Arial" w:eastAsia="Arial" w:hAnsi="Arial"/>
                <w:sz w:val="20"/>
                <w:szCs w:val="20"/>
                <w:color w:val="0000EE"/>
              </w:rPr>
            </w:pPr>
            <w:hyperlink w:anchor="page6">
              <w:r>
                <w:rPr>
                  <w:rFonts w:ascii="Arial" w:cs="Arial" w:eastAsia="Arial" w:hAnsi="Arial"/>
                  <w:sz w:val="20"/>
                  <w:szCs w:val="20"/>
                  <w:color w:val="0000EE"/>
                </w:rPr>
                <w:t>Annual Meeting Information</w:t>
              </w:r>
            </w:hyperlink>
          </w:p>
        </w:tc>
        <w:tc>
          <w:tcPr>
            <w:tcW w:w="2080" w:type="dxa"/>
            <w:vAlign w:val="bottom"/>
          </w:tcPr>
          <w:p>
            <w:pPr>
              <w:jc w:val="right"/>
              <w:spacing w:after="0" w:line="209" w:lineRule="exact"/>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0" w:type="dxa"/>
            <w:vAlign w:val="bottom"/>
            <w:tcBorders>
              <w:top w:val="single" w:sz="8" w:color="0000EE"/>
            </w:tcBorders>
            <w:gridSpan w:val="15"/>
          </w:tcPr>
          <w:p>
            <w:pPr>
              <w:spacing w:after="0" w:line="196" w:lineRule="exact"/>
              <w:rPr>
                <w:rFonts w:ascii="Arial" w:cs="Arial" w:eastAsia="Arial" w:hAnsi="Arial"/>
                <w:sz w:val="20"/>
                <w:szCs w:val="20"/>
                <w:color w:val="0000EE"/>
              </w:rPr>
            </w:pPr>
            <w:hyperlink w:anchor="page6">
              <w:r>
                <w:rPr>
                  <w:rFonts w:ascii="Arial" w:cs="Arial" w:eastAsia="Arial" w:hAnsi="Arial"/>
                  <w:sz w:val="20"/>
                  <w:szCs w:val="20"/>
                  <w:color w:val="0000EE"/>
                </w:rPr>
                <w:t>Items of Business</w:t>
              </w:r>
            </w:hyperlink>
          </w:p>
        </w:tc>
        <w:tc>
          <w:tcPr>
            <w:tcW w:w="6260" w:type="dxa"/>
            <w:vAlign w:val="bottom"/>
            <w:gridSpan w:val="16"/>
          </w:tcPr>
          <w:p>
            <w:pPr>
              <w:spacing w:after="0"/>
              <w:rPr>
                <w:sz w:val="17"/>
                <w:szCs w:val="17"/>
                <w:color w:val="auto"/>
              </w:rPr>
            </w:pPr>
          </w:p>
        </w:tc>
        <w:tc>
          <w:tcPr>
            <w:tcW w:w="2080" w:type="dxa"/>
            <w:vAlign w:val="bottom"/>
          </w:tcPr>
          <w:p>
            <w:pPr>
              <w:jc w:val="right"/>
              <w:spacing w:after="0" w:line="196" w:lineRule="exact"/>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80" w:type="dxa"/>
            <w:vAlign w:val="bottom"/>
            <w:vMerge w:val="restart"/>
          </w:tcPr>
          <w:p>
            <w:pPr>
              <w:jc w:val="right"/>
              <w:spacing w:after="0" w:line="216" w:lineRule="exact"/>
              <w:rPr>
                <w:sz w:val="20"/>
                <w:szCs w:val="20"/>
                <w:color w:val="auto"/>
              </w:rPr>
            </w:pPr>
            <w:r>
              <w:rPr>
                <w:rFonts w:ascii="Arial" w:cs="Arial" w:eastAsia="Arial" w:hAnsi="Arial"/>
                <w:sz w:val="20"/>
                <w:szCs w:val="20"/>
                <w:color w:val="auto"/>
              </w:rPr>
              <w:t>1</w:t>
            </w: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60" w:type="dxa"/>
            <w:vAlign w:val="bottom"/>
            <w:gridSpan w:val="31"/>
          </w:tcPr>
          <w:p>
            <w:pPr>
              <w:spacing w:after="0" w:line="196" w:lineRule="exact"/>
              <w:rPr>
                <w:rFonts w:ascii="Arial" w:cs="Arial" w:eastAsia="Arial" w:hAnsi="Arial"/>
                <w:sz w:val="20"/>
                <w:szCs w:val="20"/>
                <w:color w:val="0000EE"/>
              </w:rPr>
            </w:pPr>
            <w:hyperlink w:anchor="page6">
              <w:r>
                <w:rPr>
                  <w:rFonts w:ascii="Arial" w:cs="Arial" w:eastAsia="Arial" w:hAnsi="Arial"/>
                  <w:sz w:val="20"/>
                  <w:szCs w:val="20"/>
                  <w:color w:val="0000EE"/>
                </w:rPr>
                <w:t>How to Cast Your Vote</w:t>
              </w:r>
            </w:hyperlink>
          </w:p>
        </w:tc>
        <w:tc>
          <w:tcPr>
            <w:tcW w:w="2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tcBorders>
              <w:top w:val="single" w:sz="8" w:color="0000EE"/>
              <w:bottom w:val="single" w:sz="8" w:color="0000EE"/>
            </w:tcBorders>
            <w:gridSpan w:val="6"/>
          </w:tcPr>
          <w:p>
            <w:pPr>
              <w:spacing w:after="0" w:line="196" w:lineRule="exact"/>
              <w:rPr>
                <w:rFonts w:ascii="Arial" w:cs="Arial" w:eastAsia="Arial" w:hAnsi="Arial"/>
                <w:sz w:val="20"/>
                <w:szCs w:val="20"/>
                <w:color w:val="0000EE"/>
                <w:w w:val="97"/>
              </w:rPr>
            </w:pPr>
            <w:hyperlink w:anchor="page7">
              <w:r>
                <w:rPr>
                  <w:rFonts w:ascii="Arial" w:cs="Arial" w:eastAsia="Arial" w:hAnsi="Arial"/>
                  <w:sz w:val="20"/>
                  <w:szCs w:val="20"/>
                  <w:color w:val="0000EE"/>
                  <w:w w:val="97"/>
                </w:rPr>
                <w:t>Company Overview</w:t>
              </w:r>
            </w:hyperlink>
          </w:p>
        </w:tc>
        <w:tc>
          <w:tcPr>
            <w:tcW w:w="240" w:type="dxa"/>
            <w:vAlign w:val="bottom"/>
            <w:tcBorders>
              <w:top w:val="single" w:sz="8" w:color="0000EE"/>
            </w:tcBorders>
            <w:gridSpan w:val="2"/>
          </w:tcPr>
          <w:p>
            <w:pPr>
              <w:spacing w:after="0"/>
              <w:rPr>
                <w:sz w:val="17"/>
                <w:szCs w:val="17"/>
                <w:color w:val="auto"/>
              </w:rPr>
            </w:pPr>
          </w:p>
        </w:tc>
        <w:tc>
          <w:tcPr>
            <w:tcW w:w="6700" w:type="dxa"/>
            <w:vAlign w:val="bottom"/>
            <w:gridSpan w:val="23"/>
          </w:tcPr>
          <w:p>
            <w:pPr>
              <w:spacing w:after="0"/>
              <w:rPr>
                <w:sz w:val="17"/>
                <w:szCs w:val="17"/>
                <w:color w:val="auto"/>
              </w:rPr>
            </w:pPr>
          </w:p>
        </w:tc>
        <w:tc>
          <w:tcPr>
            <w:tcW w:w="2080" w:type="dxa"/>
            <w:vAlign w:val="bottom"/>
          </w:tcPr>
          <w:p>
            <w:pPr>
              <w:jc w:val="right"/>
              <w:spacing w:after="0" w:line="196" w:lineRule="exact"/>
              <w:rPr>
                <w:sz w:val="20"/>
                <w:szCs w:val="20"/>
                <w:color w:val="auto"/>
              </w:rPr>
            </w:pPr>
            <w:r>
              <w:rPr>
                <w:rFonts w:ascii="Arial" w:cs="Arial" w:eastAsia="Arial" w:hAnsi="Arial"/>
                <w:sz w:val="20"/>
                <w:szCs w:val="20"/>
                <w:color w:val="auto"/>
              </w:rPr>
              <w:t>2</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00" w:type="dxa"/>
            <w:vAlign w:val="bottom"/>
            <w:tcBorders>
              <w:bottom w:val="single" w:sz="8" w:color="0000EE"/>
            </w:tcBorders>
            <w:gridSpan w:val="16"/>
          </w:tcPr>
          <w:p>
            <w:pPr>
              <w:spacing w:after="0" w:line="196" w:lineRule="exact"/>
              <w:rPr>
                <w:rFonts w:ascii="Arial" w:cs="Arial" w:eastAsia="Arial" w:hAnsi="Arial"/>
                <w:sz w:val="20"/>
                <w:szCs w:val="20"/>
                <w:color w:val="0000EE"/>
                <w:w w:val="97"/>
              </w:rPr>
            </w:pPr>
            <w:hyperlink w:anchor="page9">
              <w:r>
                <w:rPr>
                  <w:rFonts w:ascii="Arial" w:cs="Arial" w:eastAsia="Arial" w:hAnsi="Arial"/>
                  <w:sz w:val="20"/>
                  <w:szCs w:val="20"/>
                  <w:color w:val="0000EE"/>
                  <w:w w:val="97"/>
                </w:rPr>
                <w:t>2017 Performance Overview</w:t>
              </w:r>
            </w:hyperlink>
          </w:p>
        </w:tc>
        <w:tc>
          <w:tcPr>
            <w:tcW w:w="6160" w:type="dxa"/>
            <w:vAlign w:val="bottom"/>
            <w:gridSpan w:val="15"/>
          </w:tcPr>
          <w:p>
            <w:pPr>
              <w:spacing w:after="0"/>
              <w:rPr>
                <w:sz w:val="17"/>
                <w:szCs w:val="17"/>
                <w:color w:val="auto"/>
              </w:rPr>
            </w:pPr>
          </w:p>
        </w:tc>
        <w:tc>
          <w:tcPr>
            <w:tcW w:w="2080" w:type="dxa"/>
            <w:vAlign w:val="bottom"/>
          </w:tcPr>
          <w:p>
            <w:pPr>
              <w:jc w:val="right"/>
              <w:spacing w:after="0" w:line="196" w:lineRule="exact"/>
              <w:rPr>
                <w:sz w:val="20"/>
                <w:szCs w:val="20"/>
                <w:color w:val="auto"/>
              </w:rPr>
            </w:pPr>
            <w:r>
              <w:rPr>
                <w:rFonts w:ascii="Arial" w:cs="Arial" w:eastAsia="Arial" w:hAnsi="Arial"/>
                <w:sz w:val="20"/>
                <w:szCs w:val="20"/>
                <w:color w:val="auto"/>
              </w:rPr>
              <w:t>4</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60" w:type="dxa"/>
            <w:vAlign w:val="bottom"/>
            <w:gridSpan w:val="31"/>
          </w:tcPr>
          <w:p>
            <w:pPr>
              <w:spacing w:after="0" w:line="196" w:lineRule="exact"/>
              <w:rPr>
                <w:rFonts w:ascii="Arial" w:cs="Arial" w:eastAsia="Arial" w:hAnsi="Arial"/>
                <w:sz w:val="20"/>
                <w:szCs w:val="20"/>
                <w:color w:val="0000EE"/>
              </w:rPr>
            </w:pPr>
            <w:hyperlink w:anchor="page10">
              <w:r>
                <w:rPr>
                  <w:rFonts w:ascii="Arial" w:cs="Arial" w:eastAsia="Arial" w:hAnsi="Arial"/>
                  <w:sz w:val="20"/>
                  <w:szCs w:val="20"/>
                  <w:color w:val="0000EE"/>
                </w:rPr>
                <w:t>CEO Succession</w:t>
              </w:r>
            </w:hyperlink>
          </w:p>
        </w:tc>
        <w:tc>
          <w:tcPr>
            <w:tcW w:w="2080" w:type="dxa"/>
            <w:vAlign w:val="bottom"/>
          </w:tcPr>
          <w:p>
            <w:pPr>
              <w:jc w:val="right"/>
              <w:spacing w:after="0" w:line="196" w:lineRule="exact"/>
              <w:rPr>
                <w:sz w:val="20"/>
                <w:szCs w:val="20"/>
                <w:color w:val="auto"/>
              </w:rPr>
            </w:pPr>
            <w:r>
              <w:rPr>
                <w:rFonts w:ascii="Arial" w:cs="Arial" w:eastAsia="Arial" w:hAnsi="Arial"/>
                <w:sz w:val="20"/>
                <w:szCs w:val="20"/>
                <w:color w:val="auto"/>
              </w:rPr>
              <w:t>5</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80" w:type="dxa"/>
            <w:vAlign w:val="bottom"/>
            <w:vMerge w:val="restart"/>
          </w:tcPr>
          <w:p>
            <w:pPr>
              <w:jc w:val="right"/>
              <w:spacing w:after="0" w:line="216" w:lineRule="exact"/>
              <w:rPr>
                <w:sz w:val="20"/>
                <w:szCs w:val="20"/>
                <w:color w:val="auto"/>
              </w:rPr>
            </w:pPr>
            <w:r>
              <w:rPr>
                <w:rFonts w:ascii="Arial" w:cs="Arial" w:eastAsia="Arial" w:hAnsi="Arial"/>
                <w:sz w:val="20"/>
                <w:szCs w:val="20"/>
                <w:color w:val="auto"/>
              </w:rPr>
              <w:t>5</w:t>
            </w: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60" w:type="dxa"/>
            <w:vAlign w:val="bottom"/>
            <w:gridSpan w:val="31"/>
          </w:tcPr>
          <w:p>
            <w:pPr>
              <w:spacing w:after="0" w:line="196" w:lineRule="exact"/>
              <w:rPr>
                <w:rFonts w:ascii="Arial" w:cs="Arial" w:eastAsia="Arial" w:hAnsi="Arial"/>
                <w:sz w:val="20"/>
                <w:szCs w:val="20"/>
                <w:color w:val="0000EE"/>
              </w:rPr>
            </w:pPr>
            <w:hyperlink w:anchor="page10">
              <w:r>
                <w:rPr>
                  <w:rFonts w:ascii="Arial" w:cs="Arial" w:eastAsia="Arial" w:hAnsi="Arial"/>
                  <w:sz w:val="20"/>
                  <w:szCs w:val="20"/>
                  <w:color w:val="0000EE"/>
                </w:rPr>
                <w:t>Shareholder Engagement</w:t>
              </w:r>
            </w:hyperlink>
          </w:p>
        </w:tc>
        <w:tc>
          <w:tcPr>
            <w:tcW w:w="2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80" w:type="dxa"/>
            <w:vAlign w:val="bottom"/>
            <w:vMerge w:val="restart"/>
          </w:tcPr>
          <w:p>
            <w:pPr>
              <w:jc w:val="right"/>
              <w:spacing w:after="0" w:line="216" w:lineRule="exact"/>
              <w:rPr>
                <w:sz w:val="20"/>
                <w:szCs w:val="20"/>
                <w:color w:val="auto"/>
              </w:rPr>
            </w:pPr>
            <w:r>
              <w:rPr>
                <w:rFonts w:ascii="Arial" w:cs="Arial" w:eastAsia="Arial" w:hAnsi="Arial"/>
                <w:sz w:val="20"/>
                <w:szCs w:val="20"/>
                <w:color w:val="auto"/>
              </w:rPr>
              <w:t>5</w:t>
            </w: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0" w:type="dxa"/>
            <w:vAlign w:val="bottom"/>
            <w:tcBorders>
              <w:bottom w:val="single" w:sz="8" w:color="0000EE"/>
            </w:tcBorders>
            <w:gridSpan w:val="27"/>
          </w:tcPr>
          <w:p>
            <w:pPr>
              <w:spacing w:after="0" w:line="196" w:lineRule="exact"/>
              <w:rPr>
                <w:rFonts w:ascii="Arial" w:cs="Arial" w:eastAsia="Arial" w:hAnsi="Arial"/>
                <w:sz w:val="20"/>
                <w:szCs w:val="20"/>
                <w:color w:val="0000EE"/>
                <w:w w:val="98"/>
              </w:rPr>
            </w:pPr>
            <w:hyperlink w:anchor="page10">
              <w:r>
                <w:rPr>
                  <w:rFonts w:ascii="Arial" w:cs="Arial" w:eastAsia="Arial" w:hAnsi="Arial"/>
                  <w:sz w:val="20"/>
                  <w:szCs w:val="20"/>
                  <w:color w:val="0000EE"/>
                  <w:w w:val="98"/>
                </w:rPr>
                <w:t>Management Proposals to Remove Super-Majority Voting Provisions</w:t>
              </w:r>
            </w:hyperlink>
          </w:p>
        </w:tc>
        <w:tc>
          <w:tcPr>
            <w:tcW w:w="2660" w:type="dxa"/>
            <w:vAlign w:val="bottom"/>
            <w:gridSpan w:val="4"/>
          </w:tcPr>
          <w:p>
            <w:pPr>
              <w:spacing w:after="0"/>
              <w:rPr>
                <w:sz w:val="17"/>
                <w:szCs w:val="17"/>
                <w:color w:val="auto"/>
              </w:rPr>
            </w:pPr>
          </w:p>
        </w:tc>
        <w:tc>
          <w:tcPr>
            <w:tcW w:w="2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40" w:type="dxa"/>
            <w:vAlign w:val="bottom"/>
            <w:tcBorders>
              <w:bottom w:val="single" w:sz="8" w:color="0000EE"/>
            </w:tcBorders>
            <w:gridSpan w:val="13"/>
          </w:tcPr>
          <w:p>
            <w:pPr>
              <w:spacing w:after="0" w:line="196" w:lineRule="exact"/>
              <w:rPr>
                <w:rFonts w:ascii="Arial" w:cs="Arial" w:eastAsia="Arial" w:hAnsi="Arial"/>
                <w:sz w:val="20"/>
                <w:szCs w:val="20"/>
                <w:color w:val="0000EE"/>
                <w:w w:val="99"/>
              </w:rPr>
            </w:pPr>
            <w:hyperlink w:anchor="page11">
              <w:r>
                <w:rPr>
                  <w:rFonts w:ascii="Arial" w:cs="Arial" w:eastAsia="Arial" w:hAnsi="Arial"/>
                  <w:sz w:val="20"/>
                  <w:szCs w:val="20"/>
                  <w:color w:val="0000EE"/>
                  <w:w w:val="99"/>
                </w:rPr>
                <w:t>Executive Compensation</w:t>
              </w:r>
            </w:hyperlink>
          </w:p>
        </w:tc>
        <w:tc>
          <w:tcPr>
            <w:tcW w:w="6420" w:type="dxa"/>
            <w:vAlign w:val="bottom"/>
            <w:gridSpan w:val="18"/>
          </w:tcPr>
          <w:p>
            <w:pPr>
              <w:spacing w:after="0"/>
              <w:rPr>
                <w:sz w:val="17"/>
                <w:szCs w:val="17"/>
                <w:color w:val="auto"/>
              </w:rPr>
            </w:pPr>
          </w:p>
        </w:tc>
        <w:tc>
          <w:tcPr>
            <w:tcW w:w="2080" w:type="dxa"/>
            <w:vAlign w:val="bottom"/>
          </w:tcPr>
          <w:p>
            <w:pPr>
              <w:jc w:val="right"/>
              <w:spacing w:after="0" w:line="196" w:lineRule="exact"/>
              <w:rPr>
                <w:sz w:val="20"/>
                <w:szCs w:val="20"/>
                <w:color w:val="auto"/>
              </w:rPr>
            </w:pPr>
            <w:r>
              <w:rPr>
                <w:rFonts w:ascii="Arial" w:cs="Arial" w:eastAsia="Arial" w:hAnsi="Arial"/>
                <w:sz w:val="20"/>
                <w:szCs w:val="20"/>
                <w:color w:val="auto"/>
              </w:rPr>
              <w:t>6</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60" w:type="dxa"/>
            <w:vAlign w:val="bottom"/>
            <w:gridSpan w:val="31"/>
          </w:tcPr>
          <w:p>
            <w:pPr>
              <w:spacing w:after="0" w:line="196" w:lineRule="exact"/>
              <w:rPr>
                <w:rFonts w:ascii="Arial" w:cs="Arial" w:eastAsia="Arial" w:hAnsi="Arial"/>
                <w:sz w:val="20"/>
                <w:szCs w:val="20"/>
                <w:color w:val="0000EE"/>
              </w:rPr>
            </w:pPr>
            <w:hyperlink w:anchor="page12">
              <w:r>
                <w:rPr>
                  <w:rFonts w:ascii="Arial" w:cs="Arial" w:eastAsia="Arial" w:hAnsi="Arial"/>
                  <w:sz w:val="20"/>
                  <w:szCs w:val="20"/>
                  <w:color w:val="0000EE"/>
                </w:rPr>
                <w:t>Director Nominees</w:t>
              </w:r>
            </w:hyperlink>
          </w:p>
        </w:tc>
        <w:tc>
          <w:tcPr>
            <w:tcW w:w="2080" w:type="dxa"/>
            <w:vAlign w:val="bottom"/>
          </w:tcPr>
          <w:p>
            <w:pPr>
              <w:jc w:val="right"/>
              <w:spacing w:after="0" w:line="196" w:lineRule="exact"/>
              <w:rPr>
                <w:sz w:val="20"/>
                <w:szCs w:val="20"/>
                <w:color w:val="auto"/>
              </w:rPr>
            </w:pPr>
            <w:r>
              <w:rPr>
                <w:rFonts w:ascii="Arial" w:cs="Arial" w:eastAsia="Arial" w:hAnsi="Arial"/>
                <w:sz w:val="20"/>
                <w:szCs w:val="20"/>
                <w:color w:val="auto"/>
              </w:rPr>
              <w:t>7</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80" w:type="dxa"/>
            <w:vAlign w:val="bottom"/>
            <w:vMerge w:val="restart"/>
          </w:tcPr>
          <w:p>
            <w:pPr>
              <w:jc w:val="right"/>
              <w:spacing w:after="0" w:line="216" w:lineRule="exact"/>
              <w:rPr>
                <w:sz w:val="20"/>
                <w:szCs w:val="20"/>
                <w:color w:val="auto"/>
              </w:rPr>
            </w:pPr>
            <w:r>
              <w:rPr>
                <w:rFonts w:ascii="Arial" w:cs="Arial" w:eastAsia="Arial" w:hAnsi="Arial"/>
                <w:sz w:val="20"/>
                <w:szCs w:val="20"/>
                <w:color w:val="auto"/>
              </w:rPr>
              <w:t>8</w:t>
            </w: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60" w:type="dxa"/>
            <w:vAlign w:val="bottom"/>
            <w:gridSpan w:val="31"/>
          </w:tcPr>
          <w:p>
            <w:pPr>
              <w:spacing w:after="0" w:line="196" w:lineRule="exact"/>
              <w:rPr>
                <w:rFonts w:ascii="Arial" w:cs="Arial" w:eastAsia="Arial" w:hAnsi="Arial"/>
                <w:sz w:val="20"/>
                <w:szCs w:val="20"/>
                <w:color w:val="0000EE"/>
              </w:rPr>
            </w:pPr>
            <w:hyperlink w:anchor="page13">
              <w:r>
                <w:rPr>
                  <w:rFonts w:ascii="Arial" w:cs="Arial" w:eastAsia="Arial" w:hAnsi="Arial"/>
                  <w:sz w:val="20"/>
                  <w:szCs w:val="20"/>
                  <w:color w:val="0000EE"/>
                </w:rPr>
                <w:t>Board Composition</w:t>
              </w:r>
            </w:hyperlink>
          </w:p>
        </w:tc>
        <w:tc>
          <w:tcPr>
            <w:tcW w:w="2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80" w:type="dxa"/>
            <w:vAlign w:val="bottom"/>
            <w:vMerge w:val="restart"/>
          </w:tcPr>
          <w:p>
            <w:pPr>
              <w:jc w:val="right"/>
              <w:spacing w:after="0" w:line="216" w:lineRule="exact"/>
              <w:rPr>
                <w:sz w:val="20"/>
                <w:szCs w:val="20"/>
                <w:color w:val="auto"/>
              </w:rPr>
            </w:pPr>
            <w:r>
              <w:rPr>
                <w:rFonts w:ascii="Arial" w:cs="Arial" w:eastAsia="Arial" w:hAnsi="Arial"/>
                <w:sz w:val="20"/>
                <w:szCs w:val="20"/>
                <w:color w:val="auto"/>
              </w:rPr>
              <w:t>8</w:t>
            </w: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60" w:type="dxa"/>
            <w:vAlign w:val="bottom"/>
            <w:gridSpan w:val="31"/>
          </w:tcPr>
          <w:p>
            <w:pPr>
              <w:spacing w:after="0" w:line="196" w:lineRule="exact"/>
              <w:rPr>
                <w:rFonts w:ascii="Arial" w:cs="Arial" w:eastAsia="Arial" w:hAnsi="Arial"/>
                <w:sz w:val="20"/>
                <w:szCs w:val="20"/>
                <w:color w:val="0000EE"/>
              </w:rPr>
            </w:pPr>
            <w:hyperlink w:anchor="page13">
              <w:r>
                <w:rPr>
                  <w:rFonts w:ascii="Arial" w:cs="Arial" w:eastAsia="Arial" w:hAnsi="Arial"/>
                  <w:sz w:val="20"/>
                  <w:szCs w:val="20"/>
                  <w:color w:val="0000EE"/>
                </w:rPr>
                <w:t>Governance Highlights</w:t>
              </w:r>
            </w:hyperlink>
          </w:p>
        </w:tc>
        <w:tc>
          <w:tcPr>
            <w:tcW w:w="2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480" w:type="dxa"/>
            <w:vAlign w:val="bottom"/>
            <w:gridSpan w:val="5"/>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220" w:type="dxa"/>
            <w:vAlign w:val="bottom"/>
          </w:tcPr>
          <w:p>
            <w:pPr>
              <w:spacing w:after="0"/>
              <w:rPr>
                <w:sz w:val="24"/>
                <w:szCs w:val="24"/>
                <w:color w:val="auto"/>
              </w:rPr>
            </w:pPr>
          </w:p>
        </w:tc>
        <w:tc>
          <w:tcPr>
            <w:tcW w:w="8860" w:type="dxa"/>
            <w:vAlign w:val="bottom"/>
            <w:gridSpan w:val="32"/>
          </w:tcPr>
          <w:p>
            <w:pPr>
              <w:spacing w:after="0"/>
              <w:rPr>
                <w:rFonts w:ascii="Arial" w:cs="Arial" w:eastAsia="Arial" w:hAnsi="Arial"/>
                <w:sz w:val="22"/>
                <w:szCs w:val="22"/>
                <w:color w:val="0000EE"/>
              </w:rPr>
            </w:pPr>
            <w:hyperlink w:anchor="page14">
              <w:r>
                <w:rPr>
                  <w:rFonts w:ascii="Arial" w:cs="Arial" w:eastAsia="Arial" w:hAnsi="Arial"/>
                  <w:sz w:val="22"/>
                  <w:szCs w:val="22"/>
                  <w:color w:val="0000EE"/>
                </w:rPr>
                <w:t>Proposal 1 — Election of Directors</w:t>
              </w:r>
            </w:hyperlink>
          </w:p>
        </w:tc>
        <w:tc>
          <w:tcPr>
            <w:tcW w:w="2080" w:type="dxa"/>
            <w:vAlign w:val="bottom"/>
          </w:tcPr>
          <w:p>
            <w:pPr>
              <w:jc w:val="right"/>
              <w:spacing w:after="0"/>
              <w:rPr>
                <w:sz w:val="20"/>
                <w:szCs w:val="20"/>
                <w:color w:val="auto"/>
              </w:rPr>
            </w:pPr>
            <w:r>
              <w:rPr>
                <w:rFonts w:ascii="Arial" w:cs="Arial" w:eastAsia="Arial" w:hAnsi="Arial"/>
                <w:sz w:val="22"/>
                <w:szCs w:val="22"/>
                <w:color w:val="32406B"/>
              </w:rPr>
              <w:t>9</w:t>
            </w:r>
          </w:p>
        </w:tc>
        <w:tc>
          <w:tcPr>
            <w:tcW w:w="0" w:type="dxa"/>
            <w:vAlign w:val="bottom"/>
          </w:tcPr>
          <w:p>
            <w:pPr>
              <w:spacing w:after="0"/>
              <w:rPr>
                <w:sz w:val="1"/>
                <w:szCs w:val="1"/>
                <w:color w:val="auto"/>
              </w:rPr>
            </w:pPr>
          </w:p>
        </w:tc>
      </w:tr>
      <w:tr>
        <w:trPr>
          <w:trHeight w:val="209"/>
        </w:trPr>
        <w:tc>
          <w:tcPr>
            <w:tcW w:w="220" w:type="dxa"/>
            <w:vAlign w:val="bottom"/>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080" w:type="dxa"/>
            <w:vAlign w:val="bottom"/>
            <w:tcBorders>
              <w:top w:val="single" w:sz="8" w:color="0000EE"/>
            </w:tcBorders>
            <w:gridSpan w:val="20"/>
          </w:tcPr>
          <w:p>
            <w:pPr>
              <w:spacing w:after="0" w:line="209" w:lineRule="exact"/>
              <w:rPr>
                <w:rFonts w:ascii="Arial" w:cs="Arial" w:eastAsia="Arial" w:hAnsi="Arial"/>
                <w:sz w:val="20"/>
                <w:szCs w:val="20"/>
                <w:color w:val="0000EE"/>
              </w:rPr>
            </w:pPr>
            <w:hyperlink w:anchor="page14">
              <w:r>
                <w:rPr>
                  <w:rFonts w:ascii="Arial" w:cs="Arial" w:eastAsia="Arial" w:hAnsi="Arial"/>
                  <w:sz w:val="20"/>
                  <w:szCs w:val="20"/>
                  <w:color w:val="0000EE"/>
                </w:rPr>
                <w:t>Criteria for Director Nominees</w:t>
              </w:r>
            </w:hyperlink>
          </w:p>
        </w:tc>
        <w:tc>
          <w:tcPr>
            <w:tcW w:w="5580" w:type="dxa"/>
            <w:vAlign w:val="bottom"/>
            <w:gridSpan w:val="11"/>
          </w:tcPr>
          <w:p>
            <w:pPr>
              <w:spacing w:after="0"/>
              <w:rPr>
                <w:sz w:val="18"/>
                <w:szCs w:val="18"/>
                <w:color w:val="auto"/>
              </w:rPr>
            </w:pPr>
          </w:p>
        </w:tc>
        <w:tc>
          <w:tcPr>
            <w:tcW w:w="2080" w:type="dxa"/>
            <w:vAlign w:val="bottom"/>
          </w:tcPr>
          <w:p>
            <w:pPr>
              <w:jc w:val="right"/>
              <w:spacing w:after="0" w:line="209" w:lineRule="exact"/>
              <w:rPr>
                <w:sz w:val="20"/>
                <w:szCs w:val="20"/>
                <w:color w:val="auto"/>
              </w:rPr>
            </w:pPr>
            <w:r>
              <w:rPr>
                <w:rFonts w:ascii="Arial" w:cs="Arial" w:eastAsia="Arial" w:hAnsi="Arial"/>
                <w:sz w:val="20"/>
                <w:szCs w:val="20"/>
                <w:color w:val="auto"/>
              </w:rPr>
              <w:t>9</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0" w:type="dxa"/>
            <w:vAlign w:val="bottom"/>
            <w:tcBorders>
              <w:top w:val="single" w:sz="8" w:color="0000EE"/>
            </w:tcBorders>
            <w:gridSpan w:val="17"/>
          </w:tcPr>
          <w:p>
            <w:pPr>
              <w:spacing w:after="0" w:line="196" w:lineRule="exact"/>
              <w:rPr>
                <w:rFonts w:ascii="Arial" w:cs="Arial" w:eastAsia="Arial" w:hAnsi="Arial"/>
                <w:sz w:val="20"/>
                <w:szCs w:val="20"/>
                <w:color w:val="0000EE"/>
              </w:rPr>
            </w:pPr>
            <w:hyperlink w:anchor="page14">
              <w:r>
                <w:rPr>
                  <w:rFonts w:ascii="Arial" w:cs="Arial" w:eastAsia="Arial" w:hAnsi="Arial"/>
                  <w:sz w:val="20"/>
                  <w:szCs w:val="20"/>
                  <w:color w:val="0000EE"/>
                </w:rPr>
                <w:t>Director Nomination Process</w:t>
              </w:r>
            </w:hyperlink>
          </w:p>
        </w:tc>
        <w:tc>
          <w:tcPr>
            <w:tcW w:w="6060" w:type="dxa"/>
            <w:vAlign w:val="bottom"/>
            <w:gridSpan w:val="14"/>
          </w:tcPr>
          <w:p>
            <w:pPr>
              <w:spacing w:after="0"/>
              <w:rPr>
                <w:sz w:val="17"/>
                <w:szCs w:val="17"/>
                <w:color w:val="auto"/>
              </w:rPr>
            </w:pPr>
          </w:p>
        </w:tc>
        <w:tc>
          <w:tcPr>
            <w:tcW w:w="2080" w:type="dxa"/>
            <w:vAlign w:val="bottom"/>
          </w:tcPr>
          <w:p>
            <w:pPr>
              <w:jc w:val="right"/>
              <w:spacing w:after="0" w:line="196" w:lineRule="exact"/>
              <w:rPr>
                <w:sz w:val="20"/>
                <w:szCs w:val="20"/>
                <w:color w:val="auto"/>
              </w:rPr>
            </w:pPr>
            <w:r>
              <w:rPr>
                <w:rFonts w:ascii="Arial" w:cs="Arial" w:eastAsia="Arial" w:hAnsi="Arial"/>
                <w:sz w:val="20"/>
                <w:szCs w:val="20"/>
                <w:color w:val="auto"/>
              </w:rPr>
              <w:t>9</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20" w:type="dxa"/>
            <w:vAlign w:val="bottom"/>
            <w:tcBorders>
              <w:top w:val="single" w:sz="8" w:color="0000EE"/>
              <w:bottom w:val="single" w:sz="8" w:color="0000EE"/>
            </w:tcBorders>
            <w:gridSpan w:val="11"/>
          </w:tcPr>
          <w:p>
            <w:pPr>
              <w:spacing w:after="0" w:line="196" w:lineRule="exact"/>
              <w:rPr>
                <w:rFonts w:ascii="Arial" w:cs="Arial" w:eastAsia="Arial" w:hAnsi="Arial"/>
                <w:sz w:val="20"/>
                <w:szCs w:val="20"/>
                <w:color w:val="0000EE"/>
                <w:w w:val="97"/>
              </w:rPr>
            </w:pPr>
            <w:hyperlink w:anchor="page16">
              <w:r>
                <w:rPr>
                  <w:rFonts w:ascii="Arial" w:cs="Arial" w:eastAsia="Arial" w:hAnsi="Arial"/>
                  <w:sz w:val="20"/>
                  <w:szCs w:val="20"/>
                  <w:color w:val="0000EE"/>
                  <w:w w:val="97"/>
                </w:rPr>
                <w:t>2018 Director Nominees</w:t>
              </w:r>
            </w:hyperlink>
          </w:p>
        </w:tc>
        <w:tc>
          <w:tcPr>
            <w:tcW w:w="380" w:type="dxa"/>
            <w:vAlign w:val="bottom"/>
            <w:tcBorders>
              <w:top w:val="single" w:sz="8" w:color="0000EE"/>
            </w:tcBorders>
            <w:gridSpan w:val="5"/>
          </w:tcPr>
          <w:p>
            <w:pPr>
              <w:spacing w:after="0"/>
              <w:rPr>
                <w:sz w:val="17"/>
                <w:szCs w:val="17"/>
                <w:color w:val="auto"/>
              </w:rPr>
            </w:pPr>
          </w:p>
        </w:tc>
        <w:tc>
          <w:tcPr>
            <w:tcW w:w="6160" w:type="dxa"/>
            <w:vAlign w:val="bottom"/>
            <w:gridSpan w:val="15"/>
          </w:tcPr>
          <w:p>
            <w:pPr>
              <w:spacing w:after="0"/>
              <w:rPr>
                <w:sz w:val="17"/>
                <w:szCs w:val="17"/>
                <w:color w:val="auto"/>
              </w:rPr>
            </w:pPr>
          </w:p>
        </w:tc>
        <w:tc>
          <w:tcPr>
            <w:tcW w:w="2080" w:type="dxa"/>
            <w:vAlign w:val="bottom"/>
          </w:tcPr>
          <w:p>
            <w:pPr>
              <w:jc w:val="right"/>
              <w:spacing w:after="0" w:line="196" w:lineRule="exact"/>
              <w:rPr>
                <w:sz w:val="20"/>
                <w:szCs w:val="20"/>
                <w:color w:val="auto"/>
              </w:rPr>
            </w:pPr>
            <w:r>
              <w:rPr>
                <w:rFonts w:ascii="Arial" w:cs="Arial" w:eastAsia="Arial" w:hAnsi="Arial"/>
                <w:sz w:val="20"/>
                <w:szCs w:val="20"/>
                <w:color w:val="auto"/>
              </w:rPr>
              <w:t>11</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20" w:type="dxa"/>
            <w:vAlign w:val="bottom"/>
            <w:tcBorders>
              <w:bottom w:val="single" w:sz="8" w:color="0000EE"/>
            </w:tcBorders>
            <w:gridSpan w:val="24"/>
          </w:tcPr>
          <w:p>
            <w:pPr>
              <w:spacing w:after="0" w:line="196" w:lineRule="exact"/>
              <w:rPr>
                <w:rFonts w:ascii="Arial" w:cs="Arial" w:eastAsia="Arial" w:hAnsi="Arial"/>
                <w:sz w:val="20"/>
                <w:szCs w:val="20"/>
                <w:color w:val="0000EE"/>
                <w:w w:val="98"/>
              </w:rPr>
            </w:pPr>
            <w:hyperlink w:anchor="page25">
              <w:r>
                <w:rPr>
                  <w:rFonts w:ascii="Arial" w:cs="Arial" w:eastAsia="Arial" w:hAnsi="Arial"/>
                  <w:sz w:val="20"/>
                  <w:szCs w:val="20"/>
                  <w:color w:val="0000EE"/>
                  <w:w w:val="98"/>
                </w:rPr>
                <w:t>Structure Of Our Board And Our Governance Practices</w:t>
              </w:r>
            </w:hyperlink>
          </w:p>
        </w:tc>
        <w:tc>
          <w:tcPr>
            <w:tcW w:w="3840" w:type="dxa"/>
            <w:vAlign w:val="bottom"/>
            <w:gridSpan w:val="7"/>
          </w:tcPr>
          <w:p>
            <w:pPr>
              <w:spacing w:after="0"/>
              <w:rPr>
                <w:sz w:val="17"/>
                <w:szCs w:val="17"/>
                <w:color w:val="auto"/>
              </w:rPr>
            </w:pPr>
          </w:p>
        </w:tc>
        <w:tc>
          <w:tcPr>
            <w:tcW w:w="2080" w:type="dxa"/>
            <w:vAlign w:val="bottom"/>
          </w:tcPr>
          <w:p>
            <w:pPr>
              <w:jc w:val="right"/>
              <w:spacing w:after="0" w:line="196" w:lineRule="exact"/>
              <w:rPr>
                <w:sz w:val="20"/>
                <w:szCs w:val="20"/>
                <w:color w:val="auto"/>
              </w:rPr>
            </w:pPr>
            <w:r>
              <w:rPr>
                <w:rFonts w:ascii="Arial" w:cs="Arial" w:eastAsia="Arial" w:hAnsi="Arial"/>
                <w:sz w:val="20"/>
                <w:szCs w:val="20"/>
                <w:color w:val="auto"/>
              </w:rPr>
              <w:t>20</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60" w:type="dxa"/>
            <w:vAlign w:val="bottom"/>
            <w:tcBorders>
              <w:bottom w:val="single" w:sz="8" w:color="0000EE"/>
            </w:tcBorders>
            <w:gridSpan w:val="12"/>
          </w:tcPr>
          <w:p>
            <w:pPr>
              <w:spacing w:after="0" w:line="196" w:lineRule="exact"/>
              <w:rPr>
                <w:rFonts w:ascii="Arial" w:cs="Arial" w:eastAsia="Arial" w:hAnsi="Arial"/>
                <w:sz w:val="20"/>
                <w:szCs w:val="20"/>
                <w:color w:val="0000EE"/>
                <w:w w:val="97"/>
              </w:rPr>
            </w:pPr>
            <w:hyperlink w:anchor="page33">
              <w:r>
                <w:rPr>
                  <w:rFonts w:ascii="Arial" w:cs="Arial" w:eastAsia="Arial" w:hAnsi="Arial"/>
                  <w:sz w:val="20"/>
                  <w:szCs w:val="20"/>
                  <w:color w:val="0000EE"/>
                  <w:w w:val="97"/>
                </w:rPr>
                <w:t>Directors’ Compensation</w:t>
              </w:r>
            </w:hyperlink>
          </w:p>
        </w:tc>
        <w:tc>
          <w:tcPr>
            <w:tcW w:w="6500" w:type="dxa"/>
            <w:vAlign w:val="bottom"/>
            <w:gridSpan w:val="19"/>
          </w:tcPr>
          <w:p>
            <w:pPr>
              <w:spacing w:after="0"/>
              <w:rPr>
                <w:sz w:val="17"/>
                <w:szCs w:val="17"/>
                <w:color w:val="auto"/>
              </w:rPr>
            </w:pPr>
          </w:p>
        </w:tc>
        <w:tc>
          <w:tcPr>
            <w:tcW w:w="2080" w:type="dxa"/>
            <w:vAlign w:val="bottom"/>
          </w:tcPr>
          <w:p>
            <w:pPr>
              <w:jc w:val="right"/>
              <w:spacing w:after="0" w:line="196" w:lineRule="exact"/>
              <w:rPr>
                <w:sz w:val="20"/>
                <w:szCs w:val="20"/>
                <w:color w:val="auto"/>
              </w:rPr>
            </w:pPr>
            <w:r>
              <w:rPr>
                <w:rFonts w:ascii="Arial" w:cs="Arial" w:eastAsia="Arial" w:hAnsi="Arial"/>
                <w:sz w:val="20"/>
                <w:szCs w:val="20"/>
                <w:color w:val="auto"/>
              </w:rPr>
              <w:t>28</w:t>
            </w:r>
          </w:p>
        </w:tc>
        <w:tc>
          <w:tcPr>
            <w:tcW w:w="0" w:type="dxa"/>
            <w:vAlign w:val="bottom"/>
          </w:tcPr>
          <w:p>
            <w:pPr>
              <w:spacing w:after="0"/>
              <w:rPr>
                <w:sz w:val="1"/>
                <w:szCs w:val="1"/>
                <w:color w:val="auto"/>
              </w:rPr>
            </w:pPr>
          </w:p>
        </w:tc>
      </w:tr>
      <w:tr>
        <w:trPr>
          <w:trHeight w:val="317"/>
        </w:trPr>
        <w:tc>
          <w:tcPr>
            <w:tcW w:w="220" w:type="dxa"/>
            <w:vAlign w:val="bottom"/>
          </w:tcPr>
          <w:p>
            <w:pPr>
              <w:spacing w:after="0"/>
              <w:rPr>
                <w:sz w:val="24"/>
                <w:szCs w:val="24"/>
                <w:color w:val="auto"/>
              </w:rPr>
            </w:pPr>
          </w:p>
        </w:tc>
        <w:tc>
          <w:tcPr>
            <w:tcW w:w="8860" w:type="dxa"/>
            <w:vAlign w:val="bottom"/>
            <w:tcBorders>
              <w:bottom w:val="single" w:sz="8" w:color="0000EE"/>
            </w:tcBorders>
            <w:gridSpan w:val="32"/>
          </w:tcPr>
          <w:p>
            <w:pPr>
              <w:spacing w:after="0"/>
              <w:rPr>
                <w:rFonts w:ascii="Arial" w:cs="Arial" w:eastAsia="Arial" w:hAnsi="Arial"/>
                <w:sz w:val="22"/>
                <w:szCs w:val="22"/>
                <w:color w:val="0000EE"/>
                <w:w w:val="98"/>
              </w:rPr>
            </w:pPr>
            <w:hyperlink w:anchor="page35">
              <w:r>
                <w:rPr>
                  <w:rFonts w:ascii="Arial" w:cs="Arial" w:eastAsia="Arial" w:hAnsi="Arial"/>
                  <w:sz w:val="22"/>
                  <w:szCs w:val="22"/>
                  <w:color w:val="0000EE"/>
                  <w:w w:val="98"/>
                </w:rPr>
                <w:t>Proposal 2 — Ratification of Appointment of Independent Registered Public Accounting Firm</w:t>
              </w:r>
            </w:hyperlink>
          </w:p>
        </w:tc>
        <w:tc>
          <w:tcPr>
            <w:tcW w:w="2080" w:type="dxa"/>
            <w:vAlign w:val="bottom"/>
          </w:tcPr>
          <w:p>
            <w:pPr>
              <w:jc w:val="right"/>
              <w:spacing w:after="0"/>
              <w:rPr>
                <w:sz w:val="20"/>
                <w:szCs w:val="20"/>
                <w:color w:val="auto"/>
              </w:rPr>
            </w:pPr>
            <w:r>
              <w:rPr>
                <w:rFonts w:ascii="Arial" w:cs="Arial" w:eastAsia="Arial" w:hAnsi="Arial"/>
                <w:sz w:val="22"/>
                <w:szCs w:val="22"/>
                <w:color w:val="32406B"/>
              </w:rPr>
              <w:t>30</w:t>
            </w:r>
          </w:p>
        </w:tc>
        <w:tc>
          <w:tcPr>
            <w:tcW w:w="0" w:type="dxa"/>
            <w:vAlign w:val="bottom"/>
          </w:tcPr>
          <w:p>
            <w:pPr>
              <w:spacing w:after="0"/>
              <w:rPr>
                <w:sz w:val="1"/>
                <w:szCs w:val="1"/>
                <w:color w:val="auto"/>
              </w:rPr>
            </w:pPr>
          </w:p>
        </w:tc>
      </w:tr>
      <w:tr>
        <w:trPr>
          <w:trHeight w:val="209"/>
        </w:trPr>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tcBorders>
              <w:bottom w:val="single" w:sz="8" w:color="0000EE"/>
            </w:tcBorders>
            <w:gridSpan w:val="10"/>
          </w:tcPr>
          <w:p>
            <w:pPr>
              <w:spacing w:after="0" w:line="209" w:lineRule="exact"/>
              <w:rPr>
                <w:rFonts w:ascii="Arial" w:cs="Arial" w:eastAsia="Arial" w:hAnsi="Arial"/>
                <w:sz w:val="20"/>
                <w:szCs w:val="20"/>
                <w:color w:val="0000EE"/>
                <w:w w:val="97"/>
              </w:rPr>
            </w:pPr>
            <w:hyperlink w:anchor="page36">
              <w:r>
                <w:rPr>
                  <w:rFonts w:ascii="Arial" w:cs="Arial" w:eastAsia="Arial" w:hAnsi="Arial"/>
                  <w:sz w:val="20"/>
                  <w:szCs w:val="20"/>
                  <w:color w:val="0000EE"/>
                  <w:w w:val="97"/>
                </w:rPr>
                <w:t>Audit Committee Report</w:t>
              </w:r>
            </w:hyperlink>
          </w:p>
        </w:tc>
        <w:tc>
          <w:tcPr>
            <w:tcW w:w="6560" w:type="dxa"/>
            <w:vAlign w:val="bottom"/>
            <w:gridSpan w:val="21"/>
          </w:tcPr>
          <w:p>
            <w:pPr>
              <w:spacing w:after="0"/>
              <w:rPr>
                <w:sz w:val="18"/>
                <w:szCs w:val="18"/>
                <w:color w:val="auto"/>
              </w:rPr>
            </w:pPr>
          </w:p>
        </w:tc>
        <w:tc>
          <w:tcPr>
            <w:tcW w:w="2080" w:type="dxa"/>
            <w:vAlign w:val="bottom"/>
          </w:tcPr>
          <w:p>
            <w:pPr>
              <w:jc w:val="right"/>
              <w:spacing w:after="0" w:line="209" w:lineRule="exact"/>
              <w:rPr>
                <w:sz w:val="20"/>
                <w:szCs w:val="20"/>
                <w:color w:val="auto"/>
              </w:rPr>
            </w:pPr>
            <w:r>
              <w:rPr>
                <w:rFonts w:ascii="Arial" w:cs="Arial" w:eastAsia="Arial" w:hAnsi="Arial"/>
                <w:sz w:val="20"/>
                <w:szCs w:val="20"/>
                <w:color w:val="auto"/>
              </w:rPr>
              <w:t>31</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340" w:type="dxa"/>
            <w:vAlign w:val="bottom"/>
            <w:tcBorders>
              <w:bottom w:val="single" w:sz="8" w:color="0000EE"/>
            </w:tcBorders>
            <w:gridSpan w:val="26"/>
          </w:tcPr>
          <w:p>
            <w:pPr>
              <w:spacing w:after="0" w:line="196" w:lineRule="exact"/>
              <w:rPr>
                <w:rFonts w:ascii="Arial" w:cs="Arial" w:eastAsia="Arial" w:hAnsi="Arial"/>
                <w:sz w:val="20"/>
                <w:szCs w:val="20"/>
                <w:color w:val="0000EE"/>
                <w:w w:val="98"/>
              </w:rPr>
            </w:pPr>
            <w:hyperlink w:anchor="page37">
              <w:r>
                <w:rPr>
                  <w:rFonts w:ascii="Arial" w:cs="Arial" w:eastAsia="Arial" w:hAnsi="Arial"/>
                  <w:sz w:val="20"/>
                  <w:szCs w:val="20"/>
                  <w:color w:val="0000EE"/>
                  <w:w w:val="98"/>
                </w:rPr>
                <w:t>Fees Paid to Independent Registered Public Accounting Firm</w:t>
              </w:r>
            </w:hyperlink>
          </w:p>
        </w:tc>
        <w:tc>
          <w:tcPr>
            <w:tcW w:w="3320" w:type="dxa"/>
            <w:vAlign w:val="bottom"/>
            <w:gridSpan w:val="5"/>
          </w:tcPr>
          <w:p>
            <w:pPr>
              <w:spacing w:after="0"/>
              <w:rPr>
                <w:sz w:val="17"/>
                <w:szCs w:val="17"/>
                <w:color w:val="auto"/>
              </w:rPr>
            </w:pPr>
          </w:p>
        </w:tc>
        <w:tc>
          <w:tcPr>
            <w:tcW w:w="2080" w:type="dxa"/>
            <w:vAlign w:val="bottom"/>
          </w:tcPr>
          <w:p>
            <w:pPr>
              <w:jc w:val="right"/>
              <w:spacing w:after="0" w:line="196" w:lineRule="exact"/>
              <w:rPr>
                <w:sz w:val="20"/>
                <w:szCs w:val="20"/>
                <w:color w:val="auto"/>
              </w:rPr>
            </w:pPr>
            <w:r>
              <w:rPr>
                <w:rFonts w:ascii="Arial" w:cs="Arial" w:eastAsia="Arial" w:hAnsi="Arial"/>
                <w:sz w:val="20"/>
                <w:szCs w:val="20"/>
                <w:color w:val="auto"/>
              </w:rPr>
              <w:t>32</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520" w:type="dxa"/>
            <w:vAlign w:val="bottom"/>
            <w:tcBorders>
              <w:bottom w:val="single" w:sz="8" w:color="0000EE"/>
            </w:tcBorders>
            <w:gridSpan w:val="30"/>
          </w:tcPr>
          <w:p>
            <w:pPr>
              <w:spacing w:after="0" w:line="196" w:lineRule="exact"/>
              <w:rPr>
                <w:rFonts w:ascii="Arial" w:cs="Arial" w:eastAsia="Arial" w:hAnsi="Arial"/>
                <w:sz w:val="20"/>
                <w:szCs w:val="20"/>
                <w:color w:val="0000EE"/>
                <w:w w:val="98"/>
              </w:rPr>
            </w:pPr>
            <w:hyperlink w:anchor="page37">
              <w:r>
                <w:rPr>
                  <w:rFonts w:ascii="Arial" w:cs="Arial" w:eastAsia="Arial" w:hAnsi="Arial"/>
                  <w:sz w:val="20"/>
                  <w:szCs w:val="20"/>
                  <w:color w:val="0000EE"/>
                  <w:w w:val="98"/>
                </w:rPr>
                <w:t>Pre-Approval of Services Provided by Independent Registered Public Accounting Firm</w:t>
              </w:r>
            </w:hyperlink>
          </w:p>
        </w:tc>
        <w:tc>
          <w:tcPr>
            <w:tcW w:w="1140" w:type="dxa"/>
            <w:vAlign w:val="bottom"/>
          </w:tcPr>
          <w:p>
            <w:pPr>
              <w:spacing w:after="0"/>
              <w:rPr>
                <w:sz w:val="17"/>
                <w:szCs w:val="17"/>
                <w:color w:val="auto"/>
              </w:rPr>
            </w:pPr>
          </w:p>
        </w:tc>
        <w:tc>
          <w:tcPr>
            <w:tcW w:w="2080" w:type="dxa"/>
            <w:vAlign w:val="bottom"/>
          </w:tcPr>
          <w:p>
            <w:pPr>
              <w:jc w:val="right"/>
              <w:spacing w:after="0" w:line="196" w:lineRule="exact"/>
              <w:rPr>
                <w:sz w:val="20"/>
                <w:szCs w:val="20"/>
                <w:color w:val="auto"/>
              </w:rPr>
            </w:pPr>
            <w:r>
              <w:rPr>
                <w:rFonts w:ascii="Arial" w:cs="Arial" w:eastAsia="Arial" w:hAnsi="Arial"/>
                <w:sz w:val="20"/>
                <w:szCs w:val="20"/>
                <w:color w:val="auto"/>
              </w:rPr>
              <w:t>32</w:t>
            </w:r>
          </w:p>
        </w:tc>
        <w:tc>
          <w:tcPr>
            <w:tcW w:w="0" w:type="dxa"/>
            <w:vAlign w:val="bottom"/>
          </w:tcPr>
          <w:p>
            <w:pPr>
              <w:spacing w:after="0"/>
              <w:rPr>
                <w:sz w:val="1"/>
                <w:szCs w:val="1"/>
                <w:color w:val="auto"/>
              </w:rPr>
            </w:pPr>
          </w:p>
        </w:tc>
      </w:tr>
      <w:tr>
        <w:trPr>
          <w:trHeight w:val="317"/>
        </w:trPr>
        <w:tc>
          <w:tcPr>
            <w:tcW w:w="220" w:type="dxa"/>
            <w:vAlign w:val="bottom"/>
          </w:tcPr>
          <w:p>
            <w:pPr>
              <w:spacing w:after="0"/>
              <w:rPr>
                <w:sz w:val="24"/>
                <w:szCs w:val="24"/>
                <w:color w:val="auto"/>
              </w:rPr>
            </w:pPr>
          </w:p>
        </w:tc>
        <w:tc>
          <w:tcPr>
            <w:tcW w:w="8860" w:type="dxa"/>
            <w:vAlign w:val="bottom"/>
            <w:gridSpan w:val="32"/>
          </w:tcPr>
          <w:p>
            <w:pPr>
              <w:spacing w:after="0"/>
              <w:rPr>
                <w:rFonts w:ascii="Arial" w:cs="Arial" w:eastAsia="Arial" w:hAnsi="Arial"/>
                <w:sz w:val="22"/>
                <w:szCs w:val="22"/>
                <w:color w:val="0000EE"/>
              </w:rPr>
            </w:pPr>
            <w:hyperlink w:anchor="page39">
              <w:r>
                <w:rPr>
                  <w:rFonts w:ascii="Arial" w:cs="Arial" w:eastAsia="Arial" w:hAnsi="Arial"/>
                  <w:sz w:val="22"/>
                  <w:szCs w:val="22"/>
                  <w:color w:val="0000EE"/>
                </w:rPr>
                <w:t>Compensation Discussion and Analysis</w:t>
              </w:r>
            </w:hyperlink>
          </w:p>
        </w:tc>
        <w:tc>
          <w:tcPr>
            <w:tcW w:w="2080" w:type="dxa"/>
            <w:vAlign w:val="bottom"/>
          </w:tcPr>
          <w:p>
            <w:pPr>
              <w:jc w:val="right"/>
              <w:spacing w:after="0"/>
              <w:rPr>
                <w:sz w:val="20"/>
                <w:szCs w:val="20"/>
                <w:color w:val="auto"/>
              </w:rPr>
            </w:pPr>
            <w:r>
              <w:rPr>
                <w:rFonts w:ascii="Arial" w:cs="Arial" w:eastAsia="Arial" w:hAnsi="Arial"/>
                <w:sz w:val="22"/>
                <w:szCs w:val="22"/>
                <w:color w:val="32406B"/>
              </w:rPr>
              <w:t>34</w:t>
            </w:r>
          </w:p>
        </w:tc>
        <w:tc>
          <w:tcPr>
            <w:tcW w:w="0" w:type="dxa"/>
            <w:vAlign w:val="bottom"/>
          </w:tcPr>
          <w:p>
            <w:pPr>
              <w:spacing w:after="0"/>
              <w:rPr>
                <w:sz w:val="1"/>
                <w:szCs w:val="1"/>
                <w:color w:val="auto"/>
              </w:rPr>
            </w:pPr>
          </w:p>
        </w:tc>
      </w:tr>
      <w:tr>
        <w:trPr>
          <w:trHeight w:val="209"/>
        </w:trPr>
        <w:tc>
          <w:tcPr>
            <w:tcW w:w="220" w:type="dxa"/>
            <w:vAlign w:val="bottom"/>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560" w:type="dxa"/>
            <w:vAlign w:val="bottom"/>
            <w:tcBorders>
              <w:top w:val="single" w:sz="8" w:color="0000EE"/>
            </w:tcBorders>
            <w:gridSpan w:val="22"/>
          </w:tcPr>
          <w:p>
            <w:pPr>
              <w:spacing w:after="0" w:line="209" w:lineRule="exact"/>
              <w:rPr>
                <w:rFonts w:ascii="Arial" w:cs="Arial" w:eastAsia="Arial" w:hAnsi="Arial"/>
                <w:sz w:val="20"/>
                <w:szCs w:val="20"/>
                <w:color w:val="0000EE"/>
              </w:rPr>
            </w:pPr>
            <w:hyperlink w:anchor="page39">
              <w:r>
                <w:rPr>
                  <w:rFonts w:ascii="Arial" w:cs="Arial" w:eastAsia="Arial" w:hAnsi="Arial"/>
                  <w:sz w:val="20"/>
                  <w:szCs w:val="20"/>
                  <w:color w:val="0000EE"/>
                </w:rPr>
                <w:t>Executive Summary</w:t>
              </w:r>
            </w:hyperlink>
          </w:p>
        </w:tc>
        <w:tc>
          <w:tcPr>
            <w:tcW w:w="5100" w:type="dxa"/>
            <w:vAlign w:val="bottom"/>
            <w:gridSpan w:val="9"/>
          </w:tcPr>
          <w:p>
            <w:pPr>
              <w:spacing w:after="0"/>
              <w:rPr>
                <w:sz w:val="18"/>
                <w:szCs w:val="18"/>
                <w:color w:val="auto"/>
              </w:rPr>
            </w:pPr>
          </w:p>
        </w:tc>
        <w:tc>
          <w:tcPr>
            <w:tcW w:w="2080" w:type="dxa"/>
            <w:vAlign w:val="bottom"/>
          </w:tcPr>
          <w:p>
            <w:pPr>
              <w:jc w:val="right"/>
              <w:spacing w:after="0" w:line="209" w:lineRule="exact"/>
              <w:rPr>
                <w:sz w:val="20"/>
                <w:szCs w:val="20"/>
                <w:color w:val="auto"/>
              </w:rPr>
            </w:pPr>
            <w:r>
              <w:rPr>
                <w:rFonts w:ascii="Arial" w:cs="Arial" w:eastAsia="Arial" w:hAnsi="Arial"/>
                <w:sz w:val="20"/>
                <w:szCs w:val="20"/>
                <w:color w:val="auto"/>
              </w:rPr>
              <w:t>34</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480" w:type="dxa"/>
            <w:vAlign w:val="bottom"/>
            <w:gridSpan w:val="5"/>
            <w:shd w:val="clear" w:color="auto" w:fill="0000EE"/>
          </w:tcPr>
          <w:p>
            <w:pPr>
              <w:spacing w:after="0" w:line="20" w:lineRule="exact"/>
              <w:rPr>
                <w:sz w:val="1"/>
                <w:szCs w:val="1"/>
                <w:color w:val="auto"/>
              </w:rPr>
            </w:pPr>
          </w:p>
        </w:tc>
        <w:tc>
          <w:tcPr>
            <w:tcW w:w="1180" w:type="dxa"/>
            <w:vAlign w:val="bottom"/>
            <w:gridSpan w:val="1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2080" w:type="dxa"/>
            <w:vAlign w:val="bottom"/>
            <w:vMerge w:val="restart"/>
          </w:tcPr>
          <w:p>
            <w:pPr>
              <w:jc w:val="right"/>
              <w:spacing w:after="0" w:line="216" w:lineRule="exact"/>
              <w:rPr>
                <w:sz w:val="20"/>
                <w:szCs w:val="20"/>
                <w:color w:val="auto"/>
              </w:rPr>
            </w:pPr>
            <w:r>
              <w:rPr>
                <w:rFonts w:ascii="Arial" w:cs="Arial" w:eastAsia="Arial" w:hAnsi="Arial"/>
                <w:sz w:val="20"/>
                <w:szCs w:val="20"/>
                <w:color w:val="auto"/>
              </w:rPr>
              <w:t>37</w:t>
            </w: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60" w:type="dxa"/>
            <w:vAlign w:val="bottom"/>
            <w:gridSpan w:val="31"/>
          </w:tcPr>
          <w:p>
            <w:pPr>
              <w:spacing w:after="0" w:line="196" w:lineRule="exact"/>
              <w:rPr>
                <w:rFonts w:ascii="Arial" w:cs="Arial" w:eastAsia="Arial" w:hAnsi="Arial"/>
                <w:sz w:val="20"/>
                <w:szCs w:val="20"/>
                <w:color w:val="0000EE"/>
              </w:rPr>
            </w:pPr>
            <w:hyperlink w:anchor="page42">
              <w:r>
                <w:rPr>
                  <w:rFonts w:ascii="Arial" w:cs="Arial" w:eastAsia="Arial" w:hAnsi="Arial"/>
                  <w:sz w:val="20"/>
                  <w:szCs w:val="20"/>
                  <w:color w:val="0000EE"/>
                </w:rPr>
                <w:t>2017 Say-on-Pay Advisory Vote and Shareholder Outreach</w:t>
              </w:r>
            </w:hyperlink>
          </w:p>
        </w:tc>
        <w:tc>
          <w:tcPr>
            <w:tcW w:w="2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1660" w:type="dxa"/>
            <w:vAlign w:val="bottom"/>
            <w:gridSpan w:val="16"/>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2080" w:type="dxa"/>
            <w:vAlign w:val="bottom"/>
            <w:vMerge w:val="restart"/>
          </w:tcPr>
          <w:p>
            <w:pPr>
              <w:jc w:val="right"/>
              <w:spacing w:after="0" w:line="216" w:lineRule="exact"/>
              <w:rPr>
                <w:sz w:val="20"/>
                <w:szCs w:val="20"/>
                <w:color w:val="auto"/>
              </w:rPr>
            </w:pPr>
            <w:r>
              <w:rPr>
                <w:rFonts w:ascii="Arial" w:cs="Arial" w:eastAsia="Arial" w:hAnsi="Arial"/>
                <w:sz w:val="20"/>
                <w:szCs w:val="20"/>
                <w:color w:val="auto"/>
              </w:rPr>
              <w:t>38</w:t>
            </w: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100" w:type="dxa"/>
            <w:vAlign w:val="bottom"/>
            <w:tcBorders>
              <w:bottom w:val="single" w:sz="8" w:color="0000EE"/>
            </w:tcBorders>
            <w:gridSpan w:val="29"/>
          </w:tcPr>
          <w:p>
            <w:pPr>
              <w:spacing w:after="0" w:line="196" w:lineRule="exact"/>
              <w:rPr>
                <w:rFonts w:ascii="Arial" w:cs="Arial" w:eastAsia="Arial" w:hAnsi="Arial"/>
                <w:sz w:val="20"/>
                <w:szCs w:val="20"/>
                <w:color w:val="0000EE"/>
                <w:w w:val="98"/>
              </w:rPr>
            </w:pPr>
            <w:hyperlink w:anchor="page43">
              <w:r>
                <w:rPr>
                  <w:rFonts w:ascii="Arial" w:cs="Arial" w:eastAsia="Arial" w:hAnsi="Arial"/>
                  <w:sz w:val="20"/>
                  <w:szCs w:val="20"/>
                  <w:color w:val="0000EE"/>
                  <w:w w:val="98"/>
                </w:rPr>
                <w:t>Dover’s Alignment with Leading Compensation Governance Practices</w:t>
              </w:r>
            </w:hyperlink>
          </w:p>
        </w:tc>
        <w:tc>
          <w:tcPr>
            <w:tcW w:w="2560" w:type="dxa"/>
            <w:vAlign w:val="bottom"/>
            <w:gridSpan w:val="2"/>
          </w:tcPr>
          <w:p>
            <w:pPr>
              <w:spacing w:after="0"/>
              <w:rPr>
                <w:sz w:val="17"/>
                <w:szCs w:val="17"/>
                <w:color w:val="auto"/>
              </w:rPr>
            </w:pPr>
          </w:p>
        </w:tc>
        <w:tc>
          <w:tcPr>
            <w:tcW w:w="2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60" w:type="dxa"/>
            <w:vAlign w:val="bottom"/>
            <w:gridSpan w:val="31"/>
          </w:tcPr>
          <w:p>
            <w:pPr>
              <w:spacing w:after="0" w:line="196" w:lineRule="exact"/>
              <w:rPr>
                <w:rFonts w:ascii="Arial" w:cs="Arial" w:eastAsia="Arial" w:hAnsi="Arial"/>
                <w:sz w:val="20"/>
                <w:szCs w:val="20"/>
                <w:color w:val="0000EE"/>
              </w:rPr>
            </w:pPr>
            <w:hyperlink w:anchor="page44">
              <w:r>
                <w:rPr>
                  <w:rFonts w:ascii="Arial" w:cs="Arial" w:eastAsia="Arial" w:hAnsi="Arial"/>
                  <w:sz w:val="20"/>
                  <w:szCs w:val="20"/>
                  <w:color w:val="0000EE"/>
                </w:rPr>
                <w:t>Compensation Process: Aligning Business Strategy and Performance</w:t>
              </w:r>
            </w:hyperlink>
          </w:p>
        </w:tc>
        <w:tc>
          <w:tcPr>
            <w:tcW w:w="2080" w:type="dxa"/>
            <w:vAlign w:val="bottom"/>
          </w:tcPr>
          <w:p>
            <w:pPr>
              <w:jc w:val="right"/>
              <w:spacing w:after="0" w:line="196" w:lineRule="exact"/>
              <w:rPr>
                <w:sz w:val="20"/>
                <w:szCs w:val="20"/>
                <w:color w:val="auto"/>
              </w:rPr>
            </w:pPr>
            <w:r>
              <w:rPr>
                <w:rFonts w:ascii="Arial" w:cs="Arial" w:eastAsia="Arial" w:hAnsi="Arial"/>
                <w:sz w:val="20"/>
                <w:szCs w:val="20"/>
                <w:color w:val="auto"/>
              </w:rPr>
              <w:t>39</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80" w:type="dxa"/>
            <w:vAlign w:val="bottom"/>
            <w:tcBorders>
              <w:top w:val="single" w:sz="8" w:color="0000EE"/>
              <w:bottom w:val="single" w:sz="8" w:color="0000EE"/>
            </w:tcBorders>
            <w:gridSpan w:val="21"/>
          </w:tcPr>
          <w:p>
            <w:pPr>
              <w:spacing w:after="0" w:line="196" w:lineRule="exact"/>
              <w:rPr>
                <w:rFonts w:ascii="Arial" w:cs="Arial" w:eastAsia="Arial" w:hAnsi="Arial"/>
                <w:sz w:val="20"/>
                <w:szCs w:val="20"/>
                <w:color w:val="0000EE"/>
                <w:w w:val="98"/>
              </w:rPr>
            </w:pPr>
            <w:hyperlink w:anchor="page48">
              <w:r>
                <w:rPr>
                  <w:rFonts w:ascii="Arial" w:cs="Arial" w:eastAsia="Arial" w:hAnsi="Arial"/>
                  <w:sz w:val="20"/>
                  <w:szCs w:val="20"/>
                  <w:color w:val="0000EE"/>
                  <w:w w:val="98"/>
                </w:rPr>
                <w:t>Elements of Executive Compensation</w:t>
              </w:r>
            </w:hyperlink>
          </w:p>
        </w:tc>
        <w:tc>
          <w:tcPr>
            <w:tcW w:w="2780" w:type="dxa"/>
            <w:vAlign w:val="bottom"/>
            <w:tcBorders>
              <w:top w:val="single" w:sz="8" w:color="0000EE"/>
            </w:tcBorders>
            <w:gridSpan w:val="7"/>
          </w:tcPr>
          <w:p>
            <w:pPr>
              <w:spacing w:after="0"/>
              <w:rPr>
                <w:sz w:val="17"/>
                <w:szCs w:val="17"/>
                <w:color w:val="auto"/>
              </w:rPr>
            </w:pPr>
          </w:p>
        </w:tc>
        <w:tc>
          <w:tcPr>
            <w:tcW w:w="2600" w:type="dxa"/>
            <w:vAlign w:val="bottom"/>
            <w:gridSpan w:val="3"/>
          </w:tcPr>
          <w:p>
            <w:pPr>
              <w:spacing w:after="0"/>
              <w:rPr>
                <w:sz w:val="17"/>
                <w:szCs w:val="17"/>
                <w:color w:val="auto"/>
              </w:rPr>
            </w:pPr>
          </w:p>
        </w:tc>
        <w:tc>
          <w:tcPr>
            <w:tcW w:w="2080" w:type="dxa"/>
            <w:vAlign w:val="bottom"/>
          </w:tcPr>
          <w:p>
            <w:pPr>
              <w:jc w:val="right"/>
              <w:spacing w:after="0" w:line="196" w:lineRule="exact"/>
              <w:rPr>
                <w:sz w:val="20"/>
                <w:szCs w:val="20"/>
                <w:color w:val="auto"/>
              </w:rPr>
            </w:pPr>
            <w:r>
              <w:rPr>
                <w:rFonts w:ascii="Arial" w:cs="Arial" w:eastAsia="Arial" w:hAnsi="Arial"/>
                <w:sz w:val="20"/>
                <w:szCs w:val="20"/>
                <w:color w:val="auto"/>
              </w:rPr>
              <w:t>43</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80" w:type="dxa"/>
            <w:vAlign w:val="bottom"/>
            <w:tcBorders>
              <w:bottom w:val="single" w:sz="8" w:color="0000EE"/>
            </w:tcBorders>
            <w:gridSpan w:val="23"/>
          </w:tcPr>
          <w:p>
            <w:pPr>
              <w:spacing w:after="0" w:line="196" w:lineRule="exact"/>
              <w:rPr>
                <w:rFonts w:ascii="Arial" w:cs="Arial" w:eastAsia="Arial" w:hAnsi="Arial"/>
                <w:sz w:val="20"/>
                <w:szCs w:val="20"/>
                <w:color w:val="0000EE"/>
                <w:w w:val="98"/>
              </w:rPr>
            </w:pPr>
            <w:hyperlink w:anchor="page55">
              <w:r>
                <w:rPr>
                  <w:rFonts w:ascii="Arial" w:cs="Arial" w:eastAsia="Arial" w:hAnsi="Arial"/>
                  <w:sz w:val="20"/>
                  <w:szCs w:val="20"/>
                  <w:color w:val="0000EE"/>
                  <w:w w:val="98"/>
                </w:rPr>
                <w:t>2018 Changes to our Executive Compensation</w:t>
              </w:r>
            </w:hyperlink>
          </w:p>
        </w:tc>
        <w:tc>
          <w:tcPr>
            <w:tcW w:w="4580" w:type="dxa"/>
            <w:vAlign w:val="bottom"/>
            <w:gridSpan w:val="8"/>
          </w:tcPr>
          <w:p>
            <w:pPr>
              <w:spacing w:after="0"/>
              <w:rPr>
                <w:sz w:val="17"/>
                <w:szCs w:val="17"/>
                <w:color w:val="auto"/>
              </w:rPr>
            </w:pPr>
          </w:p>
        </w:tc>
        <w:tc>
          <w:tcPr>
            <w:tcW w:w="2080" w:type="dxa"/>
            <w:vAlign w:val="bottom"/>
          </w:tcPr>
          <w:p>
            <w:pPr>
              <w:jc w:val="right"/>
              <w:spacing w:after="0" w:line="196" w:lineRule="exact"/>
              <w:rPr>
                <w:sz w:val="20"/>
                <w:szCs w:val="20"/>
                <w:color w:val="auto"/>
              </w:rPr>
            </w:pPr>
            <w:r>
              <w:rPr>
                <w:rFonts w:ascii="Arial" w:cs="Arial" w:eastAsia="Arial" w:hAnsi="Arial"/>
                <w:sz w:val="20"/>
                <w:szCs w:val="20"/>
                <w:color w:val="auto"/>
              </w:rPr>
              <w:t>50</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Borders>
              <w:bottom w:val="single" w:sz="8" w:color="0000EE"/>
            </w:tcBorders>
            <w:gridSpan w:val="2"/>
          </w:tcPr>
          <w:p>
            <w:pPr>
              <w:spacing w:after="0" w:line="196" w:lineRule="exact"/>
              <w:rPr>
                <w:rFonts w:ascii="Arial" w:cs="Arial" w:eastAsia="Arial" w:hAnsi="Arial"/>
                <w:sz w:val="20"/>
                <w:szCs w:val="20"/>
                <w:color w:val="0000EE"/>
                <w:w w:val="96"/>
              </w:rPr>
            </w:pPr>
            <w:hyperlink w:anchor="page56">
              <w:r>
                <w:rPr>
                  <w:rFonts w:ascii="Arial" w:cs="Arial" w:eastAsia="Arial" w:hAnsi="Arial"/>
                  <w:sz w:val="20"/>
                  <w:szCs w:val="20"/>
                  <w:color w:val="0000EE"/>
                  <w:w w:val="96"/>
                </w:rPr>
                <w:t>Other Benefits</w:t>
              </w:r>
            </w:hyperlink>
          </w:p>
        </w:tc>
        <w:tc>
          <w:tcPr>
            <w:tcW w:w="7400" w:type="dxa"/>
            <w:vAlign w:val="bottom"/>
            <w:gridSpan w:val="29"/>
          </w:tcPr>
          <w:p>
            <w:pPr>
              <w:spacing w:after="0"/>
              <w:rPr>
                <w:sz w:val="17"/>
                <w:szCs w:val="17"/>
                <w:color w:val="auto"/>
              </w:rPr>
            </w:pPr>
          </w:p>
        </w:tc>
        <w:tc>
          <w:tcPr>
            <w:tcW w:w="2080" w:type="dxa"/>
            <w:vAlign w:val="bottom"/>
          </w:tcPr>
          <w:p>
            <w:pPr>
              <w:jc w:val="right"/>
              <w:spacing w:after="0" w:line="196" w:lineRule="exact"/>
              <w:rPr>
                <w:sz w:val="20"/>
                <w:szCs w:val="20"/>
                <w:color w:val="auto"/>
              </w:rPr>
            </w:pPr>
            <w:r>
              <w:rPr>
                <w:rFonts w:ascii="Arial" w:cs="Arial" w:eastAsia="Arial" w:hAnsi="Arial"/>
                <w:sz w:val="20"/>
                <w:szCs w:val="20"/>
                <w:color w:val="auto"/>
              </w:rPr>
              <w:t>51</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920" w:type="dxa"/>
            <w:vAlign w:val="bottom"/>
            <w:tcBorders>
              <w:bottom w:val="single" w:sz="8" w:color="0000EE"/>
            </w:tcBorders>
            <w:gridSpan w:val="18"/>
          </w:tcPr>
          <w:p>
            <w:pPr>
              <w:spacing w:after="0" w:line="196" w:lineRule="exact"/>
              <w:rPr>
                <w:rFonts w:ascii="Arial" w:cs="Arial" w:eastAsia="Arial" w:hAnsi="Arial"/>
                <w:sz w:val="20"/>
                <w:szCs w:val="20"/>
                <w:color w:val="0000EE"/>
                <w:w w:val="98"/>
              </w:rPr>
            </w:pPr>
            <w:hyperlink w:anchor="page57">
              <w:r>
                <w:rPr>
                  <w:rFonts w:ascii="Arial" w:cs="Arial" w:eastAsia="Arial" w:hAnsi="Arial"/>
                  <w:sz w:val="20"/>
                  <w:szCs w:val="20"/>
                  <w:color w:val="0000EE"/>
                  <w:w w:val="98"/>
                </w:rPr>
                <w:t>Other Elements of Compensation</w:t>
              </w:r>
            </w:hyperlink>
          </w:p>
        </w:tc>
        <w:tc>
          <w:tcPr>
            <w:tcW w:w="5740" w:type="dxa"/>
            <w:vAlign w:val="bottom"/>
            <w:gridSpan w:val="13"/>
          </w:tcPr>
          <w:p>
            <w:pPr>
              <w:spacing w:after="0"/>
              <w:rPr>
                <w:sz w:val="17"/>
                <w:szCs w:val="17"/>
                <w:color w:val="auto"/>
              </w:rPr>
            </w:pPr>
          </w:p>
        </w:tc>
        <w:tc>
          <w:tcPr>
            <w:tcW w:w="2080" w:type="dxa"/>
            <w:vAlign w:val="bottom"/>
          </w:tcPr>
          <w:p>
            <w:pPr>
              <w:jc w:val="right"/>
              <w:spacing w:after="0" w:line="196" w:lineRule="exact"/>
              <w:rPr>
                <w:sz w:val="20"/>
                <w:szCs w:val="20"/>
                <w:color w:val="auto"/>
              </w:rPr>
            </w:pPr>
            <w:r>
              <w:rPr>
                <w:rFonts w:ascii="Arial" w:cs="Arial" w:eastAsia="Arial" w:hAnsi="Arial"/>
                <w:sz w:val="20"/>
                <w:szCs w:val="20"/>
                <w:color w:val="auto"/>
              </w:rPr>
              <w:t>52</w:t>
            </w:r>
          </w:p>
        </w:tc>
        <w:tc>
          <w:tcPr>
            <w:tcW w:w="0" w:type="dxa"/>
            <w:vAlign w:val="bottom"/>
          </w:tcPr>
          <w:p>
            <w:pPr>
              <w:spacing w:after="0"/>
              <w:rPr>
                <w:sz w:val="1"/>
                <w:szCs w:val="1"/>
                <w:color w:val="auto"/>
              </w:rPr>
            </w:pPr>
          </w:p>
        </w:tc>
      </w:tr>
      <w:tr>
        <w:trPr>
          <w:trHeight w:val="317"/>
        </w:trPr>
        <w:tc>
          <w:tcPr>
            <w:tcW w:w="220" w:type="dxa"/>
            <w:vAlign w:val="bottom"/>
          </w:tcPr>
          <w:p>
            <w:pPr>
              <w:spacing w:after="0"/>
              <w:rPr>
                <w:sz w:val="24"/>
                <w:szCs w:val="24"/>
                <w:color w:val="auto"/>
              </w:rPr>
            </w:pPr>
          </w:p>
        </w:tc>
        <w:tc>
          <w:tcPr>
            <w:tcW w:w="3200" w:type="dxa"/>
            <w:vAlign w:val="bottom"/>
            <w:tcBorders>
              <w:bottom w:val="single" w:sz="8" w:color="0000EE"/>
            </w:tcBorders>
            <w:gridSpan w:val="20"/>
          </w:tcPr>
          <w:p>
            <w:pPr>
              <w:spacing w:after="0"/>
              <w:rPr>
                <w:rFonts w:ascii="Arial" w:cs="Arial" w:eastAsia="Arial" w:hAnsi="Arial"/>
                <w:sz w:val="22"/>
                <w:szCs w:val="22"/>
                <w:color w:val="0000EE"/>
                <w:w w:val="97"/>
              </w:rPr>
            </w:pPr>
            <w:hyperlink w:anchor="page59">
              <w:r>
                <w:rPr>
                  <w:rFonts w:ascii="Arial" w:cs="Arial" w:eastAsia="Arial" w:hAnsi="Arial"/>
                  <w:sz w:val="22"/>
                  <w:szCs w:val="22"/>
                  <w:color w:val="0000EE"/>
                  <w:w w:val="97"/>
                </w:rPr>
                <w:t>Compensation Committee Report</w:t>
              </w:r>
            </w:hyperlink>
          </w:p>
        </w:tc>
        <w:tc>
          <w:tcPr>
            <w:tcW w:w="5660" w:type="dxa"/>
            <w:vAlign w:val="bottom"/>
            <w:gridSpan w:val="12"/>
          </w:tcPr>
          <w:p>
            <w:pPr>
              <w:spacing w:after="0"/>
              <w:rPr>
                <w:sz w:val="24"/>
                <w:szCs w:val="24"/>
                <w:color w:val="auto"/>
              </w:rPr>
            </w:pPr>
          </w:p>
        </w:tc>
        <w:tc>
          <w:tcPr>
            <w:tcW w:w="2080" w:type="dxa"/>
            <w:vAlign w:val="bottom"/>
          </w:tcPr>
          <w:p>
            <w:pPr>
              <w:jc w:val="right"/>
              <w:spacing w:after="0"/>
              <w:rPr>
                <w:sz w:val="20"/>
                <w:szCs w:val="20"/>
                <w:color w:val="auto"/>
              </w:rPr>
            </w:pPr>
            <w:r>
              <w:rPr>
                <w:rFonts w:ascii="Arial" w:cs="Arial" w:eastAsia="Arial" w:hAnsi="Arial"/>
                <w:sz w:val="22"/>
                <w:szCs w:val="22"/>
                <w:color w:val="32406B"/>
              </w:rPr>
              <w:t>54</w:t>
            </w:r>
          </w:p>
        </w:tc>
        <w:tc>
          <w:tcPr>
            <w:tcW w:w="0" w:type="dxa"/>
            <w:vAlign w:val="bottom"/>
          </w:tcPr>
          <w:p>
            <w:pPr>
              <w:spacing w:after="0"/>
              <w:rPr>
                <w:sz w:val="1"/>
                <w:szCs w:val="1"/>
                <w:color w:val="auto"/>
              </w:rPr>
            </w:pP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i</w:t>
      </w:r>
    </w:p>
    <w:p>
      <w:pPr>
        <w:sectPr>
          <w:pgSz w:w="11900" w:h="16838" w:orient="portrait"/>
          <w:cols w:equalWidth="0" w:num="1">
            <w:col w:w="11220"/>
          </w:cols>
          <w:pgMar w:left="240" w:top="445"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TABLE OF CONTENTS</w:t>
      </w:r>
    </w:p>
    <w:p>
      <w:pPr>
        <w:spacing w:after="0" w:line="229" w:lineRule="exact"/>
        <w:rPr>
          <w:sz w:val="20"/>
          <w:szCs w:val="20"/>
          <w:color w:val="auto"/>
        </w:rPr>
      </w:pPr>
    </w:p>
    <w:tbl>
      <w:tblPr>
        <w:tblLayout w:type="fixed"/>
        <w:tblInd w:w="220" w:type="dxa"/>
        <w:tblCellMar>
          <w:top w:w="0" w:type="dxa"/>
          <w:left w:w="0" w:type="dxa"/>
          <w:bottom w:w="0" w:type="dxa"/>
          <w:right w:w="0" w:type="dxa"/>
        </w:tblCellMar>
      </w:tblPr>
      <w:tr>
        <w:trPr>
          <w:trHeight w:val="253"/>
        </w:trPr>
        <w:tc>
          <w:tcPr>
            <w:tcW w:w="9780" w:type="dxa"/>
            <w:vAlign w:val="bottom"/>
            <w:gridSpan w:val="21"/>
          </w:tcPr>
          <w:p>
            <w:pPr>
              <w:spacing w:after="0"/>
              <w:rPr>
                <w:rFonts w:ascii="Arial" w:cs="Arial" w:eastAsia="Arial" w:hAnsi="Arial"/>
                <w:sz w:val="22"/>
                <w:szCs w:val="22"/>
                <w:color w:val="0000EE"/>
              </w:rPr>
            </w:pPr>
            <w:hyperlink w:anchor="page60">
              <w:r>
                <w:rPr>
                  <w:rFonts w:ascii="Arial" w:cs="Arial" w:eastAsia="Arial" w:hAnsi="Arial"/>
                  <w:sz w:val="22"/>
                  <w:szCs w:val="22"/>
                  <w:color w:val="0000EE"/>
                </w:rPr>
                <w:t>Executive Compensation Tables</w:t>
              </w:r>
            </w:hyperlink>
          </w:p>
        </w:tc>
        <w:tc>
          <w:tcPr>
            <w:tcW w:w="1160" w:type="dxa"/>
            <w:vAlign w:val="bottom"/>
          </w:tcPr>
          <w:p>
            <w:pPr>
              <w:jc w:val="right"/>
              <w:spacing w:after="0"/>
              <w:rPr>
                <w:sz w:val="20"/>
                <w:szCs w:val="20"/>
                <w:color w:val="auto"/>
              </w:rPr>
            </w:pPr>
            <w:r>
              <w:rPr>
                <w:rFonts w:ascii="Arial" w:cs="Arial" w:eastAsia="Arial" w:hAnsi="Arial"/>
                <w:sz w:val="22"/>
                <w:szCs w:val="22"/>
                <w:color w:val="32406B"/>
              </w:rPr>
              <w:t>55</w:t>
            </w:r>
          </w:p>
        </w:tc>
        <w:tc>
          <w:tcPr>
            <w:tcW w:w="0" w:type="dxa"/>
            <w:vAlign w:val="bottom"/>
          </w:tcPr>
          <w:p>
            <w:pPr>
              <w:spacing w:after="0"/>
              <w:rPr>
                <w:sz w:val="1"/>
                <w:szCs w:val="1"/>
                <w:color w:val="auto"/>
              </w:rPr>
            </w:pPr>
          </w:p>
        </w:tc>
      </w:tr>
      <w:tr>
        <w:trPr>
          <w:trHeight w:val="209"/>
        </w:trPr>
        <w:tc>
          <w:tcPr>
            <w:tcW w:w="200" w:type="dxa"/>
            <w:vAlign w:val="bottom"/>
            <w:tcBorders>
              <w:top w:val="single" w:sz="8" w:color="0000EE"/>
            </w:tcBorders>
          </w:tcPr>
          <w:p>
            <w:pPr>
              <w:spacing w:after="0"/>
              <w:rPr>
                <w:sz w:val="18"/>
                <w:szCs w:val="18"/>
                <w:color w:val="auto"/>
              </w:rPr>
            </w:pPr>
          </w:p>
        </w:tc>
        <w:tc>
          <w:tcPr>
            <w:tcW w:w="2700" w:type="dxa"/>
            <w:vAlign w:val="bottom"/>
            <w:tcBorders>
              <w:top w:val="single" w:sz="8" w:color="0000EE"/>
              <w:bottom w:val="single" w:sz="8" w:color="0000EE"/>
            </w:tcBorders>
            <w:gridSpan w:val="4"/>
          </w:tcPr>
          <w:p>
            <w:pPr>
              <w:spacing w:after="0" w:line="209" w:lineRule="exact"/>
              <w:rPr>
                <w:rFonts w:ascii="Arial" w:cs="Arial" w:eastAsia="Arial" w:hAnsi="Arial"/>
                <w:sz w:val="20"/>
                <w:szCs w:val="20"/>
                <w:color w:val="0000EE"/>
                <w:w w:val="97"/>
              </w:rPr>
            </w:pPr>
            <w:hyperlink w:anchor="page60">
              <w:r>
                <w:rPr>
                  <w:rFonts w:ascii="Arial" w:cs="Arial" w:eastAsia="Arial" w:hAnsi="Arial"/>
                  <w:sz w:val="20"/>
                  <w:szCs w:val="20"/>
                  <w:color w:val="0000EE"/>
                  <w:w w:val="97"/>
                </w:rPr>
                <w:t>Summary Compensation Table</w:t>
              </w:r>
            </w:hyperlink>
          </w:p>
        </w:tc>
        <w:tc>
          <w:tcPr>
            <w:tcW w:w="160" w:type="dxa"/>
            <w:vAlign w:val="bottom"/>
            <w:tcBorders>
              <w:top w:val="single" w:sz="8" w:color="0000EE"/>
            </w:tcBorders>
          </w:tcPr>
          <w:p>
            <w:pPr>
              <w:spacing w:after="0"/>
              <w:rPr>
                <w:sz w:val="18"/>
                <w:szCs w:val="18"/>
                <w:color w:val="auto"/>
              </w:rPr>
            </w:pPr>
          </w:p>
        </w:tc>
        <w:tc>
          <w:tcPr>
            <w:tcW w:w="6720" w:type="dxa"/>
            <w:vAlign w:val="bottom"/>
            <w:gridSpan w:val="15"/>
          </w:tcPr>
          <w:p>
            <w:pPr>
              <w:spacing w:after="0"/>
              <w:rPr>
                <w:sz w:val="18"/>
                <w:szCs w:val="18"/>
                <w:color w:val="auto"/>
              </w:rPr>
            </w:pPr>
          </w:p>
        </w:tc>
        <w:tc>
          <w:tcPr>
            <w:tcW w:w="1160" w:type="dxa"/>
            <w:vAlign w:val="bottom"/>
          </w:tcPr>
          <w:p>
            <w:pPr>
              <w:jc w:val="right"/>
              <w:spacing w:after="0" w:line="209" w:lineRule="exact"/>
              <w:rPr>
                <w:sz w:val="20"/>
                <w:szCs w:val="20"/>
                <w:color w:val="auto"/>
              </w:rPr>
            </w:pPr>
            <w:r>
              <w:rPr>
                <w:rFonts w:ascii="Arial" w:cs="Arial" w:eastAsia="Arial" w:hAnsi="Arial"/>
                <w:sz w:val="20"/>
                <w:szCs w:val="20"/>
                <w:color w:val="auto"/>
              </w:rPr>
              <w:t>55</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3300" w:type="dxa"/>
            <w:vAlign w:val="bottom"/>
            <w:tcBorders>
              <w:bottom w:val="single" w:sz="8" w:color="0000EE"/>
            </w:tcBorders>
            <w:gridSpan w:val="7"/>
          </w:tcPr>
          <w:p>
            <w:pPr>
              <w:spacing w:after="0" w:line="196" w:lineRule="exact"/>
              <w:rPr>
                <w:rFonts w:ascii="Arial" w:cs="Arial" w:eastAsia="Arial" w:hAnsi="Arial"/>
                <w:sz w:val="20"/>
                <w:szCs w:val="20"/>
                <w:color w:val="0000EE"/>
                <w:w w:val="98"/>
              </w:rPr>
            </w:pPr>
            <w:hyperlink w:anchor="page62">
              <w:r>
                <w:rPr>
                  <w:rFonts w:ascii="Arial" w:cs="Arial" w:eastAsia="Arial" w:hAnsi="Arial"/>
                  <w:sz w:val="20"/>
                  <w:szCs w:val="20"/>
                  <w:color w:val="0000EE"/>
                  <w:w w:val="98"/>
                </w:rPr>
                <w:t>Grants of Plan-Based Awards in 2017</w:t>
              </w:r>
            </w:hyperlink>
          </w:p>
        </w:tc>
        <w:tc>
          <w:tcPr>
            <w:tcW w:w="6280" w:type="dxa"/>
            <w:vAlign w:val="bottom"/>
            <w:gridSpan w:val="13"/>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20"/>
                <w:szCs w:val="20"/>
                <w:color w:val="auto"/>
              </w:rPr>
              <w:t>57</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9580" w:type="dxa"/>
            <w:vAlign w:val="bottom"/>
            <w:gridSpan w:val="20"/>
          </w:tcPr>
          <w:p>
            <w:pPr>
              <w:spacing w:after="0" w:line="196" w:lineRule="exact"/>
              <w:rPr>
                <w:rFonts w:ascii="Arial" w:cs="Arial" w:eastAsia="Arial" w:hAnsi="Arial"/>
                <w:sz w:val="20"/>
                <w:szCs w:val="20"/>
                <w:color w:val="0000EE"/>
              </w:rPr>
            </w:pPr>
            <w:hyperlink w:anchor="page63">
              <w:r>
                <w:rPr>
                  <w:rFonts w:ascii="Arial" w:cs="Arial" w:eastAsia="Arial" w:hAnsi="Arial"/>
                  <w:sz w:val="20"/>
                  <w:szCs w:val="20"/>
                  <w:color w:val="0000EE"/>
                </w:rPr>
                <w:t>Outstanding Equity Awards at Fiscal Year-End 2017</w:t>
              </w:r>
            </w:hyperlink>
          </w:p>
        </w:tc>
        <w:tc>
          <w:tcPr>
            <w:tcW w:w="1160" w:type="dxa"/>
            <w:vAlign w:val="bottom"/>
          </w:tcPr>
          <w:p>
            <w:pPr>
              <w:jc w:val="right"/>
              <w:spacing w:after="0" w:line="196" w:lineRule="exact"/>
              <w:rPr>
                <w:sz w:val="20"/>
                <w:szCs w:val="20"/>
                <w:color w:val="auto"/>
              </w:rPr>
            </w:pPr>
            <w:r>
              <w:rPr>
                <w:rFonts w:ascii="Arial" w:cs="Arial" w:eastAsia="Arial" w:hAnsi="Arial"/>
                <w:sz w:val="20"/>
                <w:szCs w:val="20"/>
                <w:color w:val="auto"/>
              </w:rPr>
              <w:t>58</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3780" w:type="dxa"/>
            <w:vAlign w:val="bottom"/>
            <w:tcBorders>
              <w:top w:val="single" w:sz="8" w:color="0000EE"/>
              <w:bottom w:val="single" w:sz="8" w:color="0000EE"/>
            </w:tcBorders>
            <w:gridSpan w:val="8"/>
          </w:tcPr>
          <w:p>
            <w:pPr>
              <w:spacing w:after="0" w:line="196" w:lineRule="exact"/>
              <w:rPr>
                <w:rFonts w:ascii="Arial" w:cs="Arial" w:eastAsia="Arial" w:hAnsi="Arial"/>
                <w:sz w:val="20"/>
                <w:szCs w:val="20"/>
                <w:color w:val="0000EE"/>
                <w:w w:val="97"/>
              </w:rPr>
            </w:pPr>
            <w:hyperlink w:anchor="page65">
              <w:r>
                <w:rPr>
                  <w:rFonts w:ascii="Arial" w:cs="Arial" w:eastAsia="Arial" w:hAnsi="Arial"/>
                  <w:sz w:val="20"/>
                  <w:szCs w:val="20"/>
                  <w:color w:val="0000EE"/>
                  <w:w w:val="97"/>
                </w:rPr>
                <w:t>Option Exercises and Stock Vested in 2017</w:t>
              </w:r>
            </w:hyperlink>
          </w:p>
        </w:tc>
        <w:tc>
          <w:tcPr>
            <w:tcW w:w="740" w:type="dxa"/>
            <w:vAlign w:val="bottom"/>
            <w:tcBorders>
              <w:top w:val="single" w:sz="8" w:color="0000EE"/>
            </w:tcBorders>
            <w:gridSpan w:val="3"/>
          </w:tcPr>
          <w:p>
            <w:pPr>
              <w:spacing w:after="0"/>
              <w:rPr>
                <w:sz w:val="17"/>
                <w:szCs w:val="17"/>
                <w:color w:val="auto"/>
              </w:rPr>
            </w:pPr>
          </w:p>
        </w:tc>
        <w:tc>
          <w:tcPr>
            <w:tcW w:w="5060" w:type="dxa"/>
            <w:vAlign w:val="bottom"/>
            <w:gridSpan w:val="9"/>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20"/>
                <w:szCs w:val="20"/>
                <w:color w:val="auto"/>
              </w:rPr>
              <w:t>60</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2700" w:type="dxa"/>
            <w:vAlign w:val="bottom"/>
            <w:tcBorders>
              <w:bottom w:val="single" w:sz="8" w:color="0000EE"/>
            </w:tcBorders>
            <w:gridSpan w:val="4"/>
          </w:tcPr>
          <w:p>
            <w:pPr>
              <w:spacing w:after="0" w:line="196" w:lineRule="exact"/>
              <w:rPr>
                <w:rFonts w:ascii="Arial" w:cs="Arial" w:eastAsia="Arial" w:hAnsi="Arial"/>
                <w:sz w:val="20"/>
                <w:szCs w:val="20"/>
                <w:color w:val="0000EE"/>
                <w:w w:val="97"/>
              </w:rPr>
            </w:pPr>
            <w:hyperlink w:anchor="page66">
              <w:r>
                <w:rPr>
                  <w:rFonts w:ascii="Arial" w:cs="Arial" w:eastAsia="Arial" w:hAnsi="Arial"/>
                  <w:sz w:val="20"/>
                  <w:szCs w:val="20"/>
                  <w:color w:val="0000EE"/>
                  <w:w w:val="97"/>
                </w:rPr>
                <w:t>Pension Benefits through 2017</w:t>
              </w:r>
            </w:hyperlink>
          </w:p>
        </w:tc>
        <w:tc>
          <w:tcPr>
            <w:tcW w:w="6880" w:type="dxa"/>
            <w:vAlign w:val="bottom"/>
            <w:gridSpan w:val="16"/>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20"/>
                <w:szCs w:val="20"/>
                <w:color w:val="auto"/>
              </w:rPr>
              <w:t>61</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9580" w:type="dxa"/>
            <w:vAlign w:val="bottom"/>
            <w:gridSpan w:val="20"/>
          </w:tcPr>
          <w:p>
            <w:pPr>
              <w:spacing w:after="0" w:line="196" w:lineRule="exact"/>
              <w:rPr>
                <w:rFonts w:ascii="Arial" w:cs="Arial" w:eastAsia="Arial" w:hAnsi="Arial"/>
                <w:sz w:val="20"/>
                <w:szCs w:val="20"/>
                <w:color w:val="0000EE"/>
              </w:rPr>
            </w:pPr>
            <w:hyperlink w:anchor="page68">
              <w:r>
                <w:rPr>
                  <w:rFonts w:ascii="Arial" w:cs="Arial" w:eastAsia="Arial" w:hAnsi="Arial"/>
                  <w:sz w:val="20"/>
                  <w:szCs w:val="20"/>
                  <w:color w:val="0000EE"/>
                </w:rPr>
                <w:t>Nonqualified Deferred Compensation in 2017</w:t>
              </w:r>
            </w:hyperlink>
          </w:p>
        </w:tc>
        <w:tc>
          <w:tcPr>
            <w:tcW w:w="1160" w:type="dxa"/>
            <w:vAlign w:val="bottom"/>
          </w:tcPr>
          <w:p>
            <w:pPr>
              <w:jc w:val="right"/>
              <w:spacing w:after="0" w:line="196" w:lineRule="exact"/>
              <w:rPr>
                <w:sz w:val="20"/>
                <w:szCs w:val="20"/>
                <w:color w:val="auto"/>
              </w:rPr>
            </w:pPr>
            <w:r>
              <w:rPr>
                <w:rFonts w:ascii="Arial" w:cs="Arial" w:eastAsia="Arial" w:hAnsi="Arial"/>
                <w:sz w:val="20"/>
                <w:szCs w:val="20"/>
                <w:color w:val="auto"/>
              </w:rPr>
              <w:t>63</w:t>
            </w:r>
          </w:p>
        </w:tc>
        <w:tc>
          <w:tcPr>
            <w:tcW w:w="0" w:type="dxa"/>
            <w:vAlign w:val="bottom"/>
          </w:tcPr>
          <w:p>
            <w:pPr>
              <w:spacing w:after="0"/>
              <w:rPr>
                <w:sz w:val="1"/>
                <w:szCs w:val="1"/>
                <w:color w:val="auto"/>
              </w:rPr>
            </w:pPr>
          </w:p>
        </w:tc>
      </w:tr>
      <w:tr>
        <w:trPr>
          <w:trHeight w:val="20"/>
        </w:trPr>
        <w:tc>
          <w:tcPr>
            <w:tcW w:w="200" w:type="dxa"/>
            <w:vAlign w:val="bottom"/>
            <w:tcBorders>
              <w:right w:val="single" w:sz="8" w:color="0000EE"/>
            </w:tcBorders>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vMerge w:val="restart"/>
          </w:tcPr>
          <w:p>
            <w:pPr>
              <w:jc w:val="right"/>
              <w:spacing w:after="0" w:line="216" w:lineRule="exact"/>
              <w:rPr>
                <w:sz w:val="20"/>
                <w:szCs w:val="20"/>
                <w:color w:val="auto"/>
              </w:rPr>
            </w:pPr>
            <w:r>
              <w:rPr>
                <w:rFonts w:ascii="Arial" w:cs="Arial" w:eastAsia="Arial" w:hAnsi="Arial"/>
                <w:sz w:val="20"/>
                <w:szCs w:val="20"/>
                <w:color w:val="auto"/>
              </w:rPr>
              <w:t>64</w:t>
            </w:r>
          </w:p>
        </w:tc>
        <w:tc>
          <w:tcPr>
            <w:tcW w:w="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9580" w:type="dxa"/>
            <w:vAlign w:val="bottom"/>
            <w:gridSpan w:val="20"/>
          </w:tcPr>
          <w:p>
            <w:pPr>
              <w:spacing w:after="0" w:line="196" w:lineRule="exact"/>
              <w:rPr>
                <w:rFonts w:ascii="Arial" w:cs="Arial" w:eastAsia="Arial" w:hAnsi="Arial"/>
                <w:sz w:val="20"/>
                <w:szCs w:val="20"/>
                <w:color w:val="0000EE"/>
              </w:rPr>
            </w:pPr>
            <w:hyperlink w:anchor="page69">
              <w:r>
                <w:rPr>
                  <w:rFonts w:ascii="Arial" w:cs="Arial" w:eastAsia="Arial" w:hAnsi="Arial"/>
                  <w:sz w:val="20"/>
                  <w:szCs w:val="20"/>
                  <w:color w:val="0000EE"/>
                </w:rPr>
                <w:t>Potential Payments upon Termination or Change-in-Control</w:t>
              </w:r>
            </w:hyperlink>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 w:type="dxa"/>
            <w:vAlign w:val="bottom"/>
            <w:tcBorders>
              <w:right w:val="single" w:sz="8" w:color="0000EE"/>
            </w:tcBorders>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vMerge w:val="restart"/>
          </w:tcPr>
          <w:p>
            <w:pPr>
              <w:jc w:val="right"/>
              <w:spacing w:after="0" w:line="216" w:lineRule="exact"/>
              <w:rPr>
                <w:sz w:val="20"/>
                <w:szCs w:val="20"/>
                <w:color w:val="auto"/>
              </w:rPr>
            </w:pPr>
            <w:r>
              <w:rPr>
                <w:rFonts w:ascii="Arial" w:cs="Arial" w:eastAsia="Arial" w:hAnsi="Arial"/>
                <w:sz w:val="20"/>
                <w:szCs w:val="20"/>
                <w:color w:val="auto"/>
              </w:rPr>
              <w:t>67</w:t>
            </w:r>
          </w:p>
        </w:tc>
        <w:tc>
          <w:tcPr>
            <w:tcW w:w="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7140" w:type="dxa"/>
            <w:vAlign w:val="bottom"/>
            <w:tcBorders>
              <w:bottom w:val="single" w:sz="8" w:color="0000EE"/>
            </w:tcBorders>
            <w:gridSpan w:val="16"/>
          </w:tcPr>
          <w:p>
            <w:pPr>
              <w:spacing w:after="0" w:line="196" w:lineRule="exact"/>
              <w:rPr>
                <w:rFonts w:ascii="Arial" w:cs="Arial" w:eastAsia="Arial" w:hAnsi="Arial"/>
                <w:sz w:val="20"/>
                <w:szCs w:val="20"/>
                <w:color w:val="0000EE"/>
                <w:w w:val="98"/>
              </w:rPr>
            </w:pPr>
            <w:hyperlink w:anchor="page72">
              <w:r>
                <w:rPr>
                  <w:rFonts w:ascii="Arial" w:cs="Arial" w:eastAsia="Arial" w:hAnsi="Arial"/>
                  <w:sz w:val="20"/>
                  <w:szCs w:val="20"/>
                  <w:color w:val="0000EE"/>
                  <w:w w:val="98"/>
                </w:rPr>
                <w:t>Potential Payments in Connection with a Change-in-Control (Without Termination)</w:t>
              </w:r>
            </w:hyperlink>
          </w:p>
        </w:tc>
        <w:tc>
          <w:tcPr>
            <w:tcW w:w="2440" w:type="dxa"/>
            <w:vAlign w:val="bottom"/>
            <w:gridSpan w:val="4"/>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9580" w:type="dxa"/>
            <w:vAlign w:val="bottom"/>
            <w:gridSpan w:val="20"/>
          </w:tcPr>
          <w:p>
            <w:pPr>
              <w:spacing w:after="0" w:line="196" w:lineRule="exact"/>
              <w:rPr>
                <w:rFonts w:ascii="Arial" w:cs="Arial" w:eastAsia="Arial" w:hAnsi="Arial"/>
                <w:sz w:val="20"/>
                <w:szCs w:val="20"/>
                <w:color w:val="0000EE"/>
              </w:rPr>
            </w:pPr>
            <w:hyperlink w:anchor="page74">
              <w:r>
                <w:rPr>
                  <w:rFonts w:ascii="Arial" w:cs="Arial" w:eastAsia="Arial" w:hAnsi="Arial"/>
                  <w:sz w:val="20"/>
                  <w:szCs w:val="20"/>
                  <w:color w:val="0000EE"/>
                </w:rPr>
                <w:t>Potential Payments upon Termination Following a Change-in-Control</w:t>
              </w:r>
            </w:hyperlink>
          </w:p>
        </w:tc>
        <w:tc>
          <w:tcPr>
            <w:tcW w:w="1160" w:type="dxa"/>
            <w:vAlign w:val="bottom"/>
          </w:tcPr>
          <w:p>
            <w:pPr>
              <w:jc w:val="right"/>
              <w:spacing w:after="0" w:line="196" w:lineRule="exact"/>
              <w:rPr>
                <w:sz w:val="20"/>
                <w:szCs w:val="20"/>
                <w:color w:val="auto"/>
              </w:rPr>
            </w:pPr>
            <w:r>
              <w:rPr>
                <w:rFonts w:ascii="Arial" w:cs="Arial" w:eastAsia="Arial" w:hAnsi="Arial"/>
                <w:sz w:val="20"/>
                <w:szCs w:val="20"/>
                <w:color w:val="auto"/>
              </w:rPr>
              <w:t>69</w:t>
            </w:r>
          </w:p>
        </w:tc>
        <w:tc>
          <w:tcPr>
            <w:tcW w:w="0" w:type="dxa"/>
            <w:vAlign w:val="bottom"/>
          </w:tcPr>
          <w:p>
            <w:pPr>
              <w:spacing w:after="0"/>
              <w:rPr>
                <w:sz w:val="1"/>
                <w:szCs w:val="1"/>
                <w:color w:val="auto"/>
              </w:rPr>
            </w:pPr>
          </w:p>
        </w:tc>
      </w:tr>
      <w:tr>
        <w:trPr>
          <w:trHeight w:val="20"/>
        </w:trPr>
        <w:tc>
          <w:tcPr>
            <w:tcW w:w="200" w:type="dxa"/>
            <w:vAlign w:val="bottom"/>
            <w:tcBorders>
              <w:right w:val="single" w:sz="8" w:color="0000EE"/>
            </w:tcBorders>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162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8320" w:type="dxa"/>
            <w:vAlign w:val="bottom"/>
            <w:tcBorders>
              <w:bottom w:val="single" w:sz="8" w:color="0000EE"/>
            </w:tcBorders>
            <w:gridSpan w:val="18"/>
          </w:tcPr>
          <w:p>
            <w:pPr>
              <w:spacing w:after="0"/>
              <w:rPr>
                <w:rFonts w:ascii="Arial" w:cs="Arial" w:eastAsia="Arial" w:hAnsi="Arial"/>
                <w:sz w:val="22"/>
                <w:szCs w:val="22"/>
                <w:color w:val="0000EE"/>
                <w:w w:val="98"/>
              </w:rPr>
            </w:pPr>
            <w:hyperlink w:anchor="page76">
              <w:r>
                <w:rPr>
                  <w:rFonts w:ascii="Arial" w:cs="Arial" w:eastAsia="Arial" w:hAnsi="Arial"/>
                  <w:sz w:val="22"/>
                  <w:szCs w:val="22"/>
                  <w:color w:val="0000EE"/>
                  <w:w w:val="98"/>
                </w:rPr>
                <w:t>Proposal 3 — Advisory Resolution to Approve Named Executive Officer Compensation</w:t>
              </w:r>
            </w:hyperlink>
          </w:p>
        </w:tc>
        <w:tc>
          <w:tcPr>
            <w:tcW w:w="1460" w:type="dxa"/>
            <w:vAlign w:val="bottom"/>
            <w:gridSpan w:val="3"/>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32406B"/>
              </w:rPr>
              <w:t>71</w:t>
            </w:r>
          </w:p>
        </w:tc>
        <w:tc>
          <w:tcPr>
            <w:tcW w:w="0" w:type="dxa"/>
            <w:vAlign w:val="bottom"/>
          </w:tcPr>
          <w:p>
            <w:pPr>
              <w:spacing w:after="0"/>
              <w:rPr>
                <w:sz w:val="1"/>
                <w:szCs w:val="1"/>
                <w:color w:val="auto"/>
              </w:rPr>
            </w:pPr>
          </w:p>
        </w:tc>
      </w:tr>
      <w:tr>
        <w:trPr>
          <w:trHeight w:val="331"/>
        </w:trPr>
        <w:tc>
          <w:tcPr>
            <w:tcW w:w="9780" w:type="dxa"/>
            <w:vAlign w:val="bottom"/>
            <w:gridSpan w:val="21"/>
          </w:tcPr>
          <w:p>
            <w:pPr>
              <w:spacing w:after="0"/>
              <w:rPr>
                <w:rFonts w:ascii="Arial" w:cs="Arial" w:eastAsia="Arial" w:hAnsi="Arial"/>
                <w:sz w:val="22"/>
                <w:szCs w:val="22"/>
                <w:color w:val="0000EE"/>
              </w:rPr>
            </w:pPr>
            <w:hyperlink w:anchor="page77">
              <w:r>
                <w:rPr>
                  <w:rFonts w:ascii="Arial" w:cs="Arial" w:eastAsia="Arial" w:hAnsi="Arial"/>
                  <w:sz w:val="22"/>
                  <w:szCs w:val="22"/>
                  <w:color w:val="0000EE"/>
                </w:rPr>
                <w:t>Management Proposals</w:t>
              </w:r>
            </w:hyperlink>
          </w:p>
        </w:tc>
        <w:tc>
          <w:tcPr>
            <w:tcW w:w="1160" w:type="dxa"/>
            <w:vAlign w:val="bottom"/>
          </w:tcPr>
          <w:p>
            <w:pPr>
              <w:jc w:val="right"/>
              <w:spacing w:after="0"/>
              <w:rPr>
                <w:sz w:val="20"/>
                <w:szCs w:val="20"/>
                <w:color w:val="auto"/>
              </w:rPr>
            </w:pPr>
            <w:r>
              <w:rPr>
                <w:rFonts w:ascii="Arial" w:cs="Arial" w:eastAsia="Arial" w:hAnsi="Arial"/>
                <w:sz w:val="22"/>
                <w:szCs w:val="22"/>
                <w:color w:val="32406B"/>
              </w:rPr>
              <w:t>72</w:t>
            </w:r>
          </w:p>
        </w:tc>
        <w:tc>
          <w:tcPr>
            <w:tcW w:w="0" w:type="dxa"/>
            <w:vAlign w:val="bottom"/>
          </w:tcPr>
          <w:p>
            <w:pPr>
              <w:spacing w:after="0"/>
              <w:rPr>
                <w:sz w:val="1"/>
                <w:szCs w:val="1"/>
                <w:color w:val="auto"/>
              </w:rPr>
            </w:pPr>
          </w:p>
        </w:tc>
      </w:tr>
      <w:tr>
        <w:trPr>
          <w:trHeight w:val="20"/>
        </w:trPr>
        <w:tc>
          <w:tcPr>
            <w:tcW w:w="200" w:type="dxa"/>
            <w:vAlign w:val="bottom"/>
            <w:tcBorders>
              <w:right w:val="single" w:sz="8" w:color="0000EE"/>
            </w:tcBorders>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2920" w:type="dxa"/>
            <w:vAlign w:val="bottom"/>
            <w:tcBorders>
              <w:bottom w:val="single" w:sz="8" w:color="0000EE"/>
            </w:tcBorders>
            <w:gridSpan w:val="6"/>
          </w:tcPr>
          <w:p>
            <w:pPr>
              <w:spacing w:after="0" w:line="209" w:lineRule="exact"/>
              <w:rPr>
                <w:rFonts w:ascii="Arial" w:cs="Arial" w:eastAsia="Arial" w:hAnsi="Arial"/>
                <w:sz w:val="20"/>
                <w:szCs w:val="20"/>
                <w:color w:val="0000EE"/>
                <w:w w:val="98"/>
              </w:rPr>
            </w:pPr>
            <w:hyperlink w:anchor="page77">
              <w:r>
                <w:rPr>
                  <w:rFonts w:ascii="Arial" w:cs="Arial" w:eastAsia="Arial" w:hAnsi="Arial"/>
                  <w:sz w:val="20"/>
                  <w:szCs w:val="20"/>
                  <w:color w:val="0000EE"/>
                  <w:w w:val="98"/>
                </w:rPr>
                <w:t>Background of Proposals 4 and 5</w:t>
              </w:r>
            </w:hyperlink>
          </w:p>
        </w:tc>
        <w:tc>
          <w:tcPr>
            <w:tcW w:w="6660" w:type="dxa"/>
            <w:vAlign w:val="bottom"/>
            <w:gridSpan w:val="14"/>
          </w:tcPr>
          <w:p>
            <w:pPr>
              <w:spacing w:after="0"/>
              <w:rPr>
                <w:sz w:val="18"/>
                <w:szCs w:val="18"/>
                <w:color w:val="auto"/>
              </w:rPr>
            </w:pPr>
          </w:p>
        </w:tc>
        <w:tc>
          <w:tcPr>
            <w:tcW w:w="1160" w:type="dxa"/>
            <w:vAlign w:val="bottom"/>
          </w:tcPr>
          <w:p>
            <w:pPr>
              <w:jc w:val="right"/>
              <w:spacing w:after="0" w:line="209" w:lineRule="exact"/>
              <w:rPr>
                <w:sz w:val="20"/>
                <w:szCs w:val="20"/>
                <w:color w:val="auto"/>
              </w:rPr>
            </w:pPr>
            <w:r>
              <w:rPr>
                <w:rFonts w:ascii="Arial" w:cs="Arial" w:eastAsia="Arial" w:hAnsi="Arial"/>
                <w:sz w:val="20"/>
                <w:szCs w:val="20"/>
                <w:color w:val="auto"/>
              </w:rPr>
              <w:t>72</w:t>
            </w:r>
          </w:p>
        </w:tc>
        <w:tc>
          <w:tcPr>
            <w:tcW w:w="0" w:type="dxa"/>
            <w:vAlign w:val="bottom"/>
          </w:tcPr>
          <w:p>
            <w:pPr>
              <w:spacing w:after="0"/>
              <w:rPr>
                <w:sz w:val="1"/>
                <w:szCs w:val="1"/>
                <w:color w:val="auto"/>
              </w:rPr>
            </w:pPr>
          </w:p>
        </w:tc>
      </w:tr>
      <w:tr>
        <w:trPr>
          <w:trHeight w:val="317"/>
        </w:trPr>
        <w:tc>
          <w:tcPr>
            <w:tcW w:w="9780" w:type="dxa"/>
            <w:vAlign w:val="bottom"/>
            <w:tcBorders>
              <w:bottom w:val="single" w:sz="8" w:color="0000EE"/>
            </w:tcBorders>
            <w:gridSpan w:val="21"/>
          </w:tcPr>
          <w:p>
            <w:pPr>
              <w:spacing w:after="0"/>
              <w:rPr>
                <w:rFonts w:ascii="Arial" w:cs="Arial" w:eastAsia="Arial" w:hAnsi="Arial"/>
                <w:sz w:val="22"/>
                <w:szCs w:val="22"/>
                <w:color w:val="0000EE"/>
                <w:w w:val="98"/>
              </w:rPr>
            </w:pPr>
            <w:hyperlink w:anchor="page79">
              <w:r>
                <w:rPr>
                  <w:rFonts w:ascii="Arial" w:cs="Arial" w:eastAsia="Arial" w:hAnsi="Arial"/>
                  <w:sz w:val="22"/>
                  <w:szCs w:val="22"/>
                  <w:color w:val="0000EE"/>
                  <w:w w:val="98"/>
                </w:rPr>
                <w:t>Proposal 4 — Approval of Amendments to Article 15 of Our Charter to Eliminate Super-Majority Voting</w:t>
              </w:r>
            </w:hyperlink>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9580" w:type="dxa"/>
            <w:vAlign w:val="bottom"/>
            <w:gridSpan w:val="20"/>
          </w:tcPr>
          <w:p>
            <w:pPr>
              <w:spacing w:after="0" w:line="223" w:lineRule="exact"/>
              <w:rPr>
                <w:rFonts w:ascii="Arial" w:cs="Arial" w:eastAsia="Arial" w:hAnsi="Arial"/>
                <w:sz w:val="22"/>
                <w:szCs w:val="22"/>
                <w:color w:val="0000EE"/>
              </w:rPr>
            </w:pPr>
            <w:hyperlink w:anchor="page79">
              <w:r>
                <w:rPr>
                  <w:rFonts w:ascii="Arial" w:cs="Arial" w:eastAsia="Arial" w:hAnsi="Arial"/>
                  <w:sz w:val="22"/>
                  <w:szCs w:val="22"/>
                  <w:color w:val="0000EE"/>
                </w:rPr>
                <w:t>Requirement</w:t>
              </w:r>
            </w:hyperlink>
          </w:p>
        </w:tc>
        <w:tc>
          <w:tcPr>
            <w:tcW w:w="1160" w:type="dxa"/>
            <w:vAlign w:val="bottom"/>
          </w:tcPr>
          <w:p>
            <w:pPr>
              <w:jc w:val="right"/>
              <w:spacing w:after="0" w:line="223" w:lineRule="exact"/>
              <w:rPr>
                <w:sz w:val="20"/>
                <w:szCs w:val="20"/>
                <w:color w:val="auto"/>
              </w:rPr>
            </w:pPr>
            <w:r>
              <w:rPr>
                <w:rFonts w:ascii="Arial" w:cs="Arial" w:eastAsia="Arial" w:hAnsi="Arial"/>
                <w:sz w:val="22"/>
                <w:szCs w:val="22"/>
                <w:color w:val="32406B"/>
              </w:rPr>
              <w:t>74</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640" w:type="dxa"/>
            <w:vAlign w:val="bottom"/>
            <w:gridSpan w:val="7"/>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9780" w:type="dxa"/>
            <w:vAlign w:val="bottom"/>
            <w:tcBorders>
              <w:bottom w:val="single" w:sz="8" w:color="0000EE"/>
            </w:tcBorders>
            <w:gridSpan w:val="21"/>
          </w:tcPr>
          <w:p>
            <w:pPr>
              <w:spacing w:after="0"/>
              <w:rPr>
                <w:rFonts w:ascii="Arial" w:cs="Arial" w:eastAsia="Arial" w:hAnsi="Arial"/>
                <w:sz w:val="22"/>
                <w:szCs w:val="22"/>
                <w:color w:val="0000EE"/>
                <w:w w:val="98"/>
              </w:rPr>
            </w:pPr>
            <w:hyperlink w:anchor="page80">
              <w:r>
                <w:rPr>
                  <w:rFonts w:ascii="Arial" w:cs="Arial" w:eastAsia="Arial" w:hAnsi="Arial"/>
                  <w:sz w:val="22"/>
                  <w:szCs w:val="22"/>
                  <w:color w:val="0000EE"/>
                  <w:w w:val="98"/>
                </w:rPr>
                <w:t>Proposal 5 — Approval of Amendments to Article 16 of Our Charter to Eliminate Super-Majority Voting</w:t>
              </w:r>
            </w:hyperlink>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9580" w:type="dxa"/>
            <w:vAlign w:val="bottom"/>
            <w:gridSpan w:val="20"/>
          </w:tcPr>
          <w:p>
            <w:pPr>
              <w:spacing w:after="0" w:line="223" w:lineRule="exact"/>
              <w:rPr>
                <w:rFonts w:ascii="Arial" w:cs="Arial" w:eastAsia="Arial" w:hAnsi="Arial"/>
                <w:sz w:val="22"/>
                <w:szCs w:val="22"/>
                <w:color w:val="0000EE"/>
              </w:rPr>
            </w:pPr>
            <w:hyperlink w:anchor="page80">
              <w:r>
                <w:rPr>
                  <w:rFonts w:ascii="Arial" w:cs="Arial" w:eastAsia="Arial" w:hAnsi="Arial"/>
                  <w:sz w:val="22"/>
                  <w:szCs w:val="22"/>
                  <w:color w:val="0000EE"/>
                </w:rPr>
                <w:t>Requirement</w:t>
              </w:r>
            </w:hyperlink>
          </w:p>
        </w:tc>
        <w:tc>
          <w:tcPr>
            <w:tcW w:w="1160" w:type="dxa"/>
            <w:vAlign w:val="bottom"/>
          </w:tcPr>
          <w:p>
            <w:pPr>
              <w:jc w:val="right"/>
              <w:spacing w:after="0" w:line="223" w:lineRule="exact"/>
              <w:rPr>
                <w:sz w:val="20"/>
                <w:szCs w:val="20"/>
                <w:color w:val="auto"/>
              </w:rPr>
            </w:pPr>
            <w:r>
              <w:rPr>
                <w:rFonts w:ascii="Arial" w:cs="Arial" w:eastAsia="Arial" w:hAnsi="Arial"/>
                <w:sz w:val="22"/>
                <w:szCs w:val="22"/>
                <w:color w:val="32406B"/>
              </w:rPr>
              <w:t>75</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640" w:type="dxa"/>
            <w:vAlign w:val="bottom"/>
            <w:gridSpan w:val="7"/>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800" w:type="dxa"/>
            <w:vAlign w:val="bottom"/>
            <w:tcBorders>
              <w:bottom w:val="single" w:sz="8" w:color="0000EE"/>
            </w:tcBorders>
            <w:gridSpan w:val="4"/>
          </w:tcPr>
          <w:p>
            <w:pPr>
              <w:spacing w:after="0"/>
              <w:rPr>
                <w:rFonts w:ascii="Arial" w:cs="Arial" w:eastAsia="Arial" w:hAnsi="Arial"/>
                <w:sz w:val="22"/>
                <w:szCs w:val="22"/>
                <w:color w:val="0000EE"/>
                <w:w w:val="97"/>
              </w:rPr>
            </w:pPr>
            <w:hyperlink w:anchor="page81">
              <w:r>
                <w:rPr>
                  <w:rFonts w:ascii="Arial" w:cs="Arial" w:eastAsia="Arial" w:hAnsi="Arial"/>
                  <w:sz w:val="22"/>
                  <w:szCs w:val="22"/>
                  <w:color w:val="0000EE"/>
                  <w:w w:val="97"/>
                </w:rPr>
                <w:t>Share Ownership Information</w:t>
              </w:r>
            </w:hyperlink>
          </w:p>
        </w:tc>
        <w:tc>
          <w:tcPr>
            <w:tcW w:w="6980" w:type="dxa"/>
            <w:vAlign w:val="bottom"/>
            <w:gridSpan w:val="17"/>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32406B"/>
              </w:rPr>
              <w:t>76</w:t>
            </w:r>
          </w:p>
        </w:tc>
        <w:tc>
          <w:tcPr>
            <w:tcW w:w="0" w:type="dxa"/>
            <w:vAlign w:val="bottom"/>
          </w:tcPr>
          <w:p>
            <w:pPr>
              <w:spacing w:after="0"/>
              <w:rPr>
                <w:sz w:val="1"/>
                <w:szCs w:val="1"/>
                <w:color w:val="auto"/>
              </w:rPr>
            </w:pPr>
          </w:p>
        </w:tc>
      </w:tr>
      <w:tr>
        <w:trPr>
          <w:trHeight w:val="209"/>
        </w:trPr>
        <w:tc>
          <w:tcPr>
            <w:tcW w:w="200" w:type="dxa"/>
            <w:vAlign w:val="bottom"/>
          </w:tcPr>
          <w:p>
            <w:pPr>
              <w:spacing w:after="0"/>
              <w:rPr>
                <w:sz w:val="18"/>
                <w:szCs w:val="18"/>
                <w:color w:val="auto"/>
              </w:rPr>
            </w:pPr>
          </w:p>
        </w:tc>
        <w:tc>
          <w:tcPr>
            <w:tcW w:w="5860" w:type="dxa"/>
            <w:vAlign w:val="bottom"/>
            <w:tcBorders>
              <w:bottom w:val="single" w:sz="8" w:color="0000EE"/>
            </w:tcBorders>
            <w:gridSpan w:val="13"/>
          </w:tcPr>
          <w:p>
            <w:pPr>
              <w:spacing w:after="0" w:line="209" w:lineRule="exact"/>
              <w:rPr>
                <w:rFonts w:ascii="Arial" w:cs="Arial" w:eastAsia="Arial" w:hAnsi="Arial"/>
                <w:sz w:val="20"/>
                <w:szCs w:val="20"/>
                <w:color w:val="0000EE"/>
                <w:w w:val="98"/>
              </w:rPr>
            </w:pPr>
            <w:hyperlink w:anchor="page81">
              <w:r>
                <w:rPr>
                  <w:rFonts w:ascii="Arial" w:cs="Arial" w:eastAsia="Arial" w:hAnsi="Arial"/>
                  <w:sz w:val="20"/>
                  <w:szCs w:val="20"/>
                  <w:color w:val="0000EE"/>
                  <w:w w:val="98"/>
                </w:rPr>
                <w:t>Security Ownership of Certain Beneficial Owners and Management</w:t>
              </w:r>
            </w:hyperlink>
          </w:p>
        </w:tc>
        <w:tc>
          <w:tcPr>
            <w:tcW w:w="3720" w:type="dxa"/>
            <w:vAlign w:val="bottom"/>
            <w:gridSpan w:val="7"/>
          </w:tcPr>
          <w:p>
            <w:pPr>
              <w:spacing w:after="0"/>
              <w:rPr>
                <w:sz w:val="18"/>
                <w:szCs w:val="18"/>
                <w:color w:val="auto"/>
              </w:rPr>
            </w:pPr>
          </w:p>
        </w:tc>
        <w:tc>
          <w:tcPr>
            <w:tcW w:w="1160" w:type="dxa"/>
            <w:vAlign w:val="bottom"/>
          </w:tcPr>
          <w:p>
            <w:pPr>
              <w:jc w:val="right"/>
              <w:spacing w:after="0" w:line="209" w:lineRule="exact"/>
              <w:rPr>
                <w:sz w:val="20"/>
                <w:szCs w:val="20"/>
                <w:color w:val="auto"/>
              </w:rPr>
            </w:pPr>
            <w:r>
              <w:rPr>
                <w:rFonts w:ascii="Arial" w:cs="Arial" w:eastAsia="Arial" w:hAnsi="Arial"/>
                <w:sz w:val="20"/>
                <w:szCs w:val="20"/>
                <w:color w:val="auto"/>
              </w:rPr>
              <w:t>76</w:t>
            </w:r>
          </w:p>
        </w:tc>
        <w:tc>
          <w:tcPr>
            <w:tcW w:w="0" w:type="dxa"/>
            <w:vAlign w:val="bottom"/>
          </w:tcPr>
          <w:p>
            <w:pPr>
              <w:spacing w:after="0"/>
              <w:rPr>
                <w:sz w:val="1"/>
                <w:szCs w:val="1"/>
                <w:color w:val="auto"/>
              </w:rPr>
            </w:pPr>
          </w:p>
        </w:tc>
      </w:tr>
      <w:tr>
        <w:trPr>
          <w:trHeight w:val="317"/>
        </w:trPr>
        <w:tc>
          <w:tcPr>
            <w:tcW w:w="9780" w:type="dxa"/>
            <w:vAlign w:val="bottom"/>
            <w:gridSpan w:val="21"/>
          </w:tcPr>
          <w:p>
            <w:pPr>
              <w:spacing w:after="0"/>
              <w:rPr>
                <w:rFonts w:ascii="Arial" w:cs="Arial" w:eastAsia="Arial" w:hAnsi="Arial"/>
                <w:sz w:val="22"/>
                <w:szCs w:val="22"/>
                <w:color w:val="0000EE"/>
              </w:rPr>
            </w:pPr>
            <w:hyperlink w:anchor="page84">
              <w:r>
                <w:rPr>
                  <w:rFonts w:ascii="Arial" w:cs="Arial" w:eastAsia="Arial" w:hAnsi="Arial"/>
                  <w:sz w:val="22"/>
                  <w:szCs w:val="22"/>
                  <w:color w:val="0000EE"/>
                </w:rPr>
                <w:t>General Information About the Annual Meeting</w:t>
              </w:r>
            </w:hyperlink>
          </w:p>
        </w:tc>
        <w:tc>
          <w:tcPr>
            <w:tcW w:w="1160" w:type="dxa"/>
            <w:vAlign w:val="bottom"/>
          </w:tcPr>
          <w:p>
            <w:pPr>
              <w:jc w:val="right"/>
              <w:spacing w:after="0"/>
              <w:rPr>
                <w:sz w:val="20"/>
                <w:szCs w:val="20"/>
                <w:color w:val="auto"/>
              </w:rPr>
            </w:pPr>
            <w:r>
              <w:rPr>
                <w:rFonts w:ascii="Arial" w:cs="Arial" w:eastAsia="Arial" w:hAnsi="Arial"/>
                <w:sz w:val="22"/>
                <w:szCs w:val="22"/>
                <w:color w:val="32406B"/>
              </w:rPr>
              <w:t>79</w:t>
            </w:r>
          </w:p>
        </w:tc>
        <w:tc>
          <w:tcPr>
            <w:tcW w:w="0" w:type="dxa"/>
            <w:vAlign w:val="bottom"/>
          </w:tcPr>
          <w:p>
            <w:pPr>
              <w:spacing w:after="0"/>
              <w:rPr>
                <w:sz w:val="1"/>
                <w:szCs w:val="1"/>
                <w:color w:val="auto"/>
              </w:rPr>
            </w:pPr>
          </w:p>
        </w:tc>
      </w:tr>
      <w:tr>
        <w:trPr>
          <w:trHeight w:val="20"/>
        </w:trPr>
        <w:tc>
          <w:tcPr>
            <w:tcW w:w="4440" w:type="dxa"/>
            <w:vAlign w:val="bottom"/>
            <w:gridSpan w:val="11"/>
            <w:shd w:val="clear" w:color="auto" w:fill="0000EE"/>
          </w:tcPr>
          <w:p>
            <w:pPr>
              <w:spacing w:after="0" w:line="20" w:lineRule="exact"/>
              <w:rPr>
                <w:sz w:val="1"/>
                <w:szCs w:val="1"/>
                <w:color w:val="auto"/>
              </w:rPr>
            </w:pPr>
          </w:p>
        </w:tc>
        <w:tc>
          <w:tcPr>
            <w:tcW w:w="2600" w:type="dxa"/>
            <w:vAlign w:val="bottom"/>
            <w:gridSpan w:val="5"/>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9420" w:type="dxa"/>
            <w:vAlign w:val="bottom"/>
            <w:tcBorders>
              <w:bottom w:val="single" w:sz="8" w:color="0000EE"/>
            </w:tcBorders>
            <w:gridSpan w:val="19"/>
          </w:tcPr>
          <w:p>
            <w:pPr>
              <w:spacing w:after="0"/>
              <w:rPr>
                <w:rFonts w:ascii="Arial" w:cs="Arial" w:eastAsia="Arial" w:hAnsi="Arial"/>
                <w:sz w:val="22"/>
                <w:szCs w:val="22"/>
                <w:color w:val="0000EE"/>
                <w:w w:val="98"/>
              </w:rPr>
            </w:pPr>
            <w:hyperlink w:anchor="page87">
              <w:r>
                <w:rPr>
                  <w:rFonts w:ascii="Arial" w:cs="Arial" w:eastAsia="Arial" w:hAnsi="Arial"/>
                  <w:sz w:val="22"/>
                  <w:szCs w:val="22"/>
                  <w:color w:val="0000EE"/>
                  <w:w w:val="98"/>
                </w:rPr>
                <w:t>Appendix A — Proposed Amendment to Article Fifteenth of Restated Certificate of Incorporation to</w:t>
              </w:r>
            </w:hyperlink>
          </w:p>
        </w:tc>
        <w:tc>
          <w:tcPr>
            <w:tcW w:w="360" w:type="dxa"/>
            <w:vAlign w:val="bottom"/>
            <w:gridSpan w:val="2"/>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6840" w:type="dxa"/>
            <w:vAlign w:val="bottom"/>
            <w:tcBorders>
              <w:bottom w:val="single" w:sz="8" w:color="0000EE"/>
            </w:tcBorders>
            <w:gridSpan w:val="15"/>
          </w:tcPr>
          <w:p>
            <w:pPr>
              <w:spacing w:after="0" w:line="223" w:lineRule="exact"/>
              <w:rPr>
                <w:rFonts w:ascii="Arial" w:cs="Arial" w:eastAsia="Arial" w:hAnsi="Arial"/>
                <w:sz w:val="22"/>
                <w:szCs w:val="22"/>
                <w:color w:val="0000EE"/>
                <w:w w:val="97"/>
              </w:rPr>
            </w:pPr>
            <w:hyperlink w:anchor="page87">
              <w:r>
                <w:rPr>
                  <w:rFonts w:ascii="Arial" w:cs="Arial" w:eastAsia="Arial" w:hAnsi="Arial"/>
                  <w:sz w:val="22"/>
                  <w:szCs w:val="22"/>
                  <w:color w:val="0000EE"/>
                  <w:w w:val="97"/>
                </w:rPr>
                <w:t>Eliminate the Super-majority Vote Requirement Explained in Proposal 4</w:t>
              </w:r>
            </w:hyperlink>
          </w:p>
        </w:tc>
        <w:tc>
          <w:tcPr>
            <w:tcW w:w="2740" w:type="dxa"/>
            <w:vAlign w:val="bottom"/>
            <w:gridSpan w:val="5"/>
          </w:tcPr>
          <w:p>
            <w:pPr>
              <w:spacing w:after="0"/>
              <w:rPr>
                <w:sz w:val="19"/>
                <w:szCs w:val="19"/>
                <w:color w:val="auto"/>
              </w:rPr>
            </w:pPr>
          </w:p>
        </w:tc>
        <w:tc>
          <w:tcPr>
            <w:tcW w:w="1160" w:type="dxa"/>
            <w:vAlign w:val="bottom"/>
          </w:tcPr>
          <w:p>
            <w:pPr>
              <w:jc w:val="right"/>
              <w:spacing w:after="0" w:line="223" w:lineRule="exact"/>
              <w:rPr>
                <w:sz w:val="20"/>
                <w:szCs w:val="20"/>
                <w:color w:val="auto"/>
              </w:rPr>
            </w:pPr>
            <w:r>
              <w:rPr>
                <w:rFonts w:ascii="Arial" w:cs="Arial" w:eastAsia="Arial" w:hAnsi="Arial"/>
                <w:sz w:val="22"/>
                <w:szCs w:val="22"/>
                <w:color w:val="32406B"/>
              </w:rPr>
              <w:t>A-1</w:t>
            </w:r>
          </w:p>
        </w:tc>
        <w:tc>
          <w:tcPr>
            <w:tcW w:w="0" w:type="dxa"/>
            <w:vAlign w:val="bottom"/>
          </w:tcPr>
          <w:p>
            <w:pPr>
              <w:spacing w:after="0"/>
              <w:rPr>
                <w:sz w:val="1"/>
                <w:szCs w:val="1"/>
                <w:color w:val="auto"/>
              </w:rPr>
            </w:pPr>
          </w:p>
        </w:tc>
      </w:tr>
      <w:tr>
        <w:trPr>
          <w:trHeight w:val="331"/>
        </w:trPr>
        <w:tc>
          <w:tcPr>
            <w:tcW w:w="9500" w:type="dxa"/>
            <w:vAlign w:val="bottom"/>
            <w:tcBorders>
              <w:bottom w:val="single" w:sz="8" w:color="0000EE"/>
            </w:tcBorders>
            <w:gridSpan w:val="20"/>
          </w:tcPr>
          <w:p>
            <w:pPr>
              <w:spacing w:after="0"/>
              <w:rPr>
                <w:rFonts w:ascii="Arial" w:cs="Arial" w:eastAsia="Arial" w:hAnsi="Arial"/>
                <w:sz w:val="22"/>
                <w:szCs w:val="22"/>
                <w:color w:val="0000EE"/>
                <w:w w:val="98"/>
              </w:rPr>
            </w:pPr>
            <w:hyperlink w:anchor="page90">
              <w:r>
                <w:rPr>
                  <w:rFonts w:ascii="Arial" w:cs="Arial" w:eastAsia="Arial" w:hAnsi="Arial"/>
                  <w:sz w:val="22"/>
                  <w:szCs w:val="22"/>
                  <w:color w:val="0000EE"/>
                  <w:w w:val="98"/>
                </w:rPr>
                <w:t>Appendix B — Proposed Amendment to Article Sixteenth of Restated Certificate of Incorporation to</w:t>
              </w:r>
            </w:hyperlink>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6840" w:type="dxa"/>
            <w:vAlign w:val="bottom"/>
            <w:tcBorders>
              <w:bottom w:val="single" w:sz="8" w:color="0000EE"/>
            </w:tcBorders>
            <w:gridSpan w:val="15"/>
          </w:tcPr>
          <w:p>
            <w:pPr>
              <w:spacing w:after="0" w:line="223" w:lineRule="exact"/>
              <w:rPr>
                <w:rFonts w:ascii="Arial" w:cs="Arial" w:eastAsia="Arial" w:hAnsi="Arial"/>
                <w:sz w:val="22"/>
                <w:szCs w:val="22"/>
                <w:color w:val="0000EE"/>
                <w:w w:val="97"/>
              </w:rPr>
            </w:pPr>
            <w:hyperlink w:anchor="page90">
              <w:r>
                <w:rPr>
                  <w:rFonts w:ascii="Arial" w:cs="Arial" w:eastAsia="Arial" w:hAnsi="Arial"/>
                  <w:sz w:val="22"/>
                  <w:szCs w:val="22"/>
                  <w:color w:val="0000EE"/>
                  <w:w w:val="97"/>
                </w:rPr>
                <w:t>Eliminate the Super-majority Vote Requirement Explained in Proposal 5</w:t>
              </w:r>
            </w:hyperlink>
          </w:p>
        </w:tc>
        <w:tc>
          <w:tcPr>
            <w:tcW w:w="2740" w:type="dxa"/>
            <w:vAlign w:val="bottom"/>
            <w:gridSpan w:val="5"/>
          </w:tcPr>
          <w:p>
            <w:pPr>
              <w:spacing w:after="0"/>
              <w:rPr>
                <w:sz w:val="19"/>
                <w:szCs w:val="19"/>
                <w:color w:val="auto"/>
              </w:rPr>
            </w:pPr>
          </w:p>
        </w:tc>
        <w:tc>
          <w:tcPr>
            <w:tcW w:w="1160" w:type="dxa"/>
            <w:vAlign w:val="bottom"/>
          </w:tcPr>
          <w:p>
            <w:pPr>
              <w:jc w:val="right"/>
              <w:spacing w:after="0" w:line="223" w:lineRule="exact"/>
              <w:rPr>
                <w:sz w:val="20"/>
                <w:szCs w:val="20"/>
                <w:color w:val="auto"/>
              </w:rPr>
            </w:pPr>
            <w:r>
              <w:rPr>
                <w:rFonts w:ascii="Arial" w:cs="Arial" w:eastAsia="Arial" w:hAnsi="Arial"/>
                <w:sz w:val="22"/>
                <w:szCs w:val="22"/>
                <w:color w:val="32406B"/>
              </w:rPr>
              <w:t>B-1</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ii</w:t>
      </w:r>
    </w:p>
    <w:p>
      <w:pPr>
        <w:sectPr>
          <w:pgSz w:w="11900" w:h="16838" w:orient="portrait"/>
          <w:cols w:equalWidth="0" w:num="1">
            <w:col w:w="11220"/>
          </w:cols>
          <w:pgMar w:left="240" w:top="459"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203200</wp:posOffset>
            </wp:positionV>
            <wp:extent cx="6993890" cy="58115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3890" cy="581152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380"/>
        <w:spacing w:after="0"/>
        <w:rPr>
          <w:sz w:val="20"/>
          <w:szCs w:val="20"/>
          <w:color w:val="auto"/>
        </w:rPr>
      </w:pPr>
      <w:r>
        <w:rPr>
          <w:rFonts w:ascii="Arial" w:cs="Arial" w:eastAsia="Arial" w:hAnsi="Arial"/>
          <w:sz w:val="36"/>
          <w:szCs w:val="36"/>
          <w:b w:val="1"/>
          <w:bCs w:val="1"/>
          <w:color w:val="32406B"/>
        </w:rPr>
        <w:t>PROXY STATEMENT SUMMARY</w:t>
      </w:r>
    </w:p>
    <w:p>
      <w:pPr>
        <w:spacing w:after="0" w:line="235" w:lineRule="exact"/>
        <w:rPr>
          <w:sz w:val="20"/>
          <w:szCs w:val="20"/>
          <w:color w:val="auto"/>
        </w:rPr>
      </w:pPr>
    </w:p>
    <w:p>
      <w:pPr>
        <w:ind w:left="380"/>
        <w:spacing w:after="0"/>
        <w:rPr>
          <w:sz w:val="20"/>
          <w:szCs w:val="20"/>
          <w:color w:val="auto"/>
        </w:rPr>
      </w:pPr>
      <w:r>
        <w:rPr>
          <w:rFonts w:ascii="Arial" w:cs="Arial" w:eastAsia="Arial" w:hAnsi="Arial"/>
          <w:sz w:val="22"/>
          <w:szCs w:val="22"/>
          <w:b w:val="1"/>
          <w:bCs w:val="1"/>
          <w:color w:val="32406B"/>
        </w:rPr>
        <w:t>Annual Meeting Information</w:t>
      </w:r>
    </w:p>
    <w:p>
      <w:pPr>
        <w:spacing w:after="0" w:line="247" w:lineRule="exact"/>
        <w:rPr>
          <w:sz w:val="20"/>
          <w:szCs w:val="20"/>
          <w:color w:val="auto"/>
        </w:rPr>
      </w:pPr>
    </w:p>
    <w:p>
      <w:pPr>
        <w:ind w:left="400"/>
        <w:spacing w:after="0"/>
        <w:tabs>
          <w:tab w:leader="none" w:pos="2080" w:val="left"/>
        </w:tabs>
        <w:rPr>
          <w:sz w:val="20"/>
          <w:szCs w:val="20"/>
          <w:color w:val="auto"/>
        </w:rPr>
      </w:pPr>
      <w:r>
        <w:rPr>
          <w:rFonts w:ascii="Arial" w:cs="Arial" w:eastAsia="Arial" w:hAnsi="Arial"/>
          <w:sz w:val="16"/>
          <w:szCs w:val="16"/>
          <w:b w:val="1"/>
          <w:bCs w:val="1"/>
          <w:color w:val="auto"/>
        </w:rPr>
        <w:t>Date:</w:t>
      </w:r>
      <w:r>
        <w:rPr>
          <w:sz w:val="20"/>
          <w:szCs w:val="20"/>
          <w:color w:val="auto"/>
        </w:rPr>
        <w:tab/>
      </w:r>
      <w:r>
        <w:rPr>
          <w:rFonts w:ascii="Arial" w:cs="Arial" w:eastAsia="Arial" w:hAnsi="Arial"/>
          <w:sz w:val="16"/>
          <w:szCs w:val="16"/>
          <w:color w:val="auto"/>
        </w:rPr>
        <w:t>May 4, 2018</w:t>
      </w:r>
    </w:p>
    <w:p>
      <w:pPr>
        <w:spacing w:after="0" w:line="113" w:lineRule="exact"/>
        <w:rPr>
          <w:sz w:val="20"/>
          <w:szCs w:val="20"/>
          <w:color w:val="auto"/>
        </w:rPr>
      </w:pPr>
    </w:p>
    <w:p>
      <w:pPr>
        <w:ind w:left="400"/>
        <w:spacing w:after="0"/>
        <w:tabs>
          <w:tab w:leader="none" w:pos="2080" w:val="left"/>
        </w:tabs>
        <w:rPr>
          <w:sz w:val="20"/>
          <w:szCs w:val="20"/>
          <w:color w:val="auto"/>
        </w:rPr>
      </w:pPr>
      <w:r>
        <w:rPr>
          <w:rFonts w:ascii="Arial" w:cs="Arial" w:eastAsia="Arial" w:hAnsi="Arial"/>
          <w:sz w:val="16"/>
          <w:szCs w:val="16"/>
          <w:b w:val="1"/>
          <w:bCs w:val="1"/>
          <w:color w:val="auto"/>
        </w:rPr>
        <w:t>Time:</w:t>
      </w:r>
      <w:r>
        <w:rPr>
          <w:sz w:val="20"/>
          <w:szCs w:val="20"/>
          <w:color w:val="auto"/>
        </w:rPr>
        <w:tab/>
      </w:r>
      <w:r>
        <w:rPr>
          <w:rFonts w:ascii="Arial" w:cs="Arial" w:eastAsia="Arial" w:hAnsi="Arial"/>
          <w:sz w:val="16"/>
          <w:szCs w:val="16"/>
          <w:color w:val="auto"/>
        </w:rPr>
        <w:t>9 a.m., Central Time</w:t>
      </w:r>
    </w:p>
    <w:p>
      <w:pPr>
        <w:spacing w:after="0" w:line="113" w:lineRule="exact"/>
        <w:rPr>
          <w:sz w:val="20"/>
          <w:szCs w:val="20"/>
          <w:color w:val="auto"/>
        </w:rPr>
      </w:pPr>
    </w:p>
    <w:p>
      <w:pPr>
        <w:ind w:left="400"/>
        <w:spacing w:after="0"/>
        <w:tabs>
          <w:tab w:leader="none" w:pos="2080" w:val="left"/>
        </w:tabs>
        <w:rPr>
          <w:sz w:val="20"/>
          <w:szCs w:val="20"/>
          <w:color w:val="auto"/>
        </w:rPr>
      </w:pPr>
      <w:r>
        <w:rPr>
          <w:rFonts w:ascii="Arial" w:cs="Arial" w:eastAsia="Arial" w:hAnsi="Arial"/>
          <w:sz w:val="16"/>
          <w:szCs w:val="16"/>
          <w:b w:val="1"/>
          <w:bCs w:val="1"/>
          <w:color w:val="auto"/>
        </w:rPr>
        <w:t>Record Date:</w:t>
      </w:r>
      <w:r>
        <w:rPr>
          <w:sz w:val="20"/>
          <w:szCs w:val="20"/>
          <w:color w:val="auto"/>
        </w:rPr>
        <w:tab/>
      </w:r>
      <w:r>
        <w:rPr>
          <w:rFonts w:ascii="Arial" w:cs="Arial" w:eastAsia="Arial" w:hAnsi="Arial"/>
          <w:sz w:val="16"/>
          <w:szCs w:val="16"/>
          <w:color w:val="auto"/>
        </w:rPr>
        <w:t>March 12, 2018</w:t>
      </w:r>
    </w:p>
    <w:p>
      <w:pPr>
        <w:spacing w:after="0" w:line="113" w:lineRule="exact"/>
        <w:rPr>
          <w:sz w:val="20"/>
          <w:szCs w:val="20"/>
          <w:color w:val="auto"/>
        </w:rPr>
      </w:pPr>
    </w:p>
    <w:p>
      <w:pPr>
        <w:ind w:left="400"/>
        <w:spacing w:after="0"/>
        <w:tabs>
          <w:tab w:leader="none" w:pos="2080" w:val="left"/>
        </w:tabs>
        <w:rPr>
          <w:sz w:val="20"/>
          <w:szCs w:val="20"/>
          <w:color w:val="auto"/>
        </w:rPr>
      </w:pPr>
      <w:r>
        <w:rPr>
          <w:rFonts w:ascii="Arial" w:cs="Arial" w:eastAsia="Arial" w:hAnsi="Arial"/>
          <w:sz w:val="16"/>
          <w:szCs w:val="16"/>
          <w:b w:val="1"/>
          <w:bCs w:val="1"/>
          <w:color w:val="auto"/>
        </w:rPr>
        <w:t>Location:</w:t>
      </w:r>
      <w:r>
        <w:rPr>
          <w:sz w:val="20"/>
          <w:szCs w:val="20"/>
          <w:color w:val="auto"/>
        </w:rPr>
        <w:tab/>
      </w:r>
      <w:r>
        <w:rPr>
          <w:rFonts w:ascii="Arial" w:cs="Arial" w:eastAsia="Arial" w:hAnsi="Arial"/>
          <w:sz w:val="16"/>
          <w:szCs w:val="16"/>
          <w:color w:val="auto"/>
        </w:rPr>
        <w:t>Hilton Chicago/Oak Brook Hills Resort</w:t>
      </w:r>
    </w:p>
    <w:p>
      <w:pPr>
        <w:spacing w:after="0" w:line="25" w:lineRule="exact"/>
        <w:rPr>
          <w:sz w:val="20"/>
          <w:szCs w:val="20"/>
          <w:color w:val="auto"/>
        </w:rPr>
      </w:pPr>
    </w:p>
    <w:p>
      <w:pPr>
        <w:ind w:left="2100"/>
        <w:spacing w:after="0"/>
        <w:rPr>
          <w:sz w:val="20"/>
          <w:szCs w:val="20"/>
          <w:color w:val="auto"/>
        </w:rPr>
      </w:pPr>
      <w:r>
        <w:rPr>
          <w:rFonts w:ascii="Arial" w:cs="Arial" w:eastAsia="Arial" w:hAnsi="Arial"/>
          <w:sz w:val="16"/>
          <w:szCs w:val="16"/>
          <w:color w:val="auto"/>
        </w:rPr>
        <w:t>3500 Midwest Road</w:t>
      </w:r>
    </w:p>
    <w:p>
      <w:pPr>
        <w:spacing w:after="0" w:line="5" w:lineRule="exact"/>
        <w:rPr>
          <w:sz w:val="20"/>
          <w:szCs w:val="20"/>
          <w:color w:val="auto"/>
        </w:rPr>
      </w:pPr>
    </w:p>
    <w:p>
      <w:pPr>
        <w:ind w:left="2100"/>
        <w:spacing w:after="0"/>
        <w:rPr>
          <w:sz w:val="20"/>
          <w:szCs w:val="20"/>
          <w:color w:val="auto"/>
        </w:rPr>
      </w:pPr>
      <w:r>
        <w:rPr>
          <w:rFonts w:ascii="Arial" w:cs="Arial" w:eastAsia="Arial" w:hAnsi="Arial"/>
          <w:sz w:val="16"/>
          <w:szCs w:val="16"/>
          <w:color w:val="auto"/>
        </w:rPr>
        <w:t>Oak Brook, Illinois 60523</w:t>
      </w:r>
    </w:p>
    <w:p>
      <w:pPr>
        <w:spacing w:after="0" w:line="110" w:lineRule="exact"/>
        <w:rPr>
          <w:sz w:val="20"/>
          <w:szCs w:val="20"/>
          <w:color w:val="auto"/>
        </w:rPr>
      </w:pPr>
    </w:p>
    <w:p>
      <w:pPr>
        <w:ind w:left="2100"/>
        <w:spacing w:after="0"/>
        <w:rPr>
          <w:sz w:val="20"/>
          <w:szCs w:val="20"/>
          <w:color w:val="auto"/>
        </w:rPr>
      </w:pPr>
      <w:r>
        <w:rPr>
          <w:rFonts w:ascii="Arial" w:cs="Arial" w:eastAsia="Arial" w:hAnsi="Arial"/>
          <w:sz w:val="16"/>
          <w:szCs w:val="16"/>
          <w:color w:val="auto"/>
        </w:rPr>
        <w:t xml:space="preserve">For additional information about our Annual Meeting, see </w:t>
      </w:r>
      <w:r>
        <w:rPr>
          <w:rFonts w:ascii="Arial" w:cs="Arial" w:eastAsia="Arial" w:hAnsi="Arial"/>
          <w:sz w:val="16"/>
          <w:szCs w:val="16"/>
          <w:i w:val="1"/>
          <w:iCs w:val="1"/>
          <w:color w:val="auto"/>
        </w:rPr>
        <w:t>General Information About The Annual Meeting</w:t>
      </w:r>
    </w:p>
    <w:p>
      <w:pPr>
        <w:spacing w:after="0" w:line="202" w:lineRule="exact"/>
        <w:rPr>
          <w:sz w:val="20"/>
          <w:szCs w:val="20"/>
          <w:color w:val="auto"/>
        </w:rPr>
      </w:pPr>
    </w:p>
    <w:p>
      <w:pPr>
        <w:ind w:left="380"/>
        <w:spacing w:after="0"/>
        <w:rPr>
          <w:sz w:val="20"/>
          <w:szCs w:val="20"/>
          <w:color w:val="auto"/>
        </w:rPr>
      </w:pPr>
      <w:r>
        <w:rPr>
          <w:rFonts w:ascii="Arial" w:cs="Arial" w:eastAsia="Arial" w:hAnsi="Arial"/>
          <w:sz w:val="22"/>
          <w:szCs w:val="22"/>
          <w:b w:val="1"/>
          <w:bCs w:val="1"/>
          <w:color w:val="32406B"/>
        </w:rPr>
        <w:t>Items of Business</w:t>
      </w:r>
    </w:p>
    <w:p>
      <w:pPr>
        <w:spacing w:after="0" w:line="9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There are five proposals to be voted on at the Annual Meeting:</w:t>
      </w:r>
    </w:p>
    <w:p>
      <w:pPr>
        <w:spacing w:after="0" w:line="241" w:lineRule="exact"/>
        <w:rPr>
          <w:sz w:val="20"/>
          <w:szCs w:val="20"/>
          <w:color w:val="auto"/>
        </w:rPr>
      </w:pPr>
    </w:p>
    <w:p>
      <w:pPr>
        <w:ind w:left="400"/>
        <w:spacing w:after="0"/>
        <w:rPr>
          <w:sz w:val="20"/>
          <w:szCs w:val="20"/>
          <w:color w:val="auto"/>
        </w:rPr>
      </w:pPr>
      <w:r>
        <w:rPr>
          <w:rFonts w:ascii="Arial" w:cs="Arial" w:eastAsia="Arial" w:hAnsi="Arial"/>
          <w:sz w:val="16"/>
          <w:szCs w:val="16"/>
          <w:b w:val="1"/>
          <w:bCs w:val="1"/>
          <w:color w:val="32406B"/>
        </w:rPr>
        <w:t>ITEMS OF BUSINESS</w:t>
      </w:r>
    </w:p>
    <w:p>
      <w:pPr>
        <w:sectPr>
          <w:pgSz w:w="11900" w:h="16838" w:orient="portrait"/>
          <w:cols w:equalWidth="0" w:num="1">
            <w:col w:w="11220"/>
          </w:cols>
          <w:pgMar w:left="240" w:top="459" w:right="439" w:bottom="1440" w:gutter="0" w:footer="0" w:header="0"/>
        </w:sectPr>
      </w:pPr>
    </w:p>
    <w:p>
      <w:pPr>
        <w:spacing w:after="0" w:line="234"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FFFFFF"/>
        </w:rPr>
        <w:t>ITEM</w:t>
      </w:r>
    </w:p>
    <w:p>
      <w:pPr>
        <w:spacing w:after="0" w:line="234" w:lineRule="exact"/>
        <w:rPr>
          <w:sz w:val="20"/>
          <w:szCs w:val="20"/>
          <w:color w:val="auto"/>
        </w:rPr>
      </w:pPr>
    </w:p>
    <w:p>
      <w:pPr>
        <w:jc w:val="center"/>
        <w:ind w:left="440"/>
        <w:spacing w:after="0"/>
        <w:rPr>
          <w:sz w:val="20"/>
          <w:szCs w:val="20"/>
          <w:color w:val="auto"/>
        </w:rPr>
      </w:pPr>
      <w:r>
        <w:rPr>
          <w:rFonts w:ascii="Arial" w:cs="Arial" w:eastAsia="Arial" w:hAnsi="Arial"/>
          <w:sz w:val="16"/>
          <w:szCs w:val="16"/>
          <w:b w:val="1"/>
          <w:bCs w:val="1"/>
          <w:color w:val="auto"/>
        </w:rPr>
        <w:t>ITEM 1</w:t>
      </w:r>
    </w:p>
    <w:p>
      <w:pPr>
        <w:spacing w:after="0" w:line="315"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ITEM 2</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ITEM 3</w:t>
      </w:r>
    </w:p>
    <w:p>
      <w:pPr>
        <w:spacing w:after="0" w:line="221" w:lineRule="exact"/>
        <w:rPr>
          <w:sz w:val="20"/>
          <w:szCs w:val="20"/>
          <w:color w:val="auto"/>
        </w:rPr>
      </w:pPr>
    </w:p>
    <w:p>
      <w:pPr>
        <w:jc w:val="center"/>
        <w:ind w:left="440"/>
        <w:spacing w:after="0"/>
        <w:rPr>
          <w:sz w:val="20"/>
          <w:szCs w:val="20"/>
          <w:color w:val="auto"/>
        </w:rPr>
      </w:pPr>
      <w:r>
        <w:rPr>
          <w:rFonts w:ascii="Arial" w:cs="Arial" w:eastAsia="Arial" w:hAnsi="Arial"/>
          <w:sz w:val="16"/>
          <w:szCs w:val="16"/>
          <w:b w:val="1"/>
          <w:bCs w:val="1"/>
          <w:color w:val="auto"/>
        </w:rPr>
        <w:t>ITEM 4</w:t>
      </w:r>
    </w:p>
    <w:p>
      <w:pPr>
        <w:spacing w:after="0" w:line="315" w:lineRule="exact"/>
        <w:rPr>
          <w:sz w:val="20"/>
          <w:szCs w:val="20"/>
          <w:color w:val="auto"/>
        </w:rPr>
      </w:pPr>
    </w:p>
    <w:p>
      <w:pPr>
        <w:jc w:val="center"/>
        <w:ind w:left="440"/>
        <w:spacing w:after="0"/>
        <w:rPr>
          <w:sz w:val="20"/>
          <w:szCs w:val="20"/>
          <w:color w:val="auto"/>
        </w:rPr>
      </w:pPr>
      <w:r>
        <w:rPr>
          <w:rFonts w:ascii="Arial" w:cs="Arial" w:eastAsia="Arial" w:hAnsi="Arial"/>
          <w:sz w:val="16"/>
          <w:szCs w:val="16"/>
          <w:b w:val="1"/>
          <w:bCs w:val="1"/>
          <w:color w:val="auto"/>
        </w:rPr>
        <w:t>ITEM 5</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Proposal</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color w:val="auto"/>
        </w:rPr>
        <w:t>The election of ten nominees for director</w:t>
      </w:r>
    </w:p>
    <w:p>
      <w:pPr>
        <w:spacing w:after="0" w:line="207"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ratification of the appointment of PwC as our independent registered public accounting firm for 2018</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An advisory resolution to approve NEO compensation</w:t>
      </w:r>
    </w:p>
    <w:p>
      <w:pPr>
        <w:spacing w:after="0" w:line="126" w:lineRule="exact"/>
        <w:rPr>
          <w:sz w:val="20"/>
          <w:szCs w:val="20"/>
          <w:color w:val="auto"/>
        </w:rPr>
      </w:pPr>
    </w:p>
    <w:p>
      <w:pPr>
        <w:ind w:right="680"/>
        <w:spacing w:after="0" w:line="260" w:lineRule="auto"/>
        <w:rPr>
          <w:sz w:val="20"/>
          <w:szCs w:val="20"/>
          <w:color w:val="auto"/>
        </w:rPr>
      </w:pPr>
      <w:r>
        <w:rPr>
          <w:rFonts w:ascii="Arial" w:cs="Arial" w:eastAsia="Arial" w:hAnsi="Arial"/>
          <w:sz w:val="16"/>
          <w:szCs w:val="16"/>
          <w:color w:val="auto"/>
        </w:rPr>
        <w:t>To approve amendments to Article 15 of our charter to eliminate the super-majority voting requirement</w:t>
      </w:r>
    </w:p>
    <w:p>
      <w:pPr>
        <w:spacing w:after="0" w:line="100" w:lineRule="exact"/>
        <w:rPr>
          <w:sz w:val="20"/>
          <w:szCs w:val="20"/>
          <w:color w:val="auto"/>
        </w:rPr>
      </w:pPr>
    </w:p>
    <w:p>
      <w:pPr>
        <w:ind w:right="680"/>
        <w:spacing w:after="0" w:line="260" w:lineRule="auto"/>
        <w:rPr>
          <w:sz w:val="20"/>
          <w:szCs w:val="20"/>
          <w:color w:val="auto"/>
        </w:rPr>
      </w:pPr>
      <w:r>
        <w:rPr>
          <w:rFonts w:ascii="Arial" w:cs="Arial" w:eastAsia="Arial" w:hAnsi="Arial"/>
          <w:sz w:val="16"/>
          <w:szCs w:val="16"/>
          <w:color w:val="auto"/>
        </w:rPr>
        <w:t>To approve amendments to Article 16 of our charter to eliminate the super-majority voting requirement</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1460" w:type="dxa"/>
            <w:vAlign w:val="bottom"/>
          </w:tcPr>
          <w:p>
            <w:pPr>
              <w:spacing w:after="0"/>
              <w:rPr>
                <w:sz w:val="20"/>
                <w:szCs w:val="20"/>
                <w:color w:val="auto"/>
              </w:rPr>
            </w:pPr>
            <w:r>
              <w:rPr>
                <w:rFonts w:ascii="Arial" w:cs="Arial" w:eastAsia="Arial" w:hAnsi="Arial"/>
                <w:sz w:val="16"/>
                <w:szCs w:val="16"/>
                <w:b w:val="1"/>
                <w:bCs w:val="1"/>
                <w:color w:val="FFFFFF"/>
              </w:rPr>
              <w:t>Board Voting</w:t>
            </w:r>
          </w:p>
        </w:tc>
        <w:tc>
          <w:tcPr>
            <w:tcW w:w="840" w:type="dxa"/>
            <w:vAlign w:val="bottom"/>
          </w:tcPr>
          <w:p>
            <w:pPr>
              <w:ind w:left="60"/>
              <w:spacing w:after="0"/>
              <w:rPr>
                <w:sz w:val="20"/>
                <w:szCs w:val="20"/>
                <w:color w:val="auto"/>
              </w:rPr>
            </w:pPr>
            <w:r>
              <w:rPr>
                <w:rFonts w:ascii="Arial" w:cs="Arial" w:eastAsia="Arial" w:hAnsi="Arial"/>
                <w:sz w:val="16"/>
                <w:szCs w:val="16"/>
                <w:b w:val="1"/>
                <w:bCs w:val="1"/>
                <w:color w:val="FFFFFF"/>
              </w:rPr>
              <w:t>Page</w:t>
            </w:r>
          </w:p>
        </w:tc>
      </w:tr>
      <w:tr>
        <w:trPr>
          <w:trHeight w:val="214"/>
        </w:trPr>
        <w:tc>
          <w:tcPr>
            <w:tcW w:w="1460" w:type="dxa"/>
            <w:vAlign w:val="bottom"/>
          </w:tcPr>
          <w:p>
            <w:pPr>
              <w:spacing w:after="0"/>
              <w:rPr>
                <w:sz w:val="20"/>
                <w:szCs w:val="20"/>
                <w:color w:val="auto"/>
              </w:rPr>
            </w:pPr>
            <w:r>
              <w:rPr>
                <w:rFonts w:ascii="Arial" w:cs="Arial" w:eastAsia="Arial" w:hAnsi="Arial"/>
                <w:sz w:val="16"/>
                <w:szCs w:val="16"/>
                <w:b w:val="1"/>
                <w:bCs w:val="1"/>
                <w:color w:val="FFFFFF"/>
              </w:rPr>
              <w:t>Recommendation</w:t>
            </w:r>
          </w:p>
        </w:tc>
        <w:tc>
          <w:tcPr>
            <w:tcW w:w="840" w:type="dxa"/>
            <w:vAlign w:val="bottom"/>
          </w:tcPr>
          <w:p>
            <w:pPr>
              <w:ind w:left="60"/>
              <w:spacing w:after="0"/>
              <w:rPr>
                <w:sz w:val="20"/>
                <w:szCs w:val="20"/>
                <w:color w:val="auto"/>
              </w:rPr>
            </w:pPr>
            <w:r>
              <w:rPr>
                <w:rFonts w:ascii="Arial" w:cs="Arial" w:eastAsia="Arial" w:hAnsi="Arial"/>
                <w:sz w:val="16"/>
                <w:szCs w:val="16"/>
                <w:b w:val="1"/>
                <w:bCs w:val="1"/>
                <w:color w:val="FFFFFF"/>
                <w:w w:val="98"/>
              </w:rPr>
              <w:t>Reference</w:t>
            </w:r>
          </w:p>
        </w:tc>
      </w:tr>
      <w:tr>
        <w:trPr>
          <w:trHeight w:val="285"/>
        </w:trPr>
        <w:tc>
          <w:tcPr>
            <w:tcW w:w="1460" w:type="dxa"/>
            <w:vAlign w:val="bottom"/>
          </w:tcPr>
          <w:p>
            <w:pPr>
              <w:spacing w:after="0"/>
              <w:rPr>
                <w:sz w:val="20"/>
                <w:szCs w:val="20"/>
                <w:color w:val="auto"/>
              </w:rPr>
            </w:pPr>
            <w:r>
              <w:rPr>
                <w:rFonts w:ascii="Arial" w:cs="Arial" w:eastAsia="Arial" w:hAnsi="Arial"/>
                <w:sz w:val="16"/>
                <w:szCs w:val="16"/>
                <w:b w:val="1"/>
                <w:bCs w:val="1"/>
                <w:color w:val="auto"/>
              </w:rPr>
              <w:t>FOR each director</w:t>
            </w:r>
          </w:p>
        </w:tc>
        <w:tc>
          <w:tcPr>
            <w:tcW w:w="840" w:type="dxa"/>
            <w:vAlign w:val="bottom"/>
          </w:tcPr>
          <w:p>
            <w:pPr>
              <w:spacing w:after="0"/>
              <w:rPr>
                <w:sz w:val="24"/>
                <w:szCs w:val="24"/>
                <w:color w:val="auto"/>
              </w:rPr>
            </w:pPr>
          </w:p>
        </w:tc>
      </w:tr>
      <w:tr>
        <w:trPr>
          <w:trHeight w:val="214"/>
        </w:trPr>
        <w:tc>
          <w:tcPr>
            <w:tcW w:w="1460" w:type="dxa"/>
            <w:vAlign w:val="bottom"/>
          </w:tcPr>
          <w:p>
            <w:pPr>
              <w:spacing w:after="0"/>
              <w:rPr>
                <w:sz w:val="20"/>
                <w:szCs w:val="20"/>
                <w:color w:val="auto"/>
              </w:rPr>
            </w:pPr>
            <w:r>
              <w:rPr>
                <w:rFonts w:ascii="Arial" w:cs="Arial" w:eastAsia="Arial" w:hAnsi="Arial"/>
                <w:sz w:val="16"/>
                <w:szCs w:val="16"/>
                <w:b w:val="1"/>
                <w:bCs w:val="1"/>
                <w:color w:val="auto"/>
              </w:rPr>
              <w:t>nominee</w:t>
            </w: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9</w:t>
            </w:r>
          </w:p>
        </w:tc>
      </w:tr>
      <w:tr>
        <w:trPr>
          <w:trHeight w:val="418"/>
        </w:trPr>
        <w:tc>
          <w:tcPr>
            <w:tcW w:w="1460" w:type="dxa"/>
            <w:vAlign w:val="bottom"/>
          </w:tcPr>
          <w:p>
            <w:pPr>
              <w:spacing w:after="0"/>
              <w:rPr>
                <w:sz w:val="20"/>
                <w:szCs w:val="20"/>
                <w:color w:val="auto"/>
              </w:rPr>
            </w:pPr>
            <w:r>
              <w:rPr>
                <w:rFonts w:ascii="Arial" w:cs="Arial" w:eastAsia="Arial" w:hAnsi="Arial"/>
                <w:sz w:val="16"/>
                <w:szCs w:val="16"/>
                <w:b w:val="1"/>
                <w:bCs w:val="1"/>
                <w:color w:val="auto"/>
              </w:rPr>
              <w:t>FOR</w:t>
            </w:r>
          </w:p>
        </w:tc>
        <w:tc>
          <w:tcPr>
            <w:tcW w:w="840" w:type="dxa"/>
            <w:vAlign w:val="bottom"/>
          </w:tcPr>
          <w:p>
            <w:pPr>
              <w:jc w:val="center"/>
              <w:spacing w:after="0"/>
              <w:rPr>
                <w:sz w:val="20"/>
                <w:szCs w:val="20"/>
                <w:color w:val="auto"/>
              </w:rPr>
            </w:pPr>
            <w:r>
              <w:rPr>
                <w:rFonts w:ascii="Arial" w:cs="Arial" w:eastAsia="Arial" w:hAnsi="Arial"/>
                <w:sz w:val="16"/>
                <w:szCs w:val="16"/>
                <w:color w:val="auto"/>
              </w:rPr>
              <w:t>30</w:t>
            </w:r>
          </w:p>
        </w:tc>
      </w:tr>
      <w:tr>
        <w:trPr>
          <w:trHeight w:val="418"/>
        </w:trPr>
        <w:tc>
          <w:tcPr>
            <w:tcW w:w="1460" w:type="dxa"/>
            <w:vAlign w:val="bottom"/>
          </w:tcPr>
          <w:p>
            <w:pPr>
              <w:spacing w:after="0"/>
              <w:rPr>
                <w:sz w:val="20"/>
                <w:szCs w:val="20"/>
                <w:color w:val="auto"/>
              </w:rPr>
            </w:pPr>
            <w:r>
              <w:rPr>
                <w:rFonts w:ascii="Arial" w:cs="Arial" w:eastAsia="Arial" w:hAnsi="Arial"/>
                <w:sz w:val="16"/>
                <w:szCs w:val="16"/>
                <w:b w:val="1"/>
                <w:bCs w:val="1"/>
                <w:color w:val="auto"/>
              </w:rPr>
              <w:t>FOR</w:t>
            </w:r>
          </w:p>
        </w:tc>
        <w:tc>
          <w:tcPr>
            <w:tcW w:w="840" w:type="dxa"/>
            <w:vAlign w:val="bottom"/>
          </w:tcPr>
          <w:p>
            <w:pPr>
              <w:jc w:val="center"/>
              <w:spacing w:after="0"/>
              <w:rPr>
                <w:sz w:val="20"/>
                <w:szCs w:val="20"/>
                <w:color w:val="auto"/>
              </w:rPr>
            </w:pPr>
            <w:r>
              <w:rPr>
                <w:rFonts w:ascii="Arial" w:cs="Arial" w:eastAsia="Arial" w:hAnsi="Arial"/>
                <w:sz w:val="16"/>
                <w:szCs w:val="16"/>
                <w:color w:val="auto"/>
              </w:rPr>
              <w:t>72</w:t>
            </w:r>
          </w:p>
        </w:tc>
      </w:tr>
      <w:tr>
        <w:trPr>
          <w:trHeight w:val="391"/>
        </w:trPr>
        <w:tc>
          <w:tcPr>
            <w:tcW w:w="1460" w:type="dxa"/>
            <w:vAlign w:val="bottom"/>
          </w:tcPr>
          <w:p>
            <w:pPr>
              <w:spacing w:after="0"/>
              <w:rPr>
                <w:sz w:val="20"/>
                <w:szCs w:val="20"/>
                <w:color w:val="auto"/>
              </w:rPr>
            </w:pPr>
            <w:r>
              <w:rPr>
                <w:rFonts w:ascii="Arial" w:cs="Arial" w:eastAsia="Arial" w:hAnsi="Arial"/>
                <w:sz w:val="16"/>
                <w:szCs w:val="16"/>
                <w:b w:val="1"/>
                <w:bCs w:val="1"/>
                <w:color w:val="auto"/>
              </w:rPr>
              <w:t>FOR</w:t>
            </w:r>
          </w:p>
        </w:tc>
        <w:tc>
          <w:tcPr>
            <w:tcW w:w="840" w:type="dxa"/>
            <w:vAlign w:val="bottom"/>
          </w:tcPr>
          <w:p>
            <w:pPr>
              <w:jc w:val="center"/>
              <w:spacing w:after="0"/>
              <w:rPr>
                <w:sz w:val="20"/>
                <w:szCs w:val="20"/>
                <w:color w:val="auto"/>
              </w:rPr>
            </w:pPr>
            <w:r>
              <w:rPr>
                <w:rFonts w:ascii="Arial" w:cs="Arial" w:eastAsia="Arial" w:hAnsi="Arial"/>
                <w:sz w:val="16"/>
                <w:szCs w:val="16"/>
                <w:color w:val="auto"/>
              </w:rPr>
              <w:t>75</w:t>
            </w:r>
          </w:p>
        </w:tc>
      </w:tr>
      <w:tr>
        <w:trPr>
          <w:trHeight w:val="499"/>
        </w:trPr>
        <w:tc>
          <w:tcPr>
            <w:tcW w:w="1460" w:type="dxa"/>
            <w:vAlign w:val="bottom"/>
          </w:tcPr>
          <w:p>
            <w:pPr>
              <w:spacing w:after="0"/>
              <w:rPr>
                <w:sz w:val="20"/>
                <w:szCs w:val="20"/>
                <w:color w:val="auto"/>
              </w:rPr>
            </w:pPr>
            <w:r>
              <w:rPr>
                <w:rFonts w:ascii="Arial" w:cs="Arial" w:eastAsia="Arial" w:hAnsi="Arial"/>
                <w:sz w:val="16"/>
                <w:szCs w:val="16"/>
                <w:b w:val="1"/>
                <w:bCs w:val="1"/>
                <w:color w:val="auto"/>
              </w:rPr>
              <w:t>FOR</w:t>
            </w:r>
          </w:p>
        </w:tc>
        <w:tc>
          <w:tcPr>
            <w:tcW w:w="840" w:type="dxa"/>
            <w:vAlign w:val="bottom"/>
          </w:tcPr>
          <w:p>
            <w:pPr>
              <w:jc w:val="center"/>
              <w:spacing w:after="0"/>
              <w:rPr>
                <w:sz w:val="20"/>
                <w:szCs w:val="20"/>
                <w:color w:val="auto"/>
              </w:rPr>
            </w:pPr>
            <w:r>
              <w:rPr>
                <w:rFonts w:ascii="Arial" w:cs="Arial" w:eastAsia="Arial" w:hAnsi="Arial"/>
                <w:sz w:val="16"/>
                <w:szCs w:val="16"/>
                <w:color w:val="auto"/>
              </w:rPr>
              <w:t>76</w:t>
            </w:r>
          </w:p>
        </w:tc>
      </w:tr>
    </w:tbl>
    <w:p>
      <w:pPr>
        <w:spacing w:after="0" w:line="296" w:lineRule="exact"/>
        <w:rPr>
          <w:sz w:val="20"/>
          <w:szCs w:val="20"/>
          <w:color w:val="auto"/>
        </w:rPr>
      </w:pPr>
    </w:p>
    <w:p>
      <w:pPr>
        <w:sectPr>
          <w:pgSz w:w="11900" w:h="16838" w:orient="portrait"/>
          <w:cols w:equalWidth="0" w:num="3">
            <w:col w:w="960" w:space="460"/>
            <w:col w:w="7060" w:space="240"/>
            <w:col w:w="2500"/>
          </w:cols>
          <w:pgMar w:left="240" w:top="459" w:right="439" w:bottom="1440" w:gutter="0" w:footer="0" w:header="0"/>
          <w:type w:val="continuous"/>
        </w:sectPr>
      </w:pPr>
    </w:p>
    <w:p>
      <w:pPr>
        <w:spacing w:after="0" w:line="41" w:lineRule="exact"/>
        <w:rPr>
          <w:sz w:val="20"/>
          <w:szCs w:val="20"/>
          <w:color w:val="auto"/>
        </w:rPr>
      </w:pPr>
    </w:p>
    <w:p>
      <w:pPr>
        <w:ind w:left="380"/>
        <w:spacing w:after="0"/>
        <w:rPr>
          <w:sz w:val="20"/>
          <w:szCs w:val="20"/>
          <w:color w:val="auto"/>
        </w:rPr>
      </w:pPr>
      <w:r>
        <w:rPr>
          <w:rFonts w:ascii="Arial" w:cs="Arial" w:eastAsia="Arial" w:hAnsi="Arial"/>
          <w:sz w:val="22"/>
          <w:szCs w:val="22"/>
          <w:b w:val="1"/>
          <w:bCs w:val="1"/>
          <w:color w:val="32406B"/>
        </w:rPr>
        <w:t>How to Cast Your Vote</w:t>
      </w:r>
    </w:p>
    <w:p>
      <w:pPr>
        <w:spacing w:after="0" w:line="9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Even if you plan to attend the Annual Meeting in person, please cast your vote as soon as possible using one of the following methods:</w:t>
      </w:r>
    </w:p>
    <w:p>
      <w:pPr>
        <w:spacing w:after="0" w:line="201" w:lineRule="exact"/>
        <w:rPr>
          <w:sz w:val="20"/>
          <w:szCs w:val="20"/>
          <w:color w:val="auto"/>
        </w:rPr>
      </w:pPr>
    </w:p>
    <w:p>
      <w:pPr>
        <w:ind w:left="1000" w:hanging="301"/>
        <w:spacing w:after="0"/>
        <w:tabs>
          <w:tab w:leader="none" w:pos="1000"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Via </w:t>
      </w:r>
      <w:r>
        <w:rPr>
          <w:rFonts w:ascii="Arial" w:cs="Arial" w:eastAsia="Arial" w:hAnsi="Arial"/>
          <w:sz w:val="16"/>
          <w:szCs w:val="16"/>
          <w:b w:val="1"/>
          <w:bCs w:val="1"/>
          <w:color w:val="auto"/>
        </w:rPr>
        <w:t>internet</w:t>
      </w:r>
      <w:r>
        <w:rPr>
          <w:rFonts w:ascii="Arial" w:cs="Arial" w:eastAsia="Arial" w:hAnsi="Arial"/>
          <w:sz w:val="16"/>
          <w:szCs w:val="16"/>
          <w:color w:val="auto"/>
        </w:rPr>
        <w:t xml:space="preserve"> by visiting www.proxyvote.com</w:t>
      </w:r>
    </w:p>
    <w:p>
      <w:pPr>
        <w:spacing w:after="0" w:line="85" w:lineRule="exact"/>
        <w:rPr>
          <w:rFonts w:ascii="Arial" w:cs="Arial" w:eastAsia="Arial" w:hAnsi="Arial"/>
          <w:sz w:val="16"/>
          <w:szCs w:val="16"/>
          <w:color w:val="auto"/>
        </w:rPr>
      </w:pPr>
    </w:p>
    <w:p>
      <w:pPr>
        <w:ind w:left="1000" w:hanging="301"/>
        <w:spacing w:after="0"/>
        <w:tabs>
          <w:tab w:leader="none" w:pos="1000"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Via </w:t>
      </w:r>
      <w:r>
        <w:rPr>
          <w:rFonts w:ascii="Arial" w:cs="Arial" w:eastAsia="Arial" w:hAnsi="Arial"/>
          <w:sz w:val="16"/>
          <w:szCs w:val="16"/>
          <w:b w:val="1"/>
          <w:bCs w:val="1"/>
          <w:color w:val="auto"/>
        </w:rPr>
        <w:t>telephone</w:t>
      </w:r>
      <w:r>
        <w:rPr>
          <w:rFonts w:ascii="Arial" w:cs="Arial" w:eastAsia="Arial" w:hAnsi="Arial"/>
          <w:sz w:val="16"/>
          <w:szCs w:val="16"/>
          <w:color w:val="auto"/>
        </w:rPr>
        <w:t xml:space="preserve"> by calling 1-800-690-6903</w:t>
      </w:r>
    </w:p>
    <w:p>
      <w:pPr>
        <w:spacing w:after="0" w:line="85" w:lineRule="exact"/>
        <w:rPr>
          <w:rFonts w:ascii="Arial" w:cs="Arial" w:eastAsia="Arial" w:hAnsi="Arial"/>
          <w:sz w:val="16"/>
          <w:szCs w:val="16"/>
          <w:color w:val="auto"/>
        </w:rPr>
      </w:pPr>
    </w:p>
    <w:p>
      <w:pPr>
        <w:ind w:left="1000" w:right="200" w:hanging="301"/>
        <w:spacing w:after="0" w:line="286" w:lineRule="auto"/>
        <w:tabs>
          <w:tab w:leader="none" w:pos="1000"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Via </w:t>
      </w:r>
      <w:r>
        <w:rPr>
          <w:rFonts w:ascii="Arial" w:cs="Arial" w:eastAsia="Arial" w:hAnsi="Arial"/>
          <w:sz w:val="16"/>
          <w:szCs w:val="16"/>
          <w:b w:val="1"/>
          <w:bCs w:val="1"/>
          <w:color w:val="auto"/>
        </w:rPr>
        <w:t>mail</w:t>
      </w:r>
      <w:r>
        <w:rPr>
          <w:rFonts w:ascii="Arial" w:cs="Arial" w:eastAsia="Arial" w:hAnsi="Arial"/>
          <w:sz w:val="16"/>
          <w:szCs w:val="16"/>
          <w:color w:val="auto"/>
        </w:rPr>
        <w:t xml:space="preserve"> by marking, signing and dating your proxy card or voting instruction form (if you received proxy materials by mail) and returning it to the address listed therein</w:t>
      </w:r>
    </w:p>
    <w:p>
      <w:pPr>
        <w:spacing w:after="0" w:line="200" w:lineRule="exact"/>
        <w:rPr>
          <w:sz w:val="20"/>
          <w:szCs w:val="20"/>
          <w:color w:val="auto"/>
        </w:rPr>
      </w:pPr>
    </w:p>
    <w:p>
      <w:pPr>
        <w:spacing w:after="0" w:line="38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1</w:t>
      </w:r>
    </w:p>
    <w:p>
      <w:pPr>
        <w:sectPr>
          <w:pgSz w:w="11900" w:h="16838" w:orient="portrait"/>
          <w:cols w:equalWidth="0" w:num="1">
            <w:col w:w="11220"/>
          </w:cols>
          <w:pgMar w:left="240" w:top="459" w:right="43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354965</wp:posOffset>
            </wp:positionV>
            <wp:extent cx="6993890" cy="58972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3890" cy="5897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80"/>
        <w:spacing w:after="0"/>
        <w:rPr>
          <w:sz w:val="20"/>
          <w:szCs w:val="20"/>
          <w:color w:val="auto"/>
        </w:rPr>
      </w:pPr>
      <w:r>
        <w:rPr>
          <w:rFonts w:ascii="Arial" w:cs="Arial" w:eastAsia="Arial" w:hAnsi="Arial"/>
          <w:sz w:val="22"/>
          <w:szCs w:val="22"/>
          <w:b w:val="1"/>
          <w:bCs w:val="1"/>
          <w:color w:val="32406B"/>
        </w:rPr>
        <w:t>Company Overview</w:t>
      </w:r>
    </w:p>
    <w:p>
      <w:pPr>
        <w:spacing w:after="0" w:line="92" w:lineRule="exact"/>
        <w:rPr>
          <w:sz w:val="20"/>
          <w:szCs w:val="20"/>
          <w:color w:val="auto"/>
        </w:rPr>
      </w:pPr>
    </w:p>
    <w:p>
      <w:pPr>
        <w:ind w:left="380" w:right="320"/>
        <w:spacing w:after="0" w:line="250" w:lineRule="auto"/>
        <w:rPr>
          <w:sz w:val="20"/>
          <w:szCs w:val="20"/>
          <w:color w:val="auto"/>
        </w:rPr>
      </w:pPr>
      <w:r>
        <w:rPr>
          <w:rFonts w:ascii="Arial" w:cs="Arial" w:eastAsia="Arial" w:hAnsi="Arial"/>
          <w:sz w:val="16"/>
          <w:szCs w:val="16"/>
          <w:color w:val="auto"/>
        </w:rPr>
        <w:t>Dover is a diversified global manufacturer delivering innovative equipment and components, specialty systems, consumable supplies, software and digital solutions, and support services through four operating segments: Engineered Systems, Fluids, Refrigeration &amp; Food Equipment and Energy. Our entrepreneurial business model encourages, promotes, and fosters deep customer engagement and collaboration, which has led to Dover’s well-established and valued reputation for providing superior customer service and industry-leading product innovation.</w:t>
      </w:r>
    </w:p>
    <w:p>
      <w:pPr>
        <w:spacing w:after="0" w:line="205" w:lineRule="exact"/>
        <w:rPr>
          <w:sz w:val="20"/>
          <w:szCs w:val="20"/>
          <w:color w:val="auto"/>
        </w:rPr>
      </w:pPr>
    </w:p>
    <w:p>
      <w:pPr>
        <w:ind w:left="380" w:right="500"/>
        <w:spacing w:after="0" w:line="260" w:lineRule="auto"/>
        <w:rPr>
          <w:sz w:val="20"/>
          <w:szCs w:val="20"/>
          <w:color w:val="auto"/>
        </w:rPr>
      </w:pPr>
      <w:r>
        <w:rPr>
          <w:rFonts w:ascii="Arial" w:cs="Arial" w:eastAsia="Arial" w:hAnsi="Arial"/>
          <w:sz w:val="16"/>
          <w:szCs w:val="16"/>
          <w:color w:val="auto"/>
        </w:rPr>
        <w:t>Our businesses are aligned in four segments and organized around our key end markets focused on growth strategies. The segment structure is also designed to provide increased opportunities to leverage our scale and capitalize on productivity initiatives.</w:t>
      </w:r>
    </w:p>
    <w:p>
      <w:pPr>
        <w:spacing w:after="0" w:line="283"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32406B"/>
        </w:rPr>
        <w:t>Our Segments</w:t>
      </w:r>
    </w:p>
    <w:p>
      <w:pPr>
        <w:spacing w:after="0" w:line="246" w:lineRule="exact"/>
        <w:rPr>
          <w:sz w:val="20"/>
          <w:szCs w:val="20"/>
          <w:color w:val="auto"/>
        </w:rPr>
      </w:pPr>
    </w:p>
    <w:tbl>
      <w:tblPr>
        <w:tblLayout w:type="fixed"/>
        <w:tblInd w:w="390" w:type="dxa"/>
        <w:tblCellMar>
          <w:top w:w="0" w:type="dxa"/>
          <w:left w:w="0" w:type="dxa"/>
          <w:bottom w:w="0" w:type="dxa"/>
          <w:right w:w="0" w:type="dxa"/>
        </w:tblCellMar>
      </w:tblPr>
      <w:tr>
        <w:trPr>
          <w:trHeight w:val="326"/>
        </w:trPr>
        <w:tc>
          <w:tcPr>
            <w:tcW w:w="1520" w:type="dxa"/>
            <w:vAlign w:val="bottom"/>
            <w:tcBorders>
              <w:top w:val="single" w:sz="8" w:color="auto"/>
              <w:left w:val="single" w:sz="8" w:color="auto"/>
            </w:tcBorders>
            <w:shd w:val="clear" w:color="auto" w:fill="32406B"/>
          </w:tcPr>
          <w:p>
            <w:pPr>
              <w:spacing w:after="0"/>
              <w:rPr>
                <w:sz w:val="24"/>
                <w:szCs w:val="24"/>
                <w:color w:val="auto"/>
              </w:rPr>
            </w:pPr>
          </w:p>
        </w:tc>
        <w:tc>
          <w:tcPr>
            <w:tcW w:w="1580" w:type="dxa"/>
            <w:vAlign w:val="bottom"/>
            <w:tcBorders>
              <w:top w:val="single" w:sz="8" w:color="auto"/>
              <w:right w:val="single" w:sz="8" w:color="auto"/>
            </w:tcBorders>
            <w:vMerge w:val="restart"/>
            <w:shd w:val="clear" w:color="auto" w:fill="32406B"/>
          </w:tcPr>
          <w:p>
            <w:pPr>
              <w:ind w:left="20"/>
              <w:spacing w:after="0"/>
              <w:rPr>
                <w:sz w:val="20"/>
                <w:szCs w:val="20"/>
                <w:color w:val="auto"/>
              </w:rPr>
            </w:pPr>
            <w:r>
              <w:rPr>
                <w:rFonts w:ascii="Arial" w:cs="Arial" w:eastAsia="Arial" w:hAnsi="Arial"/>
                <w:sz w:val="16"/>
                <w:szCs w:val="16"/>
                <w:b w:val="1"/>
                <w:bCs w:val="1"/>
                <w:color w:val="FFFFFF"/>
              </w:rPr>
              <w:t>Engineered</w:t>
            </w:r>
          </w:p>
        </w:tc>
        <w:tc>
          <w:tcPr>
            <w:tcW w:w="7560" w:type="dxa"/>
            <w:vAlign w:val="bottom"/>
            <w:tcBorders>
              <w:top w:val="single" w:sz="8" w:color="auto"/>
              <w:right w:val="single" w:sz="8" w:color="auto"/>
            </w:tcBorders>
          </w:tcPr>
          <w:p>
            <w:pPr>
              <w:ind w:left="200"/>
              <w:spacing w:after="0"/>
              <w:rPr>
                <w:sz w:val="20"/>
                <w:szCs w:val="20"/>
                <w:color w:val="auto"/>
              </w:rPr>
            </w:pPr>
            <w:r>
              <w:rPr>
                <w:rFonts w:ascii="Arial" w:cs="Arial" w:eastAsia="Arial" w:hAnsi="Arial"/>
                <w:sz w:val="16"/>
                <w:szCs w:val="16"/>
                <w:color w:val="auto"/>
              </w:rPr>
              <w:t>Our Engineered Systems segment is comprised of two platforms, Printing &amp; Identification and</w:t>
            </w:r>
          </w:p>
        </w:tc>
        <w:tc>
          <w:tcPr>
            <w:tcW w:w="0" w:type="dxa"/>
            <w:vAlign w:val="bottom"/>
          </w:tcPr>
          <w:p>
            <w:pPr>
              <w:spacing w:after="0"/>
              <w:rPr>
                <w:sz w:val="1"/>
                <w:szCs w:val="1"/>
                <w:color w:val="auto"/>
              </w:rPr>
            </w:pPr>
          </w:p>
        </w:tc>
      </w:tr>
      <w:tr>
        <w:trPr>
          <w:trHeight w:val="169"/>
        </w:trPr>
        <w:tc>
          <w:tcPr>
            <w:tcW w:w="1520" w:type="dxa"/>
            <w:vAlign w:val="bottom"/>
            <w:tcBorders>
              <w:left w:val="single" w:sz="8" w:color="auto"/>
            </w:tcBorders>
            <w:shd w:val="clear" w:color="auto" w:fill="32406B"/>
          </w:tcPr>
          <w:p>
            <w:pPr>
              <w:spacing w:after="0"/>
              <w:rPr>
                <w:sz w:val="14"/>
                <w:szCs w:val="14"/>
                <w:color w:val="auto"/>
              </w:rPr>
            </w:pPr>
          </w:p>
        </w:tc>
        <w:tc>
          <w:tcPr>
            <w:tcW w:w="1580" w:type="dxa"/>
            <w:vAlign w:val="bottom"/>
            <w:tcBorders>
              <w:right w:val="single" w:sz="8" w:color="auto"/>
            </w:tcBorders>
            <w:vMerge w:val="continue"/>
            <w:shd w:val="clear" w:color="auto" w:fill="32406B"/>
          </w:tcPr>
          <w:p>
            <w:pPr>
              <w:spacing w:after="0"/>
              <w:rPr>
                <w:sz w:val="14"/>
                <w:szCs w:val="14"/>
                <w:color w:val="auto"/>
              </w:rPr>
            </w:pPr>
          </w:p>
        </w:tc>
        <w:tc>
          <w:tcPr>
            <w:tcW w:w="7560" w:type="dxa"/>
            <w:vAlign w:val="bottom"/>
            <w:tcBorders>
              <w:right w:val="single" w:sz="8" w:color="auto"/>
            </w:tcBorders>
          </w:tcPr>
          <w:p>
            <w:pPr>
              <w:ind w:left="200"/>
              <w:spacing w:after="0" w:line="169" w:lineRule="exact"/>
              <w:rPr>
                <w:sz w:val="20"/>
                <w:szCs w:val="20"/>
                <w:color w:val="auto"/>
              </w:rPr>
            </w:pPr>
            <w:r>
              <w:rPr>
                <w:rFonts w:ascii="Arial" w:cs="Arial" w:eastAsia="Arial" w:hAnsi="Arial"/>
                <w:sz w:val="16"/>
                <w:szCs w:val="16"/>
                <w:color w:val="auto"/>
              </w:rPr>
              <w:t>Industrials, and is focused on the design, manufacture and service of critical equipment, consumables</w:t>
            </w:r>
          </w:p>
        </w:tc>
        <w:tc>
          <w:tcPr>
            <w:tcW w:w="0" w:type="dxa"/>
            <w:vAlign w:val="bottom"/>
          </w:tcPr>
          <w:p>
            <w:pPr>
              <w:spacing w:after="0"/>
              <w:rPr>
                <w:sz w:val="1"/>
                <w:szCs w:val="1"/>
                <w:color w:val="auto"/>
              </w:rPr>
            </w:pPr>
          </w:p>
        </w:tc>
      </w:tr>
      <w:tr>
        <w:trPr>
          <w:trHeight w:val="209"/>
        </w:trPr>
        <w:tc>
          <w:tcPr>
            <w:tcW w:w="1520" w:type="dxa"/>
            <w:vAlign w:val="bottom"/>
            <w:tcBorders>
              <w:left w:val="single" w:sz="8" w:color="auto"/>
            </w:tcBorders>
            <w:shd w:val="clear" w:color="auto" w:fill="32406B"/>
          </w:tcPr>
          <w:p>
            <w:pPr>
              <w:spacing w:after="0"/>
              <w:rPr>
                <w:sz w:val="18"/>
                <w:szCs w:val="18"/>
                <w:color w:val="auto"/>
              </w:rPr>
            </w:pPr>
          </w:p>
        </w:tc>
        <w:tc>
          <w:tcPr>
            <w:tcW w:w="1580" w:type="dxa"/>
            <w:vAlign w:val="bottom"/>
            <w:tcBorders>
              <w:right w:val="single" w:sz="8" w:color="auto"/>
            </w:tcBorders>
            <w:shd w:val="clear" w:color="auto" w:fill="32406B"/>
          </w:tcPr>
          <w:p>
            <w:pPr>
              <w:ind w:left="20"/>
              <w:spacing w:after="0"/>
              <w:rPr>
                <w:sz w:val="20"/>
                <w:szCs w:val="20"/>
                <w:color w:val="auto"/>
              </w:rPr>
            </w:pPr>
            <w:r>
              <w:rPr>
                <w:rFonts w:ascii="Arial" w:cs="Arial" w:eastAsia="Arial" w:hAnsi="Arial"/>
                <w:sz w:val="16"/>
                <w:szCs w:val="16"/>
                <w:b w:val="1"/>
                <w:bCs w:val="1"/>
                <w:color w:val="FFFFFF"/>
              </w:rPr>
              <w:t>Systems</w:t>
            </w:r>
          </w:p>
        </w:tc>
        <w:tc>
          <w:tcPr>
            <w:tcW w:w="756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and components serving the fast-moving consumer goods, digital textile printing, vehicle service,</w:t>
            </w:r>
          </w:p>
        </w:tc>
        <w:tc>
          <w:tcPr>
            <w:tcW w:w="0" w:type="dxa"/>
            <w:vAlign w:val="bottom"/>
          </w:tcPr>
          <w:p>
            <w:pPr>
              <w:spacing w:after="0"/>
              <w:rPr>
                <w:sz w:val="1"/>
                <w:szCs w:val="1"/>
                <w:color w:val="auto"/>
              </w:rPr>
            </w:pPr>
          </w:p>
        </w:tc>
      </w:tr>
      <w:tr>
        <w:trPr>
          <w:trHeight w:val="194"/>
        </w:trPr>
        <w:tc>
          <w:tcPr>
            <w:tcW w:w="1520" w:type="dxa"/>
            <w:vAlign w:val="bottom"/>
            <w:tcBorders>
              <w:left w:val="single" w:sz="8" w:color="auto"/>
            </w:tcBorders>
            <w:shd w:val="clear" w:color="auto" w:fill="32406B"/>
          </w:tcPr>
          <w:p>
            <w:pPr>
              <w:spacing w:after="0"/>
              <w:rPr>
                <w:sz w:val="16"/>
                <w:szCs w:val="16"/>
                <w:color w:val="auto"/>
              </w:rPr>
            </w:pPr>
          </w:p>
        </w:tc>
        <w:tc>
          <w:tcPr>
            <w:tcW w:w="1580" w:type="dxa"/>
            <w:vAlign w:val="bottom"/>
            <w:tcBorders>
              <w:right w:val="single" w:sz="8" w:color="auto"/>
            </w:tcBorders>
            <w:shd w:val="clear" w:color="auto" w:fill="32406B"/>
          </w:tcPr>
          <w:p>
            <w:pPr>
              <w:spacing w:after="0"/>
              <w:rPr>
                <w:sz w:val="16"/>
                <w:szCs w:val="16"/>
                <w:color w:val="auto"/>
              </w:rPr>
            </w:pPr>
          </w:p>
        </w:tc>
        <w:tc>
          <w:tcPr>
            <w:tcW w:w="756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environmental solutions and industrial end markets.</w:t>
            </w:r>
          </w:p>
        </w:tc>
        <w:tc>
          <w:tcPr>
            <w:tcW w:w="0" w:type="dxa"/>
            <w:vAlign w:val="bottom"/>
          </w:tcPr>
          <w:p>
            <w:pPr>
              <w:spacing w:after="0"/>
              <w:rPr>
                <w:sz w:val="1"/>
                <w:szCs w:val="1"/>
                <w:color w:val="auto"/>
              </w:rPr>
            </w:pPr>
          </w:p>
        </w:tc>
      </w:tr>
      <w:tr>
        <w:trPr>
          <w:trHeight w:val="127"/>
        </w:trPr>
        <w:tc>
          <w:tcPr>
            <w:tcW w:w="1520" w:type="dxa"/>
            <w:vAlign w:val="bottom"/>
            <w:tcBorders>
              <w:left w:val="single" w:sz="8" w:color="auto"/>
              <w:bottom w:val="single" w:sz="8" w:color="auto"/>
            </w:tcBorders>
            <w:shd w:val="clear" w:color="auto" w:fill="32406B"/>
          </w:tcPr>
          <w:p>
            <w:pPr>
              <w:spacing w:after="0"/>
              <w:rPr>
                <w:sz w:val="11"/>
                <w:szCs w:val="11"/>
                <w:color w:val="auto"/>
              </w:rPr>
            </w:pPr>
          </w:p>
        </w:tc>
        <w:tc>
          <w:tcPr>
            <w:tcW w:w="1580" w:type="dxa"/>
            <w:vAlign w:val="bottom"/>
            <w:tcBorders>
              <w:bottom w:val="single" w:sz="8" w:color="auto"/>
              <w:right w:val="single" w:sz="8" w:color="auto"/>
            </w:tcBorders>
            <w:shd w:val="clear" w:color="auto" w:fill="32406B"/>
          </w:tcPr>
          <w:p>
            <w:pPr>
              <w:spacing w:after="0"/>
              <w:rPr>
                <w:sz w:val="11"/>
                <w:szCs w:val="11"/>
                <w:color w:val="auto"/>
              </w:rPr>
            </w:pPr>
          </w:p>
        </w:tc>
        <w:tc>
          <w:tcPr>
            <w:tcW w:w="75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54"/>
        </w:trPr>
        <w:tc>
          <w:tcPr>
            <w:tcW w:w="1520" w:type="dxa"/>
            <w:vAlign w:val="bottom"/>
            <w:tcBorders>
              <w:left w:val="single" w:sz="8" w:color="auto"/>
            </w:tcBorders>
            <w:shd w:val="clear" w:color="auto" w:fill="32406B"/>
          </w:tcPr>
          <w:p>
            <w:pPr>
              <w:spacing w:after="0"/>
              <w:rPr>
                <w:sz w:val="24"/>
                <w:szCs w:val="24"/>
                <w:color w:val="auto"/>
              </w:rPr>
            </w:pPr>
          </w:p>
        </w:tc>
        <w:tc>
          <w:tcPr>
            <w:tcW w:w="1580" w:type="dxa"/>
            <w:vAlign w:val="bottom"/>
            <w:tcBorders>
              <w:right w:val="single" w:sz="8" w:color="auto"/>
            </w:tcBorders>
            <w:vMerge w:val="restart"/>
            <w:shd w:val="clear" w:color="auto" w:fill="32406B"/>
          </w:tcPr>
          <w:p>
            <w:pPr>
              <w:ind w:left="20"/>
              <w:spacing w:after="0"/>
              <w:rPr>
                <w:sz w:val="20"/>
                <w:szCs w:val="20"/>
                <w:color w:val="auto"/>
              </w:rPr>
            </w:pPr>
            <w:r>
              <w:rPr>
                <w:rFonts w:ascii="Arial" w:cs="Arial" w:eastAsia="Arial" w:hAnsi="Arial"/>
                <w:sz w:val="16"/>
                <w:szCs w:val="16"/>
                <w:b w:val="1"/>
                <w:bCs w:val="1"/>
                <w:color w:val="FFFFFF"/>
              </w:rPr>
              <w:t>Fluids</w:t>
            </w:r>
          </w:p>
        </w:tc>
        <w:tc>
          <w:tcPr>
            <w:tcW w:w="756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Our Fluids segment, serving the Retail Fueling, Pumps and Hygienic &amp; Pharma end markets, is</w:t>
            </w:r>
          </w:p>
        </w:tc>
        <w:tc>
          <w:tcPr>
            <w:tcW w:w="0" w:type="dxa"/>
            <w:vAlign w:val="bottom"/>
          </w:tcPr>
          <w:p>
            <w:pPr>
              <w:spacing w:after="0"/>
              <w:rPr>
                <w:sz w:val="1"/>
                <w:szCs w:val="1"/>
                <w:color w:val="auto"/>
              </w:rPr>
            </w:pPr>
          </w:p>
        </w:tc>
      </w:tr>
      <w:tr>
        <w:trPr>
          <w:trHeight w:val="127"/>
        </w:trPr>
        <w:tc>
          <w:tcPr>
            <w:tcW w:w="1520" w:type="dxa"/>
            <w:vAlign w:val="bottom"/>
            <w:tcBorders>
              <w:left w:val="single" w:sz="8" w:color="auto"/>
            </w:tcBorders>
            <w:shd w:val="clear" w:color="auto" w:fill="32406B"/>
          </w:tcPr>
          <w:p>
            <w:pPr>
              <w:spacing w:after="0"/>
              <w:rPr>
                <w:sz w:val="11"/>
                <w:szCs w:val="11"/>
                <w:color w:val="auto"/>
              </w:rPr>
            </w:pPr>
          </w:p>
        </w:tc>
        <w:tc>
          <w:tcPr>
            <w:tcW w:w="1580" w:type="dxa"/>
            <w:vAlign w:val="bottom"/>
            <w:tcBorders>
              <w:right w:val="single" w:sz="8" w:color="auto"/>
            </w:tcBorders>
            <w:vMerge w:val="continue"/>
            <w:shd w:val="clear" w:color="auto" w:fill="32406B"/>
          </w:tcPr>
          <w:p>
            <w:pPr>
              <w:spacing w:after="0"/>
              <w:rPr>
                <w:sz w:val="11"/>
                <w:szCs w:val="11"/>
                <w:color w:val="auto"/>
              </w:rPr>
            </w:pPr>
          </w:p>
        </w:tc>
        <w:tc>
          <w:tcPr>
            <w:tcW w:w="7560" w:type="dxa"/>
            <w:vAlign w:val="bottom"/>
            <w:tcBorders>
              <w:right w:val="single" w:sz="8" w:color="auto"/>
            </w:tcBorders>
            <w:vMerge w:val="restart"/>
          </w:tcPr>
          <w:p>
            <w:pPr>
              <w:ind w:left="200"/>
              <w:spacing w:after="0"/>
              <w:rPr>
                <w:sz w:val="20"/>
                <w:szCs w:val="20"/>
                <w:color w:val="auto"/>
              </w:rPr>
            </w:pPr>
            <w:r>
              <w:rPr>
                <w:rFonts w:ascii="Arial" w:cs="Arial" w:eastAsia="Arial" w:hAnsi="Arial"/>
                <w:sz w:val="16"/>
                <w:szCs w:val="16"/>
                <w:color w:val="auto"/>
              </w:rPr>
              <w:t>focused on the safe handling of critical fluids across the retail fueling, chemical, hygienic, oil and gas</w:t>
            </w:r>
          </w:p>
        </w:tc>
        <w:tc>
          <w:tcPr>
            <w:tcW w:w="0" w:type="dxa"/>
            <w:vAlign w:val="bottom"/>
          </w:tcPr>
          <w:p>
            <w:pPr>
              <w:spacing w:after="0"/>
              <w:rPr>
                <w:sz w:val="1"/>
                <w:szCs w:val="1"/>
                <w:color w:val="auto"/>
              </w:rPr>
            </w:pPr>
          </w:p>
        </w:tc>
      </w:tr>
      <w:tr>
        <w:trPr>
          <w:trHeight w:val="62"/>
        </w:trPr>
        <w:tc>
          <w:tcPr>
            <w:tcW w:w="1520" w:type="dxa"/>
            <w:vAlign w:val="bottom"/>
            <w:tcBorders>
              <w:left w:val="single" w:sz="8" w:color="auto"/>
            </w:tcBorders>
            <w:shd w:val="clear" w:color="auto" w:fill="32406B"/>
          </w:tcPr>
          <w:p>
            <w:pPr>
              <w:spacing w:after="0"/>
              <w:rPr>
                <w:sz w:val="5"/>
                <w:szCs w:val="5"/>
                <w:color w:val="auto"/>
              </w:rPr>
            </w:pPr>
          </w:p>
        </w:tc>
        <w:tc>
          <w:tcPr>
            <w:tcW w:w="1580" w:type="dxa"/>
            <w:vAlign w:val="bottom"/>
            <w:tcBorders>
              <w:right w:val="single" w:sz="8" w:color="auto"/>
            </w:tcBorders>
            <w:shd w:val="clear" w:color="auto" w:fill="32406B"/>
          </w:tcPr>
          <w:p>
            <w:pPr>
              <w:spacing w:after="0"/>
              <w:rPr>
                <w:sz w:val="5"/>
                <w:szCs w:val="5"/>
                <w:color w:val="auto"/>
              </w:rPr>
            </w:pPr>
          </w:p>
        </w:tc>
        <w:tc>
          <w:tcPr>
            <w:tcW w:w="756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1520" w:type="dxa"/>
            <w:vAlign w:val="bottom"/>
            <w:tcBorders>
              <w:left w:val="single" w:sz="8" w:color="auto"/>
            </w:tcBorders>
            <w:shd w:val="clear" w:color="auto" w:fill="32406B"/>
          </w:tcPr>
          <w:p>
            <w:pPr>
              <w:spacing w:after="0"/>
              <w:rPr>
                <w:sz w:val="16"/>
                <w:szCs w:val="16"/>
                <w:color w:val="auto"/>
              </w:rPr>
            </w:pPr>
          </w:p>
        </w:tc>
        <w:tc>
          <w:tcPr>
            <w:tcW w:w="1580" w:type="dxa"/>
            <w:vAlign w:val="bottom"/>
            <w:tcBorders>
              <w:right w:val="single" w:sz="8" w:color="auto"/>
            </w:tcBorders>
            <w:shd w:val="clear" w:color="auto" w:fill="32406B"/>
          </w:tcPr>
          <w:p>
            <w:pPr>
              <w:spacing w:after="0"/>
              <w:rPr>
                <w:sz w:val="16"/>
                <w:szCs w:val="16"/>
                <w:color w:val="auto"/>
              </w:rPr>
            </w:pPr>
          </w:p>
        </w:tc>
        <w:tc>
          <w:tcPr>
            <w:tcW w:w="756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and industrial end markets.</w:t>
            </w:r>
          </w:p>
        </w:tc>
        <w:tc>
          <w:tcPr>
            <w:tcW w:w="0" w:type="dxa"/>
            <w:vAlign w:val="bottom"/>
          </w:tcPr>
          <w:p>
            <w:pPr>
              <w:spacing w:after="0"/>
              <w:rPr>
                <w:sz w:val="1"/>
                <w:szCs w:val="1"/>
                <w:color w:val="auto"/>
              </w:rPr>
            </w:pPr>
          </w:p>
        </w:tc>
      </w:tr>
      <w:tr>
        <w:trPr>
          <w:trHeight w:val="127"/>
        </w:trPr>
        <w:tc>
          <w:tcPr>
            <w:tcW w:w="1520" w:type="dxa"/>
            <w:vAlign w:val="bottom"/>
            <w:tcBorders>
              <w:left w:val="single" w:sz="8" w:color="auto"/>
              <w:bottom w:val="single" w:sz="8" w:color="auto"/>
            </w:tcBorders>
            <w:shd w:val="clear" w:color="auto" w:fill="32406B"/>
          </w:tcPr>
          <w:p>
            <w:pPr>
              <w:spacing w:after="0"/>
              <w:rPr>
                <w:sz w:val="11"/>
                <w:szCs w:val="11"/>
                <w:color w:val="auto"/>
              </w:rPr>
            </w:pPr>
          </w:p>
        </w:tc>
        <w:tc>
          <w:tcPr>
            <w:tcW w:w="1580" w:type="dxa"/>
            <w:vAlign w:val="bottom"/>
            <w:tcBorders>
              <w:bottom w:val="single" w:sz="8" w:color="auto"/>
              <w:right w:val="single" w:sz="8" w:color="auto"/>
            </w:tcBorders>
            <w:shd w:val="clear" w:color="auto" w:fill="32406B"/>
          </w:tcPr>
          <w:p>
            <w:pPr>
              <w:spacing w:after="0"/>
              <w:rPr>
                <w:sz w:val="11"/>
                <w:szCs w:val="11"/>
                <w:color w:val="auto"/>
              </w:rPr>
            </w:pPr>
          </w:p>
        </w:tc>
        <w:tc>
          <w:tcPr>
            <w:tcW w:w="75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31"/>
        </w:trPr>
        <w:tc>
          <w:tcPr>
            <w:tcW w:w="1520" w:type="dxa"/>
            <w:vAlign w:val="bottom"/>
            <w:tcBorders>
              <w:left w:val="single" w:sz="8" w:color="auto"/>
            </w:tcBorders>
            <w:shd w:val="clear" w:color="auto" w:fill="32406B"/>
          </w:tcPr>
          <w:p>
            <w:pPr>
              <w:spacing w:after="0"/>
              <w:rPr>
                <w:sz w:val="24"/>
                <w:szCs w:val="24"/>
                <w:color w:val="auto"/>
              </w:rPr>
            </w:pPr>
          </w:p>
        </w:tc>
        <w:tc>
          <w:tcPr>
            <w:tcW w:w="1580" w:type="dxa"/>
            <w:vAlign w:val="bottom"/>
            <w:tcBorders>
              <w:right w:val="single" w:sz="8" w:color="auto"/>
            </w:tcBorders>
            <w:shd w:val="clear" w:color="auto" w:fill="32406B"/>
          </w:tcPr>
          <w:p>
            <w:pPr>
              <w:ind w:left="20"/>
              <w:spacing w:after="0"/>
              <w:rPr>
                <w:sz w:val="20"/>
                <w:szCs w:val="20"/>
                <w:color w:val="auto"/>
              </w:rPr>
            </w:pPr>
            <w:r>
              <w:rPr>
                <w:rFonts w:ascii="Arial" w:cs="Arial" w:eastAsia="Arial" w:hAnsi="Arial"/>
                <w:sz w:val="16"/>
                <w:szCs w:val="16"/>
                <w:b w:val="1"/>
                <w:bCs w:val="1"/>
                <w:color w:val="FFFFFF"/>
              </w:rPr>
              <w:t>Refrigeration &amp;</w:t>
            </w:r>
          </w:p>
        </w:tc>
        <w:tc>
          <w:tcPr>
            <w:tcW w:w="756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Our Refrigeration &amp; Food Equipment segment is a provider of innovative and energy efficient</w:t>
            </w:r>
          </w:p>
        </w:tc>
        <w:tc>
          <w:tcPr>
            <w:tcW w:w="0" w:type="dxa"/>
            <w:vAlign w:val="bottom"/>
          </w:tcPr>
          <w:p>
            <w:pPr>
              <w:spacing w:after="0"/>
              <w:rPr>
                <w:sz w:val="1"/>
                <w:szCs w:val="1"/>
                <w:color w:val="auto"/>
              </w:rPr>
            </w:pPr>
          </w:p>
        </w:tc>
      </w:tr>
      <w:tr>
        <w:trPr>
          <w:trHeight w:val="211"/>
        </w:trPr>
        <w:tc>
          <w:tcPr>
            <w:tcW w:w="1520" w:type="dxa"/>
            <w:vAlign w:val="bottom"/>
            <w:tcBorders>
              <w:left w:val="single" w:sz="8" w:color="auto"/>
            </w:tcBorders>
            <w:shd w:val="clear" w:color="auto" w:fill="32406B"/>
          </w:tcPr>
          <w:p>
            <w:pPr>
              <w:spacing w:after="0"/>
              <w:rPr>
                <w:sz w:val="18"/>
                <w:szCs w:val="18"/>
                <w:color w:val="auto"/>
              </w:rPr>
            </w:pPr>
          </w:p>
        </w:tc>
        <w:tc>
          <w:tcPr>
            <w:tcW w:w="1580" w:type="dxa"/>
            <w:vAlign w:val="bottom"/>
            <w:tcBorders>
              <w:right w:val="single" w:sz="8" w:color="auto"/>
            </w:tcBorders>
            <w:shd w:val="clear" w:color="auto" w:fill="32406B"/>
          </w:tcPr>
          <w:p>
            <w:pPr>
              <w:ind w:left="20"/>
              <w:spacing w:after="0"/>
              <w:rPr>
                <w:sz w:val="20"/>
                <w:szCs w:val="20"/>
                <w:color w:val="auto"/>
              </w:rPr>
            </w:pPr>
            <w:r>
              <w:rPr>
                <w:rFonts w:ascii="Arial" w:cs="Arial" w:eastAsia="Arial" w:hAnsi="Arial"/>
                <w:sz w:val="16"/>
                <w:szCs w:val="16"/>
                <w:b w:val="1"/>
                <w:bCs w:val="1"/>
                <w:color w:val="FFFFFF"/>
              </w:rPr>
              <w:t>Food</w:t>
            </w:r>
          </w:p>
        </w:tc>
        <w:tc>
          <w:tcPr>
            <w:tcW w:w="756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equipment and systems serving the commercial refrigeration and food equipment end markets.</w:t>
            </w:r>
          </w:p>
        </w:tc>
        <w:tc>
          <w:tcPr>
            <w:tcW w:w="0" w:type="dxa"/>
            <w:vAlign w:val="bottom"/>
          </w:tcPr>
          <w:p>
            <w:pPr>
              <w:spacing w:after="0"/>
              <w:rPr>
                <w:sz w:val="1"/>
                <w:szCs w:val="1"/>
                <w:color w:val="auto"/>
              </w:rPr>
            </w:pPr>
          </w:p>
        </w:tc>
      </w:tr>
      <w:tr>
        <w:trPr>
          <w:trHeight w:val="214"/>
        </w:trPr>
        <w:tc>
          <w:tcPr>
            <w:tcW w:w="1520" w:type="dxa"/>
            <w:vAlign w:val="bottom"/>
            <w:tcBorders>
              <w:left w:val="single" w:sz="8" w:color="auto"/>
            </w:tcBorders>
            <w:shd w:val="clear" w:color="auto" w:fill="32406B"/>
          </w:tcPr>
          <w:p>
            <w:pPr>
              <w:spacing w:after="0"/>
              <w:rPr>
                <w:sz w:val="18"/>
                <w:szCs w:val="18"/>
                <w:color w:val="auto"/>
              </w:rPr>
            </w:pPr>
          </w:p>
        </w:tc>
        <w:tc>
          <w:tcPr>
            <w:tcW w:w="1580" w:type="dxa"/>
            <w:vAlign w:val="bottom"/>
            <w:tcBorders>
              <w:right w:val="single" w:sz="8" w:color="auto"/>
            </w:tcBorders>
            <w:shd w:val="clear" w:color="auto" w:fill="32406B"/>
          </w:tcPr>
          <w:p>
            <w:pPr>
              <w:ind w:left="20"/>
              <w:spacing w:after="0"/>
              <w:rPr>
                <w:sz w:val="20"/>
                <w:szCs w:val="20"/>
                <w:color w:val="auto"/>
              </w:rPr>
            </w:pPr>
            <w:r>
              <w:rPr>
                <w:rFonts w:ascii="Arial" w:cs="Arial" w:eastAsia="Arial" w:hAnsi="Arial"/>
                <w:sz w:val="16"/>
                <w:szCs w:val="16"/>
                <w:b w:val="1"/>
                <w:bCs w:val="1"/>
                <w:color w:val="FFFFFF"/>
              </w:rPr>
              <w:t>Equipment</w:t>
            </w:r>
          </w:p>
        </w:tc>
        <w:tc>
          <w:tcPr>
            <w:tcW w:w="7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520" w:type="dxa"/>
            <w:vAlign w:val="bottom"/>
            <w:tcBorders>
              <w:left w:val="single" w:sz="8" w:color="auto"/>
              <w:bottom w:val="single" w:sz="8" w:color="auto"/>
            </w:tcBorders>
            <w:shd w:val="clear" w:color="auto" w:fill="32406B"/>
          </w:tcPr>
          <w:p>
            <w:pPr>
              <w:spacing w:after="0"/>
              <w:rPr>
                <w:sz w:val="18"/>
                <w:szCs w:val="18"/>
                <w:color w:val="auto"/>
              </w:rPr>
            </w:pPr>
          </w:p>
        </w:tc>
        <w:tc>
          <w:tcPr>
            <w:tcW w:w="1580" w:type="dxa"/>
            <w:vAlign w:val="bottom"/>
            <w:tcBorders>
              <w:bottom w:val="single" w:sz="8" w:color="auto"/>
              <w:right w:val="single" w:sz="8" w:color="auto"/>
            </w:tcBorders>
            <w:shd w:val="clear" w:color="auto" w:fill="32406B"/>
          </w:tcPr>
          <w:p>
            <w:pPr>
              <w:spacing w:after="0"/>
              <w:rPr>
                <w:sz w:val="18"/>
                <w:szCs w:val="18"/>
                <w:color w:val="auto"/>
              </w:rPr>
            </w:pPr>
          </w:p>
        </w:tc>
        <w:tc>
          <w:tcPr>
            <w:tcW w:w="75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06"/>
        </w:trPr>
        <w:tc>
          <w:tcPr>
            <w:tcW w:w="1520" w:type="dxa"/>
            <w:vAlign w:val="bottom"/>
            <w:tcBorders>
              <w:left w:val="single" w:sz="8" w:color="auto"/>
            </w:tcBorders>
            <w:shd w:val="clear" w:color="auto" w:fill="989FB5"/>
          </w:tcPr>
          <w:p>
            <w:pPr>
              <w:spacing w:after="0"/>
              <w:rPr>
                <w:sz w:val="24"/>
                <w:szCs w:val="24"/>
                <w:color w:val="auto"/>
              </w:rPr>
            </w:pPr>
          </w:p>
        </w:tc>
        <w:tc>
          <w:tcPr>
            <w:tcW w:w="1580" w:type="dxa"/>
            <w:vAlign w:val="bottom"/>
            <w:tcBorders>
              <w:right w:val="single" w:sz="8" w:color="auto"/>
            </w:tcBorders>
            <w:shd w:val="clear" w:color="auto" w:fill="989FB5"/>
          </w:tcPr>
          <w:p>
            <w:pPr>
              <w:spacing w:after="0"/>
              <w:rPr>
                <w:sz w:val="24"/>
                <w:szCs w:val="24"/>
                <w:color w:val="auto"/>
              </w:rPr>
            </w:pPr>
          </w:p>
        </w:tc>
        <w:tc>
          <w:tcPr>
            <w:tcW w:w="756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Our Energy segment, serving the Drilling &amp; Production, Bearings &amp; Compression and Automation end</w:t>
            </w:r>
          </w:p>
        </w:tc>
        <w:tc>
          <w:tcPr>
            <w:tcW w:w="0" w:type="dxa"/>
            <w:vAlign w:val="bottom"/>
          </w:tcPr>
          <w:p>
            <w:pPr>
              <w:spacing w:after="0"/>
              <w:rPr>
                <w:sz w:val="1"/>
                <w:szCs w:val="1"/>
                <w:color w:val="auto"/>
              </w:rPr>
            </w:pPr>
          </w:p>
        </w:tc>
      </w:tr>
      <w:tr>
        <w:trPr>
          <w:trHeight w:val="189"/>
        </w:trPr>
        <w:tc>
          <w:tcPr>
            <w:tcW w:w="1520" w:type="dxa"/>
            <w:vAlign w:val="bottom"/>
            <w:tcBorders>
              <w:left w:val="single" w:sz="8" w:color="auto"/>
            </w:tcBorders>
            <w:shd w:val="clear" w:color="auto" w:fill="989FB5"/>
          </w:tcPr>
          <w:p>
            <w:pPr>
              <w:spacing w:after="0"/>
              <w:rPr>
                <w:sz w:val="16"/>
                <w:szCs w:val="16"/>
                <w:color w:val="auto"/>
              </w:rPr>
            </w:pPr>
          </w:p>
        </w:tc>
        <w:tc>
          <w:tcPr>
            <w:tcW w:w="1580" w:type="dxa"/>
            <w:vAlign w:val="bottom"/>
            <w:tcBorders>
              <w:right w:val="single" w:sz="8" w:color="auto"/>
            </w:tcBorders>
            <w:vMerge w:val="restart"/>
            <w:shd w:val="clear" w:color="auto" w:fill="989FB5"/>
          </w:tcPr>
          <w:p>
            <w:pPr>
              <w:ind w:left="20"/>
              <w:spacing w:after="0"/>
              <w:rPr>
                <w:sz w:val="20"/>
                <w:szCs w:val="20"/>
                <w:color w:val="auto"/>
              </w:rPr>
            </w:pPr>
            <w:r>
              <w:rPr>
                <w:rFonts w:ascii="Arial" w:cs="Arial" w:eastAsia="Arial" w:hAnsi="Arial"/>
                <w:sz w:val="16"/>
                <w:szCs w:val="16"/>
                <w:b w:val="1"/>
                <w:bCs w:val="1"/>
                <w:color w:val="FFFFFF"/>
              </w:rPr>
              <w:t>Energy</w:t>
            </w:r>
          </w:p>
        </w:tc>
        <w:tc>
          <w:tcPr>
            <w:tcW w:w="756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markets, is a provider of customer-driven solutions and services for safe and efficient production and</w:t>
            </w:r>
          </w:p>
        </w:tc>
        <w:tc>
          <w:tcPr>
            <w:tcW w:w="0" w:type="dxa"/>
            <w:vAlign w:val="bottom"/>
          </w:tcPr>
          <w:p>
            <w:pPr>
              <w:spacing w:after="0"/>
              <w:rPr>
                <w:sz w:val="1"/>
                <w:szCs w:val="1"/>
                <w:color w:val="auto"/>
              </w:rPr>
            </w:pPr>
          </w:p>
        </w:tc>
      </w:tr>
      <w:tr>
        <w:trPr>
          <w:trHeight w:val="100"/>
        </w:trPr>
        <w:tc>
          <w:tcPr>
            <w:tcW w:w="1520" w:type="dxa"/>
            <w:vAlign w:val="bottom"/>
            <w:tcBorders>
              <w:left w:val="single" w:sz="8" w:color="auto"/>
            </w:tcBorders>
            <w:shd w:val="clear" w:color="auto" w:fill="989FB5"/>
          </w:tcPr>
          <w:p>
            <w:pPr>
              <w:spacing w:after="0"/>
              <w:rPr>
                <w:sz w:val="8"/>
                <w:szCs w:val="8"/>
                <w:color w:val="auto"/>
              </w:rPr>
            </w:pPr>
          </w:p>
        </w:tc>
        <w:tc>
          <w:tcPr>
            <w:tcW w:w="1580" w:type="dxa"/>
            <w:vAlign w:val="bottom"/>
            <w:tcBorders>
              <w:right w:val="single" w:sz="8" w:color="auto"/>
            </w:tcBorders>
            <w:vMerge w:val="continue"/>
            <w:shd w:val="clear" w:color="auto" w:fill="989FB5"/>
          </w:tcPr>
          <w:p>
            <w:pPr>
              <w:spacing w:after="0"/>
              <w:rPr>
                <w:sz w:val="8"/>
                <w:szCs w:val="8"/>
                <w:color w:val="auto"/>
              </w:rPr>
            </w:pPr>
          </w:p>
        </w:tc>
        <w:tc>
          <w:tcPr>
            <w:tcW w:w="7560" w:type="dxa"/>
            <w:vAlign w:val="bottom"/>
            <w:tcBorders>
              <w:right w:val="single" w:sz="8" w:color="auto"/>
            </w:tcBorders>
            <w:vMerge w:val="restart"/>
          </w:tcPr>
          <w:p>
            <w:pPr>
              <w:ind w:left="200"/>
              <w:spacing w:after="0"/>
              <w:rPr>
                <w:sz w:val="20"/>
                <w:szCs w:val="20"/>
                <w:color w:val="auto"/>
              </w:rPr>
            </w:pPr>
            <w:r>
              <w:rPr>
                <w:rFonts w:ascii="Arial" w:cs="Arial" w:eastAsia="Arial" w:hAnsi="Arial"/>
                <w:sz w:val="16"/>
                <w:szCs w:val="16"/>
                <w:color w:val="auto"/>
              </w:rPr>
              <w:t>processing of fuels worldwide and has a strong presence in the bearings and compression</w:t>
            </w:r>
          </w:p>
        </w:tc>
        <w:tc>
          <w:tcPr>
            <w:tcW w:w="0" w:type="dxa"/>
            <w:vAlign w:val="bottom"/>
          </w:tcPr>
          <w:p>
            <w:pPr>
              <w:spacing w:after="0"/>
              <w:rPr>
                <w:sz w:val="1"/>
                <w:szCs w:val="1"/>
                <w:color w:val="auto"/>
              </w:rPr>
            </w:pPr>
          </w:p>
        </w:tc>
      </w:tr>
      <w:tr>
        <w:trPr>
          <w:trHeight w:val="89"/>
        </w:trPr>
        <w:tc>
          <w:tcPr>
            <w:tcW w:w="1520" w:type="dxa"/>
            <w:vAlign w:val="bottom"/>
            <w:tcBorders>
              <w:left w:val="single" w:sz="8" w:color="auto"/>
            </w:tcBorders>
            <w:shd w:val="clear" w:color="auto" w:fill="989FB5"/>
          </w:tcPr>
          <w:p>
            <w:pPr>
              <w:spacing w:after="0"/>
              <w:rPr>
                <w:sz w:val="7"/>
                <w:szCs w:val="7"/>
                <w:color w:val="auto"/>
              </w:rPr>
            </w:pPr>
          </w:p>
        </w:tc>
        <w:tc>
          <w:tcPr>
            <w:tcW w:w="1580" w:type="dxa"/>
            <w:vAlign w:val="bottom"/>
            <w:tcBorders>
              <w:right w:val="single" w:sz="8" w:color="auto"/>
            </w:tcBorders>
            <w:shd w:val="clear" w:color="auto" w:fill="989FB5"/>
          </w:tcPr>
          <w:p>
            <w:pPr>
              <w:spacing w:after="0"/>
              <w:rPr>
                <w:sz w:val="7"/>
                <w:szCs w:val="7"/>
                <w:color w:val="auto"/>
              </w:rPr>
            </w:pPr>
          </w:p>
        </w:tc>
        <w:tc>
          <w:tcPr>
            <w:tcW w:w="75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4"/>
        </w:trPr>
        <w:tc>
          <w:tcPr>
            <w:tcW w:w="1520" w:type="dxa"/>
            <w:vAlign w:val="bottom"/>
            <w:tcBorders>
              <w:left w:val="single" w:sz="8" w:color="auto"/>
            </w:tcBorders>
            <w:shd w:val="clear" w:color="auto" w:fill="989FB5"/>
          </w:tcPr>
          <w:p>
            <w:pPr>
              <w:spacing w:after="0"/>
              <w:rPr>
                <w:sz w:val="16"/>
                <w:szCs w:val="16"/>
                <w:color w:val="auto"/>
              </w:rPr>
            </w:pPr>
          </w:p>
        </w:tc>
        <w:tc>
          <w:tcPr>
            <w:tcW w:w="1580" w:type="dxa"/>
            <w:vAlign w:val="bottom"/>
            <w:tcBorders>
              <w:right w:val="single" w:sz="8" w:color="auto"/>
            </w:tcBorders>
            <w:shd w:val="clear" w:color="auto" w:fill="989FB5"/>
          </w:tcPr>
          <w:p>
            <w:pPr>
              <w:spacing w:after="0"/>
              <w:rPr>
                <w:sz w:val="16"/>
                <w:szCs w:val="16"/>
                <w:color w:val="auto"/>
              </w:rPr>
            </w:pPr>
          </w:p>
        </w:tc>
        <w:tc>
          <w:tcPr>
            <w:tcW w:w="756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components and automation markets.</w:t>
            </w:r>
          </w:p>
        </w:tc>
        <w:tc>
          <w:tcPr>
            <w:tcW w:w="0" w:type="dxa"/>
            <w:vAlign w:val="bottom"/>
          </w:tcPr>
          <w:p>
            <w:pPr>
              <w:spacing w:after="0"/>
              <w:rPr>
                <w:sz w:val="1"/>
                <w:szCs w:val="1"/>
                <w:color w:val="auto"/>
              </w:rPr>
            </w:pPr>
          </w:p>
        </w:tc>
      </w:tr>
      <w:tr>
        <w:trPr>
          <w:trHeight w:val="127"/>
        </w:trPr>
        <w:tc>
          <w:tcPr>
            <w:tcW w:w="1520" w:type="dxa"/>
            <w:vAlign w:val="bottom"/>
            <w:tcBorders>
              <w:left w:val="single" w:sz="8" w:color="auto"/>
              <w:bottom w:val="single" w:sz="8" w:color="auto"/>
            </w:tcBorders>
            <w:shd w:val="clear" w:color="auto" w:fill="989FB5"/>
          </w:tcPr>
          <w:p>
            <w:pPr>
              <w:spacing w:after="0"/>
              <w:rPr>
                <w:sz w:val="11"/>
                <w:szCs w:val="11"/>
                <w:color w:val="auto"/>
              </w:rPr>
            </w:pPr>
          </w:p>
        </w:tc>
        <w:tc>
          <w:tcPr>
            <w:tcW w:w="1580" w:type="dxa"/>
            <w:vAlign w:val="bottom"/>
            <w:tcBorders>
              <w:bottom w:val="single" w:sz="8" w:color="auto"/>
              <w:right w:val="single" w:sz="8" w:color="auto"/>
            </w:tcBorders>
            <w:shd w:val="clear" w:color="auto" w:fill="989FB5"/>
          </w:tcPr>
          <w:p>
            <w:pPr>
              <w:spacing w:after="0"/>
              <w:rPr>
                <w:sz w:val="11"/>
                <w:szCs w:val="11"/>
                <w:color w:val="auto"/>
              </w:rPr>
            </w:pPr>
          </w:p>
        </w:tc>
        <w:tc>
          <w:tcPr>
            <w:tcW w:w="75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32406B"/>
        </w:rPr>
        <w:t>Spin-off of Upstream Energy Businesses</w:t>
      </w:r>
    </w:p>
    <w:p>
      <w:pPr>
        <w:spacing w:after="0" w:line="92" w:lineRule="exact"/>
        <w:rPr>
          <w:sz w:val="20"/>
          <w:szCs w:val="20"/>
          <w:color w:val="auto"/>
        </w:rPr>
      </w:pPr>
    </w:p>
    <w:p>
      <w:pPr>
        <w:jc w:val="both"/>
        <w:ind w:left="380" w:right="280"/>
        <w:spacing w:after="0" w:line="246" w:lineRule="auto"/>
        <w:rPr>
          <w:sz w:val="20"/>
          <w:szCs w:val="20"/>
          <w:color w:val="auto"/>
        </w:rPr>
      </w:pPr>
      <w:r>
        <w:rPr>
          <w:rFonts w:ascii="Arial" w:cs="Arial" w:eastAsia="Arial" w:hAnsi="Arial"/>
          <w:sz w:val="16"/>
          <w:szCs w:val="16"/>
          <w:color w:val="auto"/>
        </w:rPr>
        <w:t>On December 7, 2017, following a comprehensive strategic review, we announced that we plan to spin-off, on a tax-free basis, the upstream energy businesses within our Energy segment into a standalone, publicly-traded company named Apergy Corporation (“Apergy”). Upon completion of</w:t>
      </w:r>
    </w:p>
    <w:p>
      <w:pPr>
        <w:spacing w:after="0" w:line="1" w:lineRule="exact"/>
        <w:rPr>
          <w:sz w:val="20"/>
          <w:szCs w:val="20"/>
          <w:color w:val="auto"/>
        </w:rPr>
      </w:pPr>
    </w:p>
    <w:p>
      <w:pPr>
        <w:jc w:val="both"/>
        <w:ind w:left="380" w:right="340"/>
        <w:spacing w:after="0" w:line="250" w:lineRule="auto"/>
        <w:rPr>
          <w:sz w:val="20"/>
          <w:szCs w:val="20"/>
          <w:color w:val="auto"/>
        </w:rPr>
      </w:pPr>
      <w:r>
        <w:rPr>
          <w:rFonts w:ascii="Arial" w:cs="Arial" w:eastAsia="Arial" w:hAnsi="Arial"/>
          <w:sz w:val="16"/>
          <w:szCs w:val="16"/>
          <w:color w:val="auto"/>
        </w:rPr>
        <w:t>the spin-off, Apergy will be a leading provider of a full range of oil and gas production technologies and solutions, wellsite productivity software and Industrial Internet (IIot) solutions. Apergy will also be the industry leader in the development and production of polycrystalline diamond cutters used for oil and gas exploration. We expect to complete the spin-off transaction in May of 2018, subject to the satisfaction or waiver of certain customary conditions.</w:t>
      </w:r>
    </w:p>
    <w:p>
      <w:pPr>
        <w:spacing w:after="0" w:line="205" w:lineRule="exact"/>
        <w:rPr>
          <w:sz w:val="20"/>
          <w:szCs w:val="20"/>
          <w:color w:val="auto"/>
        </w:rPr>
      </w:pPr>
    </w:p>
    <w:p>
      <w:pPr>
        <w:ind w:left="380" w:right="300"/>
        <w:spacing w:after="0" w:line="253" w:lineRule="auto"/>
        <w:rPr>
          <w:sz w:val="20"/>
          <w:szCs w:val="20"/>
          <w:color w:val="auto"/>
        </w:rPr>
      </w:pPr>
      <w:r>
        <w:rPr>
          <w:rFonts w:ascii="Arial" w:cs="Arial" w:eastAsia="Arial" w:hAnsi="Arial"/>
          <w:sz w:val="16"/>
          <w:szCs w:val="16"/>
          <w:color w:val="auto"/>
        </w:rPr>
        <w:t>As part of the spin-off, Apergy is expected to raise $700 to $800 million of new debt, the proceeds of which will be paid to Dover in the form of a dividend. We anticipate returning the proceeds to shareholders as the primary source of funding for $1 billion of share repurchases to be completed in 2018.</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2</w:t>
      </w:r>
    </w:p>
    <w:p>
      <w:pPr>
        <w:sectPr>
          <w:pgSz w:w="11900" w:h="16838" w:orient="portrait"/>
          <w:cols w:equalWidth="0" w:num="1">
            <w:col w:w="11220"/>
          </w:cols>
          <w:pgMar w:left="24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354965</wp:posOffset>
            </wp:positionV>
            <wp:extent cx="6993890" cy="7875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3890" cy="7875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32406B"/>
        </w:rPr>
        <w:t>Our Evolution Over The Past 10 Years</w:t>
      </w:r>
    </w:p>
    <w:p>
      <w:pPr>
        <w:spacing w:after="0" w:line="234" w:lineRule="exact"/>
        <w:rPr>
          <w:sz w:val="20"/>
          <w:szCs w:val="20"/>
          <w:color w:val="auto"/>
        </w:rPr>
      </w:pPr>
    </w:p>
    <w:p>
      <w:pPr>
        <w:ind w:left="1000" w:hanging="301"/>
        <w:spacing w:after="0"/>
        <w:tabs>
          <w:tab w:leader="none" w:pos="1000" w:val="left"/>
        </w:tabs>
        <w:numPr>
          <w:ilvl w:val="0"/>
          <w:numId w:val="8"/>
        </w:numPr>
        <w:rPr>
          <w:rFonts w:ascii="MS PGothic" w:cs="MS PGothic" w:eastAsia="MS PGothic" w:hAnsi="MS PGothic"/>
          <w:sz w:val="16"/>
          <w:szCs w:val="16"/>
          <w:color w:val="32406B"/>
        </w:rPr>
      </w:pPr>
      <w:r>
        <w:rPr>
          <w:rFonts w:ascii="Arial" w:cs="Arial" w:eastAsia="Arial" w:hAnsi="Arial"/>
          <w:sz w:val="16"/>
          <w:szCs w:val="16"/>
          <w:color w:val="auto"/>
        </w:rPr>
        <w:t xml:space="preserve">Executed our </w:t>
      </w:r>
      <w:r>
        <w:rPr>
          <w:rFonts w:ascii="Arial" w:cs="Arial" w:eastAsia="Arial" w:hAnsi="Arial"/>
          <w:sz w:val="16"/>
          <w:szCs w:val="16"/>
          <w:b w:val="1"/>
          <w:bCs w:val="1"/>
          <w:color w:val="32406B"/>
        </w:rPr>
        <w:t>value-creating portfolio strategy</w:t>
      </w:r>
      <w:r>
        <w:rPr>
          <w:rFonts w:ascii="Arial" w:cs="Arial" w:eastAsia="Arial" w:hAnsi="Arial"/>
          <w:sz w:val="16"/>
          <w:szCs w:val="16"/>
          <w:color w:val="auto"/>
        </w:rPr>
        <w:t>, including strategic mergers and acquisitions (“M&amp;A”), as well as non-core divestitures.</w:t>
      </w:r>
    </w:p>
    <w:p>
      <w:pPr>
        <w:spacing w:after="0" w:line="247" w:lineRule="exact"/>
        <w:rPr>
          <w:rFonts w:ascii="MS PGothic" w:cs="MS PGothic" w:eastAsia="MS PGothic" w:hAnsi="MS PGothic"/>
          <w:sz w:val="16"/>
          <w:szCs w:val="16"/>
          <w:color w:val="32406B"/>
        </w:rPr>
      </w:pPr>
    </w:p>
    <w:p>
      <w:pPr>
        <w:ind w:left="1000" w:hanging="301"/>
        <w:spacing w:after="0"/>
        <w:tabs>
          <w:tab w:leader="none" w:pos="1000" w:val="left"/>
        </w:tabs>
        <w:numPr>
          <w:ilvl w:val="0"/>
          <w:numId w:val="8"/>
        </w:numPr>
        <w:rPr>
          <w:rFonts w:ascii="MS PGothic" w:cs="MS PGothic" w:eastAsia="MS PGothic" w:hAnsi="MS PGothic"/>
          <w:sz w:val="16"/>
          <w:szCs w:val="16"/>
          <w:color w:val="32406B"/>
        </w:rPr>
      </w:pPr>
      <w:r>
        <w:rPr>
          <w:rFonts w:ascii="Arial" w:cs="Arial" w:eastAsia="Arial" w:hAnsi="Arial"/>
          <w:sz w:val="16"/>
          <w:szCs w:val="16"/>
          <w:color w:val="auto"/>
        </w:rPr>
        <w:t xml:space="preserve">Made </w:t>
      </w:r>
      <w:r>
        <w:rPr>
          <w:rFonts w:ascii="Arial" w:cs="Arial" w:eastAsia="Arial" w:hAnsi="Arial"/>
          <w:sz w:val="16"/>
          <w:szCs w:val="16"/>
          <w:b w:val="1"/>
          <w:bCs w:val="1"/>
          <w:color w:val="32406B"/>
        </w:rPr>
        <w:t>organic investments</w:t>
      </w:r>
      <w:r>
        <w:rPr>
          <w:rFonts w:ascii="Arial" w:cs="Arial" w:eastAsia="Arial" w:hAnsi="Arial"/>
          <w:sz w:val="16"/>
          <w:szCs w:val="16"/>
          <w:color w:val="auto"/>
        </w:rPr>
        <w:t xml:space="preserve"> to improve value-proposition for our customers through new product innovations.</w:t>
      </w:r>
    </w:p>
    <w:p>
      <w:pPr>
        <w:spacing w:after="0" w:line="247" w:lineRule="exact"/>
        <w:rPr>
          <w:rFonts w:ascii="MS PGothic" w:cs="MS PGothic" w:eastAsia="MS PGothic" w:hAnsi="MS PGothic"/>
          <w:sz w:val="16"/>
          <w:szCs w:val="16"/>
          <w:color w:val="32406B"/>
        </w:rPr>
      </w:pPr>
    </w:p>
    <w:p>
      <w:pPr>
        <w:ind w:left="1000" w:hanging="301"/>
        <w:spacing w:after="0"/>
        <w:tabs>
          <w:tab w:leader="none" w:pos="1000" w:val="left"/>
        </w:tabs>
        <w:numPr>
          <w:ilvl w:val="0"/>
          <w:numId w:val="8"/>
        </w:numPr>
        <w:rPr>
          <w:rFonts w:ascii="MS PGothic" w:cs="MS PGothic" w:eastAsia="MS PGothic" w:hAnsi="MS PGothic"/>
          <w:sz w:val="16"/>
          <w:szCs w:val="16"/>
          <w:color w:val="32406B"/>
        </w:rPr>
      </w:pPr>
      <w:r>
        <w:rPr>
          <w:rFonts w:ascii="Arial" w:cs="Arial" w:eastAsia="Arial" w:hAnsi="Arial"/>
          <w:sz w:val="16"/>
          <w:szCs w:val="16"/>
          <w:color w:val="auto"/>
        </w:rPr>
        <w:t xml:space="preserve">Implemented significant </w:t>
      </w:r>
      <w:r>
        <w:rPr>
          <w:rFonts w:ascii="Arial" w:cs="Arial" w:eastAsia="Arial" w:hAnsi="Arial"/>
          <w:sz w:val="16"/>
          <w:szCs w:val="16"/>
          <w:b w:val="1"/>
          <w:bCs w:val="1"/>
          <w:color w:val="32406B"/>
        </w:rPr>
        <w:t>operational improvements and enhanced core margins.</w:t>
      </w:r>
    </w:p>
    <w:p>
      <w:pPr>
        <w:spacing w:after="0" w:line="247" w:lineRule="exact"/>
        <w:rPr>
          <w:rFonts w:ascii="MS PGothic" w:cs="MS PGothic" w:eastAsia="MS PGothic" w:hAnsi="MS PGothic"/>
          <w:sz w:val="16"/>
          <w:szCs w:val="16"/>
          <w:color w:val="32406B"/>
        </w:rPr>
      </w:pPr>
    </w:p>
    <w:p>
      <w:pPr>
        <w:ind w:left="1000" w:hanging="301"/>
        <w:spacing w:after="0"/>
        <w:tabs>
          <w:tab w:leader="none" w:pos="1000" w:val="left"/>
        </w:tabs>
        <w:numPr>
          <w:ilvl w:val="0"/>
          <w:numId w:val="8"/>
        </w:numPr>
        <w:rPr>
          <w:rFonts w:ascii="MS PGothic" w:cs="MS PGothic" w:eastAsia="MS PGothic" w:hAnsi="MS PGothic"/>
          <w:sz w:val="16"/>
          <w:szCs w:val="16"/>
          <w:color w:val="32406B"/>
        </w:rPr>
      </w:pPr>
      <w:r>
        <w:rPr>
          <w:rFonts w:ascii="Arial" w:cs="Arial" w:eastAsia="Arial" w:hAnsi="Arial"/>
          <w:sz w:val="16"/>
          <w:szCs w:val="16"/>
          <w:color w:val="auto"/>
        </w:rPr>
        <w:t xml:space="preserve">Established </w:t>
      </w:r>
      <w:r>
        <w:rPr>
          <w:rFonts w:ascii="Arial" w:cs="Arial" w:eastAsia="Arial" w:hAnsi="Arial"/>
          <w:sz w:val="16"/>
          <w:szCs w:val="16"/>
          <w:b w:val="1"/>
          <w:bCs w:val="1"/>
          <w:color w:val="32406B"/>
        </w:rPr>
        <w:t>shared services</w:t>
      </w:r>
      <w:r>
        <w:rPr>
          <w:rFonts w:ascii="Arial" w:cs="Arial" w:eastAsia="Arial" w:hAnsi="Arial"/>
          <w:sz w:val="16"/>
          <w:szCs w:val="16"/>
          <w:color w:val="auto"/>
        </w:rPr>
        <w:t xml:space="preserve"> and </w:t>
      </w:r>
      <w:r>
        <w:rPr>
          <w:rFonts w:ascii="Arial" w:cs="Arial" w:eastAsia="Arial" w:hAnsi="Arial"/>
          <w:sz w:val="16"/>
          <w:szCs w:val="16"/>
          <w:b w:val="1"/>
          <w:bCs w:val="1"/>
          <w:color w:val="32406B"/>
        </w:rPr>
        <w:t>Dover business systems</w:t>
      </w:r>
      <w:r>
        <w:rPr>
          <w:rFonts w:ascii="Arial" w:cs="Arial" w:eastAsia="Arial" w:hAnsi="Arial"/>
          <w:sz w:val="16"/>
          <w:szCs w:val="16"/>
          <w:color w:val="auto"/>
        </w:rPr>
        <w:t xml:space="preserve"> across the enterprise.</w:t>
      </w:r>
    </w:p>
    <w:p>
      <w:pPr>
        <w:spacing w:after="0" w:line="247" w:lineRule="exact"/>
        <w:rPr>
          <w:rFonts w:ascii="MS PGothic" w:cs="MS PGothic" w:eastAsia="MS PGothic" w:hAnsi="MS PGothic"/>
          <w:sz w:val="16"/>
          <w:szCs w:val="16"/>
          <w:color w:val="32406B"/>
        </w:rPr>
      </w:pPr>
    </w:p>
    <w:p>
      <w:pPr>
        <w:ind w:left="1000" w:hanging="301"/>
        <w:spacing w:after="0"/>
        <w:tabs>
          <w:tab w:leader="none" w:pos="1000" w:val="left"/>
        </w:tabs>
        <w:numPr>
          <w:ilvl w:val="0"/>
          <w:numId w:val="8"/>
        </w:numPr>
        <w:rPr>
          <w:rFonts w:ascii="MS PGothic" w:cs="MS PGothic" w:eastAsia="MS PGothic" w:hAnsi="MS PGothic"/>
          <w:sz w:val="16"/>
          <w:szCs w:val="16"/>
          <w:color w:val="32406B"/>
        </w:rPr>
      </w:pPr>
      <w:r>
        <w:rPr>
          <w:rFonts w:ascii="Arial" w:cs="Arial" w:eastAsia="Arial" w:hAnsi="Arial"/>
          <w:sz w:val="16"/>
          <w:szCs w:val="16"/>
          <w:color w:val="auto"/>
        </w:rPr>
        <w:t xml:space="preserve">Continued track record of </w:t>
      </w:r>
      <w:r>
        <w:rPr>
          <w:rFonts w:ascii="Arial" w:cs="Arial" w:eastAsia="Arial" w:hAnsi="Arial"/>
          <w:sz w:val="16"/>
          <w:szCs w:val="16"/>
          <w:b w:val="1"/>
          <w:bCs w:val="1"/>
          <w:color w:val="32406B"/>
        </w:rPr>
        <w:t>balanced capital allocation</w:t>
      </w:r>
      <w:r>
        <w:rPr>
          <w:rFonts w:ascii="Arial" w:cs="Arial" w:eastAsia="Arial" w:hAnsi="Arial"/>
          <w:sz w:val="16"/>
          <w:szCs w:val="16"/>
          <w:color w:val="auto"/>
        </w:rPr>
        <w:t xml:space="preserve"> including a strong and growing dividend.</w:t>
      </w:r>
    </w:p>
    <w:p>
      <w:pPr>
        <w:spacing w:after="0" w:line="207"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32406B"/>
        </w:rPr>
        <w:t>Management Philosophy</w:t>
      </w:r>
    </w:p>
    <w:p>
      <w:pPr>
        <w:spacing w:after="0" w:line="234" w:lineRule="exact"/>
        <w:rPr>
          <w:sz w:val="20"/>
          <w:szCs w:val="20"/>
          <w:color w:val="auto"/>
        </w:rPr>
      </w:pPr>
    </w:p>
    <w:p>
      <w:pPr>
        <w:ind w:left="1000" w:right="220" w:hanging="301"/>
        <w:spacing w:after="0" w:line="286" w:lineRule="auto"/>
        <w:tabs>
          <w:tab w:leader="none" w:pos="1000"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32406B"/>
        </w:rPr>
        <w:t xml:space="preserve">Our businesses </w:t>
      </w:r>
      <w:r>
        <w:rPr>
          <w:rFonts w:ascii="Arial" w:cs="Arial" w:eastAsia="Arial" w:hAnsi="Arial"/>
          <w:sz w:val="16"/>
          <w:szCs w:val="16"/>
          <w:color w:val="000000"/>
        </w:rPr>
        <w:t>are committed to operational excellence and to being market leaders as measured by market share, customer satisfaction,</w:t>
      </w:r>
      <w:r>
        <w:rPr>
          <w:rFonts w:ascii="Arial" w:cs="Arial" w:eastAsia="Arial" w:hAnsi="Arial"/>
          <w:sz w:val="16"/>
          <w:szCs w:val="16"/>
          <w:b w:val="1"/>
          <w:bCs w:val="1"/>
          <w:color w:val="32406B"/>
        </w:rPr>
        <w:t xml:space="preserve"> </w:t>
      </w:r>
      <w:r>
        <w:rPr>
          <w:rFonts w:ascii="Arial" w:cs="Arial" w:eastAsia="Arial" w:hAnsi="Arial"/>
          <w:sz w:val="16"/>
          <w:szCs w:val="16"/>
          <w:color w:val="000000"/>
        </w:rPr>
        <w:t>growth, profitability, and return on invested capital.</w:t>
      </w:r>
    </w:p>
    <w:p>
      <w:pPr>
        <w:spacing w:after="0" w:line="168" w:lineRule="exact"/>
        <w:rPr>
          <w:rFonts w:ascii="Arial" w:cs="Arial" w:eastAsia="Arial" w:hAnsi="Arial"/>
          <w:sz w:val="16"/>
          <w:szCs w:val="16"/>
          <w:color w:val="auto"/>
        </w:rPr>
      </w:pPr>
    </w:p>
    <w:p>
      <w:pPr>
        <w:ind w:left="1000" w:right="260" w:hanging="301"/>
        <w:spacing w:after="0" w:line="266" w:lineRule="auto"/>
        <w:tabs>
          <w:tab w:leader="none" w:pos="1000"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32406B"/>
        </w:rPr>
        <w:t xml:space="preserve">Our operating structure </w:t>
      </w:r>
      <w:r>
        <w:rPr>
          <w:rFonts w:ascii="Arial" w:cs="Arial" w:eastAsia="Arial" w:hAnsi="Arial"/>
          <w:sz w:val="16"/>
          <w:szCs w:val="16"/>
          <w:color w:val="000000"/>
        </w:rPr>
        <w:t>of four business segments allows for focused acquisition activity, accelerates opportunities to identify and capture</w:t>
      </w:r>
      <w:r>
        <w:rPr>
          <w:rFonts w:ascii="Arial" w:cs="Arial" w:eastAsia="Arial" w:hAnsi="Arial"/>
          <w:sz w:val="16"/>
          <w:szCs w:val="16"/>
          <w:b w:val="1"/>
          <w:bCs w:val="1"/>
          <w:color w:val="32406B"/>
        </w:rPr>
        <w:t xml:space="preserve"> </w:t>
      </w:r>
      <w:r>
        <w:rPr>
          <w:rFonts w:ascii="Arial" w:cs="Arial" w:eastAsia="Arial" w:hAnsi="Arial"/>
          <w:sz w:val="16"/>
          <w:szCs w:val="16"/>
          <w:color w:val="000000"/>
        </w:rPr>
        <w:t>operating synergies, including global sourcing and supply chain integration, shared services and manufacturing, and advances the development of our executive talent.</w:t>
      </w:r>
    </w:p>
    <w:p>
      <w:pPr>
        <w:spacing w:after="0" w:line="184" w:lineRule="exact"/>
        <w:rPr>
          <w:rFonts w:ascii="Arial" w:cs="Arial" w:eastAsia="Arial" w:hAnsi="Arial"/>
          <w:sz w:val="16"/>
          <w:szCs w:val="16"/>
          <w:color w:val="auto"/>
        </w:rPr>
      </w:pPr>
    </w:p>
    <w:p>
      <w:pPr>
        <w:ind w:left="1000" w:right="700" w:hanging="301"/>
        <w:spacing w:after="0" w:line="286" w:lineRule="auto"/>
        <w:tabs>
          <w:tab w:leader="none" w:pos="1000"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32406B"/>
        </w:rPr>
        <w:t xml:space="preserve">Our segment and executive management </w:t>
      </w:r>
      <w:r>
        <w:rPr>
          <w:rFonts w:ascii="Arial" w:cs="Arial" w:eastAsia="Arial" w:hAnsi="Arial"/>
          <w:sz w:val="16"/>
          <w:szCs w:val="16"/>
          <w:color w:val="000000"/>
        </w:rPr>
        <w:t>set strategic direction, initiatives and goals for our operating companies and also provide</w:t>
      </w:r>
      <w:r>
        <w:rPr>
          <w:rFonts w:ascii="Arial" w:cs="Arial" w:eastAsia="Arial" w:hAnsi="Arial"/>
          <w:sz w:val="16"/>
          <w:szCs w:val="16"/>
          <w:b w:val="1"/>
          <w:bCs w:val="1"/>
          <w:color w:val="32406B"/>
        </w:rPr>
        <w:t xml:space="preserve"> </w:t>
      </w:r>
      <w:r>
        <w:rPr>
          <w:rFonts w:ascii="Arial" w:cs="Arial" w:eastAsia="Arial" w:hAnsi="Arial"/>
          <w:sz w:val="16"/>
          <w:szCs w:val="16"/>
          <w:color w:val="000000"/>
        </w:rPr>
        <w:t>oversight, allocate and manage capital, are responsible for major acquisitions, and provide other services.</w:t>
      </w:r>
    </w:p>
    <w:p>
      <w:pPr>
        <w:spacing w:after="0" w:line="168" w:lineRule="exact"/>
        <w:rPr>
          <w:rFonts w:ascii="Arial" w:cs="Arial" w:eastAsia="Arial" w:hAnsi="Arial"/>
          <w:sz w:val="16"/>
          <w:szCs w:val="16"/>
          <w:color w:val="auto"/>
        </w:rPr>
      </w:pPr>
    </w:p>
    <w:p>
      <w:pPr>
        <w:ind w:left="1000" w:right="300" w:hanging="301"/>
        <w:spacing w:after="0" w:line="286" w:lineRule="auto"/>
        <w:tabs>
          <w:tab w:leader="none" w:pos="1000"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32406B"/>
        </w:rPr>
        <w:t xml:space="preserve">Our operating culture </w:t>
      </w:r>
      <w:r>
        <w:rPr>
          <w:rFonts w:ascii="Arial" w:cs="Arial" w:eastAsia="Arial" w:hAnsi="Arial"/>
          <w:sz w:val="16"/>
          <w:szCs w:val="16"/>
          <w:color w:val="000000"/>
        </w:rPr>
        <w:t>focuses on high ethical standards, trust, respect, and open communication, designed to allow individual growth and</w:t>
      </w:r>
      <w:r>
        <w:rPr>
          <w:rFonts w:ascii="Arial" w:cs="Arial" w:eastAsia="Arial" w:hAnsi="Arial"/>
          <w:sz w:val="16"/>
          <w:szCs w:val="16"/>
          <w:b w:val="1"/>
          <w:bCs w:val="1"/>
          <w:color w:val="32406B"/>
        </w:rPr>
        <w:t xml:space="preserve"> </w:t>
      </w:r>
      <w:r>
        <w:rPr>
          <w:rFonts w:ascii="Arial" w:cs="Arial" w:eastAsia="Arial" w:hAnsi="Arial"/>
          <w:sz w:val="16"/>
          <w:szCs w:val="16"/>
          <w:color w:val="000000"/>
        </w:rPr>
        <w:t>operational effectiveness.</w:t>
      </w:r>
    </w:p>
    <w:p>
      <w:pPr>
        <w:spacing w:after="0" w:line="168" w:lineRule="exact"/>
        <w:rPr>
          <w:rFonts w:ascii="Arial" w:cs="Arial" w:eastAsia="Arial" w:hAnsi="Arial"/>
          <w:sz w:val="16"/>
          <w:szCs w:val="16"/>
          <w:color w:val="auto"/>
        </w:rPr>
      </w:pPr>
    </w:p>
    <w:p>
      <w:pPr>
        <w:ind w:left="1000" w:right="400" w:hanging="301"/>
        <w:spacing w:after="0" w:line="286" w:lineRule="auto"/>
        <w:tabs>
          <w:tab w:leader="none" w:pos="1000"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32406B"/>
        </w:rPr>
        <w:t xml:space="preserve">Our businesses </w:t>
      </w:r>
      <w:r>
        <w:rPr>
          <w:rFonts w:ascii="Arial" w:cs="Arial" w:eastAsia="Arial" w:hAnsi="Arial"/>
          <w:sz w:val="16"/>
          <w:szCs w:val="16"/>
          <w:color w:val="000000"/>
        </w:rPr>
        <w:t>are committed to creating value for our customers, employees and shareholders through sustainable business practices</w:t>
      </w:r>
      <w:r>
        <w:rPr>
          <w:rFonts w:ascii="Arial" w:cs="Arial" w:eastAsia="Arial" w:hAnsi="Arial"/>
          <w:sz w:val="16"/>
          <w:szCs w:val="16"/>
          <w:b w:val="1"/>
          <w:bCs w:val="1"/>
          <w:color w:val="32406B"/>
        </w:rPr>
        <w:t xml:space="preserve"> </w:t>
      </w:r>
      <w:r>
        <w:rPr>
          <w:rFonts w:ascii="Arial" w:cs="Arial" w:eastAsia="Arial" w:hAnsi="Arial"/>
          <w:sz w:val="16"/>
          <w:szCs w:val="16"/>
          <w:color w:val="000000"/>
        </w:rPr>
        <w:t>that protect the environment and the development of products that help our customers meet their sustainability goals.</w:t>
      </w:r>
    </w:p>
    <w:p>
      <w:pPr>
        <w:spacing w:after="0" w:line="142"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32406B"/>
        </w:rPr>
        <w:t>Strategic Focus on Long-Term Value Creation</w:t>
      </w:r>
    </w:p>
    <w:p>
      <w:pPr>
        <w:spacing w:after="0" w:line="200" w:lineRule="exact"/>
        <w:rPr>
          <w:sz w:val="20"/>
          <w:szCs w:val="20"/>
          <w:color w:val="auto"/>
        </w:rPr>
      </w:pPr>
    </w:p>
    <w:p>
      <w:pPr>
        <w:spacing w:after="0" w:line="250" w:lineRule="exact"/>
        <w:rPr>
          <w:sz w:val="20"/>
          <w:szCs w:val="20"/>
          <w:color w:val="auto"/>
        </w:rPr>
      </w:pPr>
    </w:p>
    <w:p>
      <w:pPr>
        <w:ind w:left="1140" w:right="900" w:hanging="267"/>
        <w:spacing w:after="0" w:line="303" w:lineRule="auto"/>
        <w:tabs>
          <w:tab w:leader="none" w:pos="1096" w:val="left"/>
        </w:tabs>
        <w:numPr>
          <w:ilvl w:val="0"/>
          <w:numId w:val="10"/>
        </w:numPr>
        <w:rPr>
          <w:rFonts w:ascii="MS PGothic" w:cs="MS PGothic" w:eastAsia="MS PGothic" w:hAnsi="MS PGothic"/>
          <w:sz w:val="16"/>
          <w:szCs w:val="16"/>
          <w:color w:val="32406B"/>
        </w:rPr>
      </w:pPr>
      <w:r>
        <w:rPr>
          <w:rFonts w:ascii="Arial" w:cs="Arial" w:eastAsia="Arial" w:hAnsi="Arial"/>
          <w:sz w:val="16"/>
          <w:szCs w:val="16"/>
          <w:b w:val="1"/>
          <w:bCs w:val="1"/>
          <w:i w:val="1"/>
          <w:iCs w:val="1"/>
          <w:color w:val="32406B"/>
        </w:rPr>
        <w:t>Building platforms in attractive markets with consistent growth</w:t>
      </w:r>
      <w:r>
        <w:rPr>
          <w:rFonts w:ascii="Arial" w:cs="Arial" w:eastAsia="Arial" w:hAnsi="Arial"/>
          <w:sz w:val="16"/>
          <w:szCs w:val="16"/>
          <w:b w:val="1"/>
          <w:bCs w:val="1"/>
          <w:color w:val="000000"/>
        </w:rPr>
        <w:t>.</w:t>
      </w:r>
      <w:r>
        <w:rPr>
          <w:rFonts w:ascii="Arial" w:cs="Arial" w:eastAsia="Arial" w:hAnsi="Arial"/>
          <w:sz w:val="16"/>
          <w:szCs w:val="16"/>
          <w:b w:val="1"/>
          <w:bCs w:val="1"/>
          <w:i w:val="1"/>
          <w:iCs w:val="1"/>
          <w:color w:val="32406B"/>
        </w:rPr>
        <w:t xml:space="preserve"> </w:t>
      </w:r>
      <w:r>
        <w:rPr>
          <w:rFonts w:ascii="Arial" w:cs="Arial" w:eastAsia="Arial" w:hAnsi="Arial"/>
          <w:sz w:val="16"/>
          <w:szCs w:val="16"/>
          <w:color w:val="000000"/>
        </w:rPr>
        <w:t>Platforms create opportunities while leveraging channel and</w:t>
      </w:r>
      <w:r>
        <w:rPr>
          <w:rFonts w:ascii="Arial" w:cs="Arial" w:eastAsia="Arial" w:hAnsi="Arial"/>
          <w:sz w:val="16"/>
          <w:szCs w:val="16"/>
          <w:b w:val="1"/>
          <w:bCs w:val="1"/>
          <w:i w:val="1"/>
          <w:iCs w:val="1"/>
          <w:color w:val="32406B"/>
        </w:rPr>
        <w:t xml:space="preserve"> </w:t>
      </w:r>
      <w:r>
        <w:rPr>
          <w:rFonts w:ascii="Arial" w:cs="Arial" w:eastAsia="Arial" w:hAnsi="Arial"/>
          <w:sz w:val="16"/>
          <w:szCs w:val="16"/>
          <w:color w:val="000000"/>
        </w:rPr>
        <w:t>customer synergies.</w:t>
      </w:r>
    </w:p>
    <w:p>
      <w:pPr>
        <w:spacing w:after="0" w:line="88" w:lineRule="exact"/>
        <w:rPr>
          <w:rFonts w:ascii="MS PGothic" w:cs="MS PGothic" w:eastAsia="MS PGothic" w:hAnsi="MS PGothic"/>
          <w:sz w:val="16"/>
          <w:szCs w:val="16"/>
          <w:color w:val="32406B"/>
        </w:rPr>
      </w:pPr>
    </w:p>
    <w:p>
      <w:pPr>
        <w:ind w:left="1140" w:right="580" w:hanging="267"/>
        <w:spacing w:after="0" w:line="303" w:lineRule="auto"/>
        <w:tabs>
          <w:tab w:leader="none" w:pos="1096" w:val="left"/>
        </w:tabs>
        <w:numPr>
          <w:ilvl w:val="0"/>
          <w:numId w:val="10"/>
        </w:numPr>
        <w:rPr>
          <w:rFonts w:ascii="MS PGothic" w:cs="MS PGothic" w:eastAsia="MS PGothic" w:hAnsi="MS PGothic"/>
          <w:sz w:val="16"/>
          <w:szCs w:val="16"/>
          <w:color w:val="32406B"/>
        </w:rPr>
      </w:pPr>
      <w:r>
        <w:rPr>
          <w:rFonts w:ascii="Arial" w:cs="Arial" w:eastAsia="Arial" w:hAnsi="Arial"/>
          <w:sz w:val="16"/>
          <w:szCs w:val="16"/>
          <w:b w:val="1"/>
          <w:bCs w:val="1"/>
          <w:i w:val="1"/>
          <w:iCs w:val="1"/>
          <w:color w:val="32406B"/>
        </w:rPr>
        <w:t>Provide larger set of products and solutions to customers on a global basis</w:t>
      </w:r>
      <w:r>
        <w:rPr>
          <w:rFonts w:ascii="Arial" w:cs="Arial" w:eastAsia="Arial" w:hAnsi="Arial"/>
          <w:sz w:val="16"/>
          <w:szCs w:val="16"/>
          <w:b w:val="1"/>
          <w:bCs w:val="1"/>
          <w:color w:val="000000"/>
        </w:rPr>
        <w:t>.</w:t>
      </w:r>
      <w:r>
        <w:rPr>
          <w:rFonts w:ascii="Arial" w:cs="Arial" w:eastAsia="Arial" w:hAnsi="Arial"/>
          <w:sz w:val="16"/>
          <w:szCs w:val="16"/>
          <w:b w:val="1"/>
          <w:bCs w:val="1"/>
          <w:i w:val="1"/>
          <w:iCs w:val="1"/>
          <w:color w:val="32406B"/>
        </w:rPr>
        <w:t xml:space="preserve"> </w:t>
      </w:r>
      <w:r>
        <w:rPr>
          <w:rFonts w:ascii="Arial" w:cs="Arial" w:eastAsia="Arial" w:hAnsi="Arial"/>
          <w:sz w:val="16"/>
          <w:szCs w:val="16"/>
          <w:color w:val="000000"/>
        </w:rPr>
        <w:t>Customer-focused innovation creates value for our</w:t>
      </w:r>
      <w:r>
        <w:rPr>
          <w:rFonts w:ascii="Arial" w:cs="Arial" w:eastAsia="Arial" w:hAnsi="Arial"/>
          <w:sz w:val="16"/>
          <w:szCs w:val="16"/>
          <w:b w:val="1"/>
          <w:bCs w:val="1"/>
          <w:i w:val="1"/>
          <w:iCs w:val="1"/>
          <w:color w:val="32406B"/>
        </w:rPr>
        <w:t xml:space="preserve"> </w:t>
      </w:r>
      <w:r>
        <w:rPr>
          <w:rFonts w:ascii="Arial" w:cs="Arial" w:eastAsia="Arial" w:hAnsi="Arial"/>
          <w:sz w:val="16"/>
          <w:szCs w:val="16"/>
          <w:color w:val="000000"/>
        </w:rPr>
        <w:t>customers and build loyalty.</w:t>
      </w:r>
    </w:p>
    <w:p>
      <w:pPr>
        <w:spacing w:after="0" w:line="88" w:lineRule="exact"/>
        <w:rPr>
          <w:rFonts w:ascii="MS PGothic" w:cs="MS PGothic" w:eastAsia="MS PGothic" w:hAnsi="MS PGothic"/>
          <w:sz w:val="16"/>
          <w:szCs w:val="16"/>
          <w:color w:val="32406B"/>
        </w:rPr>
      </w:pPr>
    </w:p>
    <w:p>
      <w:pPr>
        <w:ind w:left="1140" w:right="400" w:hanging="267"/>
        <w:spacing w:after="0" w:line="303" w:lineRule="auto"/>
        <w:tabs>
          <w:tab w:leader="none" w:pos="1096" w:val="left"/>
        </w:tabs>
        <w:numPr>
          <w:ilvl w:val="0"/>
          <w:numId w:val="10"/>
        </w:numPr>
        <w:rPr>
          <w:rFonts w:ascii="MS PGothic" w:cs="MS PGothic" w:eastAsia="MS PGothic" w:hAnsi="MS PGothic"/>
          <w:sz w:val="16"/>
          <w:szCs w:val="16"/>
          <w:color w:val="32406B"/>
        </w:rPr>
      </w:pPr>
      <w:r>
        <w:rPr>
          <w:rFonts w:ascii="Arial" w:cs="Arial" w:eastAsia="Arial" w:hAnsi="Arial"/>
          <w:sz w:val="16"/>
          <w:szCs w:val="16"/>
          <w:b w:val="1"/>
          <w:bCs w:val="1"/>
          <w:i w:val="1"/>
          <w:iCs w:val="1"/>
          <w:color w:val="32406B"/>
        </w:rPr>
        <w:t>Drive margin and cash flow utilizing Dover business system processes</w:t>
      </w:r>
      <w:r>
        <w:rPr>
          <w:rFonts w:ascii="Arial" w:cs="Arial" w:eastAsia="Arial" w:hAnsi="Arial"/>
          <w:sz w:val="16"/>
          <w:szCs w:val="16"/>
          <w:b w:val="1"/>
          <w:bCs w:val="1"/>
          <w:color w:val="000000"/>
        </w:rPr>
        <w:t>.</w:t>
      </w:r>
      <w:r>
        <w:rPr>
          <w:rFonts w:ascii="Arial" w:cs="Arial" w:eastAsia="Arial" w:hAnsi="Arial"/>
          <w:sz w:val="16"/>
          <w:szCs w:val="16"/>
          <w:b w:val="1"/>
          <w:bCs w:val="1"/>
          <w:i w:val="1"/>
          <w:iCs w:val="1"/>
          <w:color w:val="32406B"/>
        </w:rPr>
        <w:t xml:space="preserve"> </w:t>
      </w:r>
      <w:r>
        <w:rPr>
          <w:rFonts w:ascii="Arial" w:cs="Arial" w:eastAsia="Arial" w:hAnsi="Arial"/>
          <w:sz w:val="16"/>
          <w:szCs w:val="16"/>
          <w:color w:val="000000"/>
        </w:rPr>
        <w:t>Clear margin improvement runway across businesses and</w:t>
      </w:r>
      <w:r>
        <w:rPr>
          <w:rFonts w:ascii="Arial" w:cs="Arial" w:eastAsia="Arial" w:hAnsi="Arial"/>
          <w:sz w:val="16"/>
          <w:szCs w:val="16"/>
          <w:b w:val="1"/>
          <w:bCs w:val="1"/>
          <w:i w:val="1"/>
          <w:iCs w:val="1"/>
          <w:color w:val="32406B"/>
        </w:rPr>
        <w:t xml:space="preserve"> </w:t>
      </w:r>
      <w:r>
        <w:rPr>
          <w:rFonts w:ascii="Arial" w:cs="Arial" w:eastAsia="Arial" w:hAnsi="Arial"/>
          <w:sz w:val="16"/>
          <w:szCs w:val="16"/>
          <w:color w:val="000000"/>
        </w:rPr>
        <w:t>stable cash flow.</w:t>
      </w:r>
    </w:p>
    <w:p>
      <w:pPr>
        <w:spacing w:after="0" w:line="88" w:lineRule="exact"/>
        <w:rPr>
          <w:rFonts w:ascii="MS PGothic" w:cs="MS PGothic" w:eastAsia="MS PGothic" w:hAnsi="MS PGothic"/>
          <w:sz w:val="16"/>
          <w:szCs w:val="16"/>
          <w:color w:val="32406B"/>
        </w:rPr>
      </w:pPr>
    </w:p>
    <w:p>
      <w:pPr>
        <w:ind w:left="1140" w:right="580" w:hanging="267"/>
        <w:spacing w:after="0" w:line="303" w:lineRule="auto"/>
        <w:tabs>
          <w:tab w:leader="none" w:pos="1096" w:val="left"/>
        </w:tabs>
        <w:numPr>
          <w:ilvl w:val="0"/>
          <w:numId w:val="10"/>
        </w:numPr>
        <w:rPr>
          <w:rFonts w:ascii="MS PGothic" w:cs="MS PGothic" w:eastAsia="MS PGothic" w:hAnsi="MS PGothic"/>
          <w:sz w:val="16"/>
          <w:szCs w:val="16"/>
          <w:color w:val="32406B"/>
        </w:rPr>
      </w:pPr>
      <w:r>
        <w:rPr>
          <w:rFonts w:ascii="Arial" w:cs="Arial" w:eastAsia="Arial" w:hAnsi="Arial"/>
          <w:sz w:val="16"/>
          <w:szCs w:val="16"/>
          <w:b w:val="1"/>
          <w:bCs w:val="1"/>
          <w:i w:val="1"/>
          <w:iCs w:val="1"/>
          <w:color w:val="32406B"/>
        </w:rPr>
        <w:t>Invest to grow through organic and inorganic actions</w:t>
      </w:r>
      <w:r>
        <w:rPr>
          <w:rFonts w:ascii="Arial" w:cs="Arial" w:eastAsia="Arial" w:hAnsi="Arial"/>
          <w:sz w:val="16"/>
          <w:szCs w:val="16"/>
          <w:b w:val="1"/>
          <w:bCs w:val="1"/>
          <w:color w:val="000000"/>
        </w:rPr>
        <w:t>.</w:t>
      </w:r>
      <w:r>
        <w:rPr>
          <w:rFonts w:ascii="Arial" w:cs="Arial" w:eastAsia="Arial" w:hAnsi="Arial"/>
          <w:sz w:val="16"/>
          <w:szCs w:val="16"/>
          <w:b w:val="1"/>
          <w:bCs w:val="1"/>
          <w:i w:val="1"/>
          <w:iCs w:val="1"/>
          <w:color w:val="32406B"/>
        </w:rPr>
        <w:t xml:space="preserve"> </w:t>
      </w:r>
      <w:r>
        <w:rPr>
          <w:rFonts w:ascii="Arial" w:cs="Arial" w:eastAsia="Arial" w:hAnsi="Arial"/>
          <w:sz w:val="16"/>
          <w:szCs w:val="16"/>
          <w:color w:val="000000"/>
        </w:rPr>
        <w:t>Track record of value-creating capital allocation through strategic M&amp;A and</w:t>
      </w:r>
      <w:r>
        <w:rPr>
          <w:rFonts w:ascii="Arial" w:cs="Arial" w:eastAsia="Arial" w:hAnsi="Arial"/>
          <w:sz w:val="16"/>
          <w:szCs w:val="16"/>
          <w:b w:val="1"/>
          <w:bCs w:val="1"/>
          <w:i w:val="1"/>
          <w:iCs w:val="1"/>
          <w:color w:val="32406B"/>
        </w:rPr>
        <w:t xml:space="preserve"> </w:t>
      </w:r>
      <w:r>
        <w:rPr>
          <w:rFonts w:ascii="Arial" w:cs="Arial" w:eastAsia="Arial" w:hAnsi="Arial"/>
          <w:sz w:val="16"/>
          <w:szCs w:val="16"/>
          <w:color w:val="000000"/>
        </w:rPr>
        <w:t>organic investments.</w:t>
      </w:r>
    </w:p>
    <w:p>
      <w:pPr>
        <w:spacing w:after="0" w:line="169"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32406B"/>
        </w:rPr>
        <w:t>Company Goals</w:t>
      </w:r>
    </w:p>
    <w:p>
      <w:pPr>
        <w:spacing w:after="0" w:line="21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We are committed to driving shareholder return through three key objectives:</w:t>
      </w:r>
    </w:p>
    <w:p>
      <w:pPr>
        <w:spacing w:after="0" w:line="187" w:lineRule="exact"/>
        <w:rPr>
          <w:sz w:val="20"/>
          <w:szCs w:val="20"/>
          <w:color w:val="auto"/>
        </w:rPr>
      </w:pPr>
    </w:p>
    <w:p>
      <w:pPr>
        <w:ind w:left="700" w:right="260"/>
        <w:spacing w:after="0" w:line="286" w:lineRule="auto"/>
        <w:rPr>
          <w:sz w:val="20"/>
          <w:szCs w:val="20"/>
          <w:color w:val="auto"/>
        </w:rPr>
      </w:pPr>
      <w:r>
        <w:rPr>
          <w:rFonts w:ascii="Arial" w:cs="Arial" w:eastAsia="Arial" w:hAnsi="Arial"/>
          <w:sz w:val="16"/>
          <w:szCs w:val="16"/>
          <w:b w:val="1"/>
          <w:bCs w:val="1"/>
          <w:color w:val="32406B"/>
        </w:rPr>
        <w:t>First</w:t>
      </w:r>
      <w:r>
        <w:rPr>
          <w:rFonts w:ascii="Arial" w:cs="Arial" w:eastAsia="Arial" w:hAnsi="Arial"/>
          <w:sz w:val="16"/>
          <w:szCs w:val="16"/>
          <w:color w:val="000000"/>
        </w:rPr>
        <w:t>, we are committed to achieving</w:t>
      </w:r>
      <w:r>
        <w:rPr>
          <w:rFonts w:ascii="Arial" w:cs="Arial" w:eastAsia="Arial" w:hAnsi="Arial"/>
          <w:sz w:val="16"/>
          <w:szCs w:val="16"/>
          <w:b w:val="1"/>
          <w:bCs w:val="1"/>
          <w:color w:val="32406B"/>
        </w:rPr>
        <w:t xml:space="preserve"> annual organic sales growth of 3% to 5% over a long-term business cycle</w:t>
      </w:r>
      <w:r>
        <w:rPr>
          <w:rFonts w:ascii="Arial" w:cs="Arial" w:eastAsia="Arial" w:hAnsi="Arial"/>
          <w:sz w:val="16"/>
          <w:szCs w:val="16"/>
          <w:color w:val="000000"/>
        </w:rPr>
        <w:t>, absent adverse economic</w:t>
      </w:r>
      <w:r>
        <w:rPr>
          <w:rFonts w:ascii="Arial" w:cs="Arial" w:eastAsia="Arial" w:hAnsi="Arial"/>
          <w:sz w:val="16"/>
          <w:szCs w:val="16"/>
          <w:b w:val="1"/>
          <w:bCs w:val="1"/>
          <w:color w:val="32406B"/>
        </w:rPr>
        <w:t xml:space="preserve"> </w:t>
      </w:r>
      <w:r>
        <w:rPr>
          <w:rFonts w:ascii="Arial" w:cs="Arial" w:eastAsia="Arial" w:hAnsi="Arial"/>
          <w:sz w:val="16"/>
          <w:szCs w:val="16"/>
          <w:color w:val="000000"/>
        </w:rPr>
        <w:t>conditions, complemented by acquisition growth.</w:t>
      </w:r>
    </w:p>
    <w:p>
      <w:pPr>
        <w:spacing w:after="0" w:line="128" w:lineRule="exact"/>
        <w:rPr>
          <w:sz w:val="20"/>
          <w:szCs w:val="20"/>
          <w:color w:val="auto"/>
        </w:rPr>
      </w:pPr>
    </w:p>
    <w:p>
      <w:pPr>
        <w:ind w:left="700" w:right="560"/>
        <w:spacing w:after="0" w:line="286" w:lineRule="auto"/>
        <w:rPr>
          <w:sz w:val="20"/>
          <w:szCs w:val="20"/>
          <w:color w:val="auto"/>
        </w:rPr>
      </w:pPr>
      <w:r>
        <w:rPr>
          <w:rFonts w:ascii="Arial" w:cs="Arial" w:eastAsia="Arial" w:hAnsi="Arial"/>
          <w:sz w:val="16"/>
          <w:szCs w:val="16"/>
          <w:b w:val="1"/>
          <w:bCs w:val="1"/>
          <w:color w:val="32406B"/>
        </w:rPr>
        <w:t>Second</w:t>
      </w:r>
      <w:r>
        <w:rPr>
          <w:rFonts w:ascii="Arial" w:cs="Arial" w:eastAsia="Arial" w:hAnsi="Arial"/>
          <w:sz w:val="16"/>
          <w:szCs w:val="16"/>
          <w:color w:val="000000"/>
        </w:rPr>
        <w:t>, we continue to focus on</w:t>
      </w:r>
      <w:r>
        <w:rPr>
          <w:rFonts w:ascii="Arial" w:cs="Arial" w:eastAsia="Arial" w:hAnsi="Arial"/>
          <w:sz w:val="16"/>
          <w:szCs w:val="16"/>
          <w:b w:val="1"/>
          <w:bCs w:val="1"/>
          <w:color w:val="32406B"/>
        </w:rPr>
        <w:t xml:space="preserve"> segment margin expansion through productivity initiatives</w:t>
      </w:r>
      <w:r>
        <w:rPr>
          <w:rFonts w:ascii="Arial" w:cs="Arial" w:eastAsia="Arial" w:hAnsi="Arial"/>
          <w:sz w:val="16"/>
          <w:szCs w:val="16"/>
          <w:color w:val="000000"/>
        </w:rPr>
        <w:t>, including supply chain activities, targeted</w:t>
      </w:r>
      <w:r>
        <w:rPr>
          <w:rFonts w:ascii="Arial" w:cs="Arial" w:eastAsia="Arial" w:hAnsi="Arial"/>
          <w:sz w:val="16"/>
          <w:szCs w:val="16"/>
          <w:b w:val="1"/>
          <w:bCs w:val="1"/>
          <w:color w:val="32406B"/>
        </w:rPr>
        <w:t xml:space="preserve"> </w:t>
      </w:r>
      <w:r>
        <w:rPr>
          <w:rFonts w:ascii="Arial" w:cs="Arial" w:eastAsia="Arial" w:hAnsi="Arial"/>
          <w:sz w:val="16"/>
          <w:szCs w:val="16"/>
          <w:color w:val="000000"/>
        </w:rPr>
        <w:t>restructuring activities, strategic pricing and portfolio shaping.</w:t>
      </w:r>
    </w:p>
    <w:p>
      <w:pPr>
        <w:spacing w:after="0" w:line="142" w:lineRule="exact"/>
        <w:rPr>
          <w:sz w:val="20"/>
          <w:szCs w:val="20"/>
          <w:color w:val="auto"/>
        </w:rPr>
      </w:pPr>
    </w:p>
    <w:p>
      <w:pPr>
        <w:ind w:left="700" w:right="480"/>
        <w:spacing w:after="0" w:line="286" w:lineRule="auto"/>
        <w:rPr>
          <w:sz w:val="20"/>
          <w:szCs w:val="20"/>
          <w:color w:val="auto"/>
        </w:rPr>
      </w:pPr>
      <w:r>
        <w:rPr>
          <w:rFonts w:ascii="Arial" w:cs="Arial" w:eastAsia="Arial" w:hAnsi="Arial"/>
          <w:sz w:val="16"/>
          <w:szCs w:val="16"/>
          <w:b w:val="1"/>
          <w:bCs w:val="1"/>
          <w:color w:val="32406B"/>
        </w:rPr>
        <w:t>Third</w:t>
      </w:r>
      <w:r>
        <w:rPr>
          <w:rFonts w:ascii="Arial" w:cs="Arial" w:eastAsia="Arial" w:hAnsi="Arial"/>
          <w:sz w:val="16"/>
          <w:szCs w:val="16"/>
          <w:color w:val="000000"/>
        </w:rPr>
        <w:t>, we are committed to</w:t>
      </w:r>
      <w:r>
        <w:rPr>
          <w:rFonts w:ascii="Arial" w:cs="Arial" w:eastAsia="Arial" w:hAnsi="Arial"/>
          <w:sz w:val="16"/>
          <w:szCs w:val="16"/>
          <w:b w:val="1"/>
          <w:bCs w:val="1"/>
          <w:color w:val="32406B"/>
        </w:rPr>
        <w:t xml:space="preserve"> generating adjusted free cash flow as a percentage of sales of approximately 10% </w:t>
      </w:r>
      <w:r>
        <w:rPr>
          <w:rFonts w:ascii="Arial" w:cs="Arial" w:eastAsia="Arial" w:hAnsi="Arial"/>
          <w:sz w:val="16"/>
          <w:szCs w:val="16"/>
          <w:color w:val="000000"/>
        </w:rPr>
        <w:t>through strong earnings</w:t>
      </w:r>
      <w:r>
        <w:rPr>
          <w:rFonts w:ascii="Arial" w:cs="Arial" w:eastAsia="Arial" w:hAnsi="Arial"/>
          <w:sz w:val="16"/>
          <w:szCs w:val="16"/>
          <w:b w:val="1"/>
          <w:bCs w:val="1"/>
          <w:color w:val="32406B"/>
        </w:rPr>
        <w:t xml:space="preserve"> </w:t>
      </w:r>
      <w:r>
        <w:rPr>
          <w:rFonts w:ascii="Arial" w:cs="Arial" w:eastAsia="Arial" w:hAnsi="Arial"/>
          <w:sz w:val="16"/>
          <w:szCs w:val="16"/>
          <w:color w:val="000000"/>
        </w:rPr>
        <w:t>performance, productivity improvements and active working capital management.</w:t>
      </w:r>
    </w:p>
    <w:p>
      <w:pPr>
        <w:spacing w:after="0" w:line="162" w:lineRule="exact"/>
        <w:rPr>
          <w:sz w:val="20"/>
          <w:szCs w:val="20"/>
          <w:color w:val="auto"/>
        </w:rPr>
      </w:pPr>
    </w:p>
    <w:p>
      <w:pPr>
        <w:ind w:left="380" w:right="380"/>
        <w:spacing w:after="0" w:line="260" w:lineRule="auto"/>
        <w:rPr>
          <w:sz w:val="20"/>
          <w:szCs w:val="20"/>
          <w:color w:val="auto"/>
        </w:rPr>
      </w:pPr>
      <w:r>
        <w:rPr>
          <w:rFonts w:ascii="Arial" w:cs="Arial" w:eastAsia="Arial" w:hAnsi="Arial"/>
          <w:sz w:val="16"/>
          <w:szCs w:val="16"/>
          <w:color w:val="auto"/>
        </w:rPr>
        <w:t>We support these goals through (1) alignment of management compensation with financial objectives, (2) well-defined and actively managed M&amp;A processes and (3) talent development programs.</w:t>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7480"/>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3</w:t>
      </w:r>
    </w:p>
    <w:p>
      <w:pPr>
        <w:sectPr>
          <w:pgSz w:w="11900" w:h="16838" w:orient="portrait"/>
          <w:cols w:equalWidth="0" w:num="1">
            <w:col w:w="11220"/>
          </w:cols>
          <w:pgMar w:left="240" w:top="459" w:right="43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354965</wp:posOffset>
            </wp:positionV>
            <wp:extent cx="6993890" cy="60515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3890" cy="6051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80"/>
        <w:spacing w:after="0"/>
        <w:rPr>
          <w:sz w:val="20"/>
          <w:szCs w:val="20"/>
          <w:color w:val="auto"/>
        </w:rPr>
      </w:pPr>
      <w:r>
        <w:rPr>
          <w:rFonts w:ascii="Arial" w:cs="Arial" w:eastAsia="Arial" w:hAnsi="Arial"/>
          <w:sz w:val="22"/>
          <w:szCs w:val="22"/>
          <w:b w:val="1"/>
          <w:bCs w:val="1"/>
          <w:color w:val="32406B"/>
        </w:rPr>
        <w:t>2017 Performance Overview</w:t>
      </w:r>
    </w:p>
    <w:p>
      <w:pPr>
        <w:spacing w:after="0" w:line="245" w:lineRule="exact"/>
        <w:rPr>
          <w:sz w:val="20"/>
          <w:szCs w:val="20"/>
          <w:color w:val="auto"/>
        </w:rPr>
      </w:pPr>
    </w:p>
    <w:tbl>
      <w:tblPr>
        <w:tblLayout w:type="fixed"/>
        <w:tblInd w:w="390" w:type="dxa"/>
        <w:tblCellMar>
          <w:top w:w="0" w:type="dxa"/>
          <w:left w:w="0" w:type="dxa"/>
          <w:bottom w:w="0" w:type="dxa"/>
          <w:right w:w="0" w:type="dxa"/>
        </w:tblCellMar>
      </w:tblPr>
      <w:tr>
        <w:trPr>
          <w:trHeight w:val="216"/>
        </w:trPr>
        <w:tc>
          <w:tcPr>
            <w:tcW w:w="1380" w:type="dxa"/>
            <w:vAlign w:val="bottom"/>
            <w:tcBorders>
              <w:top w:val="single" w:sz="8" w:color="auto"/>
              <w:left w:val="single" w:sz="8" w:color="auto"/>
            </w:tcBorders>
            <w:shd w:val="clear" w:color="auto" w:fill="32406B"/>
          </w:tcPr>
          <w:p>
            <w:pPr>
              <w:ind w:left="160"/>
              <w:spacing w:after="0"/>
              <w:rPr>
                <w:sz w:val="20"/>
                <w:szCs w:val="20"/>
                <w:color w:val="auto"/>
              </w:rPr>
            </w:pPr>
            <w:r>
              <w:rPr>
                <w:rFonts w:ascii="Arial" w:cs="Arial" w:eastAsia="Arial" w:hAnsi="Arial"/>
                <w:sz w:val="14"/>
                <w:szCs w:val="14"/>
                <w:b w:val="1"/>
                <w:bCs w:val="1"/>
                <w:color w:val="FFFFFF"/>
              </w:rPr>
              <w:t>Financial</w:t>
            </w:r>
          </w:p>
        </w:tc>
        <w:tc>
          <w:tcPr>
            <w:tcW w:w="80" w:type="dxa"/>
            <w:vAlign w:val="bottom"/>
            <w:tcBorders>
              <w:top w:val="single" w:sz="8" w:color="auto"/>
            </w:tcBorders>
          </w:tcPr>
          <w:p>
            <w:pPr>
              <w:spacing w:after="0"/>
              <w:rPr>
                <w:sz w:val="18"/>
                <w:szCs w:val="18"/>
                <w:color w:val="auto"/>
              </w:rPr>
            </w:pPr>
          </w:p>
        </w:tc>
        <w:tc>
          <w:tcPr>
            <w:tcW w:w="9060" w:type="dxa"/>
            <w:vAlign w:val="bottom"/>
            <w:tcBorders>
              <w:top w:val="single" w:sz="8" w:color="auto"/>
            </w:tcBorders>
            <w:gridSpan w:val="3"/>
          </w:tcPr>
          <w:p>
            <w:pPr>
              <w:ind w:left="40"/>
              <w:spacing w:after="0"/>
              <w:rPr>
                <w:sz w:val="20"/>
                <w:szCs w:val="20"/>
                <w:color w:val="auto"/>
              </w:rPr>
            </w:pPr>
            <w:r>
              <w:rPr>
                <w:rFonts w:ascii="Arial" w:cs="Arial" w:eastAsia="Arial" w:hAnsi="Arial"/>
                <w:sz w:val="14"/>
                <w:szCs w:val="14"/>
                <w:color w:val="auto"/>
              </w:rPr>
              <w:t>•  Consolidated revenue from continuing operations was $7.8 billion, an increase of $1.0 billion or 15.2%, as compared to 2016. This</w:t>
            </w:r>
          </w:p>
        </w:tc>
        <w:tc>
          <w:tcPr>
            <w:tcW w:w="14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1380" w:type="dxa"/>
            <w:vAlign w:val="bottom"/>
            <w:tcBorders>
              <w:left w:val="single" w:sz="8" w:color="auto"/>
            </w:tcBorders>
            <w:shd w:val="clear" w:color="auto" w:fill="32406B"/>
          </w:tcPr>
          <w:p>
            <w:pPr>
              <w:ind w:left="160"/>
              <w:spacing w:after="0"/>
              <w:rPr>
                <w:sz w:val="20"/>
                <w:szCs w:val="20"/>
                <w:color w:val="auto"/>
              </w:rPr>
            </w:pPr>
            <w:r>
              <w:rPr>
                <w:rFonts w:ascii="Arial" w:cs="Arial" w:eastAsia="Arial" w:hAnsi="Arial"/>
                <w:sz w:val="14"/>
                <w:szCs w:val="14"/>
                <w:b w:val="1"/>
                <w:bCs w:val="1"/>
                <w:color w:val="FFFFFF"/>
              </w:rPr>
              <w:t>Performance</w:t>
            </w:r>
          </w:p>
        </w:tc>
        <w:tc>
          <w:tcPr>
            <w:tcW w:w="80" w:type="dxa"/>
            <w:vAlign w:val="bottom"/>
          </w:tcPr>
          <w:p>
            <w:pPr>
              <w:spacing w:after="0"/>
              <w:rPr>
                <w:sz w:val="15"/>
                <w:szCs w:val="15"/>
                <w:color w:val="auto"/>
              </w:rPr>
            </w:pPr>
          </w:p>
        </w:tc>
        <w:tc>
          <w:tcPr>
            <w:tcW w:w="9060" w:type="dxa"/>
            <w:vAlign w:val="bottom"/>
            <w:gridSpan w:val="3"/>
          </w:tcPr>
          <w:p>
            <w:pPr>
              <w:ind w:left="220"/>
              <w:spacing w:after="0"/>
              <w:rPr>
                <w:sz w:val="20"/>
                <w:szCs w:val="20"/>
                <w:color w:val="auto"/>
              </w:rPr>
            </w:pPr>
            <w:r>
              <w:rPr>
                <w:rFonts w:ascii="Arial" w:cs="Arial" w:eastAsia="Arial" w:hAnsi="Arial"/>
                <w:sz w:val="14"/>
                <w:szCs w:val="14"/>
                <w:color w:val="auto"/>
              </w:rPr>
              <w:t>increase included organic revenue growth of 7.8%, acquisition-related growth of 9.7% and a favorable impact of 0.4% from foreign</w:t>
            </w:r>
          </w:p>
        </w:tc>
        <w:tc>
          <w:tcPr>
            <w:tcW w:w="1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1380" w:type="dxa"/>
            <w:vAlign w:val="bottom"/>
            <w:tcBorders>
              <w:left w:val="single" w:sz="8" w:color="auto"/>
            </w:tcBorders>
            <w:shd w:val="clear" w:color="auto" w:fill="32406B"/>
          </w:tcPr>
          <w:p>
            <w:pPr>
              <w:spacing w:after="0"/>
              <w:rPr>
                <w:sz w:val="14"/>
                <w:szCs w:val="14"/>
                <w:color w:val="auto"/>
              </w:rPr>
            </w:pPr>
          </w:p>
        </w:tc>
        <w:tc>
          <w:tcPr>
            <w:tcW w:w="80" w:type="dxa"/>
            <w:vAlign w:val="bottom"/>
          </w:tcPr>
          <w:p>
            <w:pPr>
              <w:spacing w:after="0"/>
              <w:rPr>
                <w:sz w:val="14"/>
                <w:szCs w:val="14"/>
                <w:color w:val="auto"/>
              </w:rPr>
            </w:pPr>
          </w:p>
        </w:tc>
        <w:tc>
          <w:tcPr>
            <w:tcW w:w="6040" w:type="dxa"/>
            <w:vAlign w:val="bottom"/>
            <w:gridSpan w:val="2"/>
          </w:tcPr>
          <w:p>
            <w:pPr>
              <w:ind w:left="220"/>
              <w:spacing w:after="0"/>
              <w:rPr>
                <w:sz w:val="20"/>
                <w:szCs w:val="20"/>
                <w:color w:val="auto"/>
              </w:rPr>
            </w:pPr>
            <w:r>
              <w:rPr>
                <w:rFonts w:ascii="Arial" w:cs="Arial" w:eastAsia="Arial" w:hAnsi="Arial"/>
                <w:sz w:val="14"/>
                <w:szCs w:val="14"/>
                <w:color w:val="auto"/>
              </w:rPr>
              <w:t>currency, partially offset by a negative 2.7% impact from dispositions.</w:t>
            </w:r>
          </w:p>
        </w:tc>
        <w:tc>
          <w:tcPr>
            <w:tcW w:w="302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1380" w:type="dxa"/>
            <w:vAlign w:val="bottom"/>
            <w:tcBorders>
              <w:left w:val="single" w:sz="8" w:color="auto"/>
            </w:tcBorders>
            <w:shd w:val="clear" w:color="auto" w:fill="32406B"/>
          </w:tcPr>
          <w:p>
            <w:pPr>
              <w:spacing w:after="0"/>
              <w:rPr>
                <w:sz w:val="20"/>
                <w:szCs w:val="20"/>
                <w:color w:val="auto"/>
              </w:rPr>
            </w:pPr>
          </w:p>
        </w:tc>
        <w:tc>
          <w:tcPr>
            <w:tcW w:w="80" w:type="dxa"/>
            <w:vAlign w:val="bottom"/>
          </w:tcPr>
          <w:p>
            <w:pPr>
              <w:spacing w:after="0"/>
              <w:rPr>
                <w:sz w:val="20"/>
                <w:szCs w:val="20"/>
                <w:color w:val="auto"/>
              </w:rPr>
            </w:pPr>
          </w:p>
        </w:tc>
        <w:tc>
          <w:tcPr>
            <w:tcW w:w="9060" w:type="dxa"/>
            <w:vAlign w:val="bottom"/>
            <w:gridSpan w:val="3"/>
          </w:tcPr>
          <w:p>
            <w:pPr>
              <w:ind w:left="40"/>
              <w:spacing w:after="0"/>
              <w:rPr>
                <w:sz w:val="20"/>
                <w:szCs w:val="20"/>
                <w:color w:val="auto"/>
              </w:rPr>
            </w:pPr>
            <w:r>
              <w:rPr>
                <w:rFonts w:ascii="Arial" w:cs="Arial" w:eastAsia="Arial" w:hAnsi="Arial"/>
                <w:sz w:val="14"/>
                <w:szCs w:val="14"/>
                <w:color w:val="auto"/>
              </w:rPr>
              <w:t>•  Earnings from continuing operations increased $302.8 million, or 59.5%, to $811.7 million, or diluted net earnings per share (“EPS”) of</w:t>
            </w:r>
          </w:p>
        </w:tc>
        <w:tc>
          <w:tcPr>
            <w:tcW w:w="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tcBorders>
            <w:shd w:val="clear" w:color="auto" w:fill="32406B"/>
          </w:tcPr>
          <w:p>
            <w:pPr>
              <w:spacing w:after="0"/>
              <w:rPr>
                <w:sz w:val="14"/>
                <w:szCs w:val="14"/>
                <w:color w:val="auto"/>
              </w:rPr>
            </w:pPr>
          </w:p>
        </w:tc>
        <w:tc>
          <w:tcPr>
            <w:tcW w:w="80" w:type="dxa"/>
            <w:vAlign w:val="bottom"/>
          </w:tcPr>
          <w:p>
            <w:pPr>
              <w:spacing w:after="0"/>
              <w:rPr>
                <w:sz w:val="14"/>
                <w:szCs w:val="14"/>
                <w:color w:val="auto"/>
              </w:rPr>
            </w:pPr>
          </w:p>
        </w:tc>
        <w:tc>
          <w:tcPr>
            <w:tcW w:w="9060" w:type="dxa"/>
            <w:vAlign w:val="bottom"/>
            <w:gridSpan w:val="3"/>
          </w:tcPr>
          <w:p>
            <w:pPr>
              <w:ind w:left="220"/>
              <w:spacing w:after="0"/>
              <w:rPr>
                <w:sz w:val="20"/>
                <w:szCs w:val="20"/>
                <w:color w:val="auto"/>
              </w:rPr>
            </w:pPr>
            <w:r>
              <w:rPr>
                <w:rFonts w:ascii="Arial" w:cs="Arial" w:eastAsia="Arial" w:hAnsi="Arial"/>
                <w:sz w:val="14"/>
                <w:szCs w:val="14"/>
                <w:color w:val="auto"/>
              </w:rPr>
              <w:t>$5.15, compared with earnings from continuing operations of $508.9 million, or EPS of $3.25, for 2016. The 2017 results include a net</w:t>
            </w:r>
          </w:p>
        </w:tc>
        <w:tc>
          <w:tcPr>
            <w:tcW w:w="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tcBorders>
            <w:shd w:val="clear" w:color="auto" w:fill="32406B"/>
          </w:tcPr>
          <w:p>
            <w:pPr>
              <w:spacing w:after="0"/>
              <w:rPr>
                <w:sz w:val="14"/>
                <w:szCs w:val="14"/>
                <w:color w:val="auto"/>
              </w:rPr>
            </w:pPr>
          </w:p>
        </w:tc>
        <w:tc>
          <w:tcPr>
            <w:tcW w:w="80" w:type="dxa"/>
            <w:vAlign w:val="bottom"/>
          </w:tcPr>
          <w:p>
            <w:pPr>
              <w:spacing w:after="0"/>
              <w:rPr>
                <w:sz w:val="14"/>
                <w:szCs w:val="14"/>
                <w:color w:val="auto"/>
              </w:rPr>
            </w:pPr>
          </w:p>
        </w:tc>
        <w:tc>
          <w:tcPr>
            <w:tcW w:w="9060" w:type="dxa"/>
            <w:vAlign w:val="bottom"/>
            <w:gridSpan w:val="3"/>
          </w:tcPr>
          <w:p>
            <w:pPr>
              <w:ind w:left="220"/>
              <w:spacing w:after="0"/>
              <w:rPr>
                <w:sz w:val="20"/>
                <w:szCs w:val="20"/>
                <w:color w:val="auto"/>
              </w:rPr>
            </w:pPr>
            <w:r>
              <w:rPr>
                <w:rFonts w:ascii="Arial" w:cs="Arial" w:eastAsia="Arial" w:hAnsi="Arial"/>
                <w:sz w:val="14"/>
                <w:szCs w:val="14"/>
                <w:color w:val="auto"/>
              </w:rPr>
              <w:t>benefit of $172.6 million, or EPS of $1.09, from dispositions, a net tax benefit primarily from the Tax Cuts and Jobs Act of $50.9 million, or</w:t>
            </w:r>
          </w:p>
        </w:tc>
        <w:tc>
          <w:tcPr>
            <w:tcW w:w="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tcBorders>
            <w:shd w:val="clear" w:color="auto" w:fill="32406B"/>
          </w:tcPr>
          <w:p>
            <w:pPr>
              <w:spacing w:after="0"/>
              <w:rPr>
                <w:sz w:val="14"/>
                <w:szCs w:val="14"/>
                <w:color w:val="auto"/>
              </w:rPr>
            </w:pPr>
          </w:p>
        </w:tc>
        <w:tc>
          <w:tcPr>
            <w:tcW w:w="80" w:type="dxa"/>
            <w:vAlign w:val="bottom"/>
          </w:tcPr>
          <w:p>
            <w:pPr>
              <w:spacing w:after="0"/>
              <w:rPr>
                <w:sz w:val="14"/>
                <w:szCs w:val="14"/>
                <w:color w:val="auto"/>
              </w:rPr>
            </w:pPr>
          </w:p>
        </w:tc>
        <w:tc>
          <w:tcPr>
            <w:tcW w:w="9060" w:type="dxa"/>
            <w:vAlign w:val="bottom"/>
            <w:gridSpan w:val="3"/>
          </w:tcPr>
          <w:p>
            <w:pPr>
              <w:ind w:left="220"/>
              <w:spacing w:after="0"/>
              <w:rPr>
                <w:sz w:val="20"/>
                <w:szCs w:val="20"/>
                <w:color w:val="auto"/>
              </w:rPr>
            </w:pPr>
            <w:r>
              <w:rPr>
                <w:rFonts w:ascii="Arial" w:cs="Arial" w:eastAsia="Arial" w:hAnsi="Arial"/>
                <w:sz w:val="14"/>
                <w:szCs w:val="14"/>
                <w:color w:val="auto"/>
              </w:rPr>
              <w:t>EPS of $0.32, and a net benefit of $4.6 million, or EPS of $0.03, from a reduction to a previously recorded product recall accrual. Results</w:t>
            </w:r>
          </w:p>
        </w:tc>
        <w:tc>
          <w:tcPr>
            <w:tcW w:w="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tcBorders>
            <w:shd w:val="clear" w:color="auto" w:fill="32406B"/>
          </w:tcPr>
          <w:p>
            <w:pPr>
              <w:spacing w:after="0"/>
              <w:rPr>
                <w:sz w:val="14"/>
                <w:szCs w:val="14"/>
                <w:color w:val="auto"/>
              </w:rPr>
            </w:pPr>
          </w:p>
        </w:tc>
        <w:tc>
          <w:tcPr>
            <w:tcW w:w="80" w:type="dxa"/>
            <w:vAlign w:val="bottom"/>
          </w:tcPr>
          <w:p>
            <w:pPr>
              <w:spacing w:after="0"/>
              <w:rPr>
                <w:sz w:val="14"/>
                <w:szCs w:val="14"/>
                <w:color w:val="auto"/>
              </w:rPr>
            </w:pPr>
          </w:p>
        </w:tc>
        <w:tc>
          <w:tcPr>
            <w:tcW w:w="9060" w:type="dxa"/>
            <w:vAlign w:val="bottom"/>
            <w:gridSpan w:val="3"/>
          </w:tcPr>
          <w:p>
            <w:pPr>
              <w:ind w:left="220"/>
              <w:spacing w:after="0"/>
              <w:rPr>
                <w:sz w:val="20"/>
                <w:szCs w:val="20"/>
                <w:color w:val="auto"/>
              </w:rPr>
            </w:pPr>
            <w:r>
              <w:rPr>
                <w:rFonts w:ascii="Arial" w:cs="Arial" w:eastAsia="Arial" w:hAnsi="Arial"/>
                <w:sz w:val="14"/>
                <w:szCs w:val="14"/>
                <w:color w:val="auto"/>
              </w:rPr>
              <w:t>also included rightsizing and other costs of $39.1 million, or EPS of $0.25, Apergy separation related costs of $9.7 million, or EPS of $0.06,</w:t>
            </w:r>
          </w:p>
        </w:tc>
        <w:tc>
          <w:tcPr>
            <w:tcW w:w="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tcBorders>
            <w:shd w:val="clear" w:color="auto" w:fill="32406B"/>
          </w:tcPr>
          <w:p>
            <w:pPr>
              <w:spacing w:after="0"/>
              <w:rPr>
                <w:sz w:val="14"/>
                <w:szCs w:val="14"/>
                <w:color w:val="auto"/>
              </w:rPr>
            </w:pPr>
          </w:p>
        </w:tc>
        <w:tc>
          <w:tcPr>
            <w:tcW w:w="80" w:type="dxa"/>
            <w:vAlign w:val="bottom"/>
          </w:tcPr>
          <w:p>
            <w:pPr>
              <w:spacing w:after="0"/>
              <w:rPr>
                <w:sz w:val="14"/>
                <w:szCs w:val="14"/>
                <w:color w:val="auto"/>
              </w:rPr>
            </w:pPr>
          </w:p>
        </w:tc>
        <w:tc>
          <w:tcPr>
            <w:tcW w:w="9060" w:type="dxa"/>
            <w:vAlign w:val="bottom"/>
            <w:gridSpan w:val="3"/>
          </w:tcPr>
          <w:p>
            <w:pPr>
              <w:ind w:left="220"/>
              <w:spacing w:after="0"/>
              <w:rPr>
                <w:sz w:val="20"/>
                <w:szCs w:val="20"/>
                <w:color w:val="auto"/>
              </w:rPr>
            </w:pPr>
            <w:r>
              <w:rPr>
                <w:rFonts w:ascii="Arial" w:cs="Arial" w:eastAsia="Arial" w:hAnsi="Arial"/>
                <w:sz w:val="14"/>
                <w:szCs w:val="14"/>
                <w:color w:val="auto"/>
              </w:rPr>
              <w:t>and disposition costs of $3.2 million, or EPS of $0.02. Excluding these aforementioned benefits and costs, earnings from continuing</w:t>
            </w:r>
          </w:p>
        </w:tc>
        <w:tc>
          <w:tcPr>
            <w:tcW w:w="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380" w:type="dxa"/>
            <w:vAlign w:val="bottom"/>
            <w:tcBorders>
              <w:left w:val="single" w:sz="8" w:color="auto"/>
            </w:tcBorders>
            <w:shd w:val="clear" w:color="auto" w:fill="32406B"/>
          </w:tcPr>
          <w:p>
            <w:pPr>
              <w:spacing w:after="0"/>
              <w:rPr>
                <w:sz w:val="14"/>
                <w:szCs w:val="14"/>
                <w:color w:val="auto"/>
              </w:rPr>
            </w:pPr>
          </w:p>
        </w:tc>
        <w:tc>
          <w:tcPr>
            <w:tcW w:w="80" w:type="dxa"/>
            <w:vAlign w:val="bottom"/>
          </w:tcPr>
          <w:p>
            <w:pPr>
              <w:spacing w:after="0"/>
              <w:rPr>
                <w:sz w:val="14"/>
                <w:szCs w:val="14"/>
                <w:color w:val="auto"/>
              </w:rPr>
            </w:pPr>
          </w:p>
        </w:tc>
        <w:tc>
          <w:tcPr>
            <w:tcW w:w="9060" w:type="dxa"/>
            <w:vAlign w:val="bottom"/>
            <w:gridSpan w:val="3"/>
          </w:tcPr>
          <w:p>
            <w:pPr>
              <w:ind w:left="220"/>
              <w:spacing w:after="0"/>
              <w:rPr>
                <w:sz w:val="20"/>
                <w:szCs w:val="20"/>
                <w:color w:val="auto"/>
              </w:rPr>
            </w:pPr>
            <w:r>
              <w:rPr>
                <w:rFonts w:ascii="Arial" w:cs="Arial" w:eastAsia="Arial" w:hAnsi="Arial"/>
                <w:sz w:val="14"/>
                <w:szCs w:val="14"/>
                <w:color w:val="auto"/>
              </w:rPr>
              <w:t>operations increased 39% in 2017 primarily as a result of higher earnings due to increased sales volumes.</w:t>
            </w:r>
          </w:p>
        </w:tc>
        <w:tc>
          <w:tcPr>
            <w:tcW w:w="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1380" w:type="dxa"/>
            <w:vAlign w:val="bottom"/>
            <w:tcBorders>
              <w:left w:val="single" w:sz="8" w:color="auto"/>
              <w:bottom w:val="single" w:sz="8" w:color="32406B"/>
            </w:tcBorders>
            <w:shd w:val="clear" w:color="auto" w:fill="32406B"/>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9060" w:type="dxa"/>
            <w:vAlign w:val="bottom"/>
            <w:tcBorders>
              <w:bottom w:val="single" w:sz="8" w:color="auto"/>
            </w:tcBorders>
            <w:gridSpan w:val="3"/>
          </w:tcPr>
          <w:p>
            <w:pPr>
              <w:spacing w:after="0"/>
              <w:rPr>
                <w:sz w:val="6"/>
                <w:szCs w:val="6"/>
                <w:color w:val="auto"/>
              </w:rPr>
            </w:pPr>
          </w:p>
        </w:tc>
        <w:tc>
          <w:tcPr>
            <w:tcW w:w="1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1380" w:type="dxa"/>
            <w:vAlign w:val="bottom"/>
            <w:tcBorders>
              <w:left w:val="single" w:sz="8" w:color="auto"/>
            </w:tcBorders>
            <w:shd w:val="clear" w:color="auto" w:fill="32406B"/>
          </w:tcPr>
          <w:p>
            <w:pPr>
              <w:ind w:left="160"/>
              <w:spacing w:after="0"/>
              <w:rPr>
                <w:sz w:val="20"/>
                <w:szCs w:val="20"/>
                <w:color w:val="auto"/>
              </w:rPr>
            </w:pPr>
            <w:r>
              <w:rPr>
                <w:rFonts w:ascii="Arial" w:cs="Arial" w:eastAsia="Arial" w:hAnsi="Arial"/>
                <w:sz w:val="14"/>
                <w:szCs w:val="14"/>
                <w:b w:val="1"/>
                <w:bCs w:val="1"/>
                <w:color w:val="FFFFFF"/>
              </w:rPr>
              <w:t>Separation of</w:t>
            </w:r>
          </w:p>
        </w:tc>
        <w:tc>
          <w:tcPr>
            <w:tcW w:w="80" w:type="dxa"/>
            <w:vAlign w:val="bottom"/>
          </w:tcPr>
          <w:p>
            <w:pPr>
              <w:spacing w:after="0"/>
              <w:rPr>
                <w:sz w:val="17"/>
                <w:szCs w:val="17"/>
                <w:color w:val="auto"/>
              </w:rPr>
            </w:pPr>
          </w:p>
        </w:tc>
        <w:tc>
          <w:tcPr>
            <w:tcW w:w="9060" w:type="dxa"/>
            <w:vAlign w:val="bottom"/>
            <w:gridSpan w:val="3"/>
          </w:tcPr>
          <w:p>
            <w:pPr>
              <w:ind w:left="40"/>
              <w:spacing w:after="0"/>
              <w:rPr>
                <w:sz w:val="20"/>
                <w:szCs w:val="20"/>
                <w:color w:val="auto"/>
              </w:rPr>
            </w:pPr>
            <w:r>
              <w:rPr>
                <w:rFonts w:ascii="Arial" w:cs="Arial" w:eastAsia="Arial" w:hAnsi="Arial"/>
                <w:sz w:val="14"/>
                <w:szCs w:val="14"/>
                <w:color w:val="auto"/>
              </w:rPr>
              <w:t xml:space="preserve">•  Announced plans to pursue a </w:t>
            </w:r>
            <w:r>
              <w:rPr>
                <w:rFonts w:ascii="Arial" w:cs="Arial" w:eastAsia="Arial" w:hAnsi="Arial"/>
                <w:sz w:val="14"/>
                <w:szCs w:val="14"/>
                <w:b w:val="1"/>
                <w:bCs w:val="1"/>
                <w:color w:val="32406B"/>
              </w:rPr>
              <w:t>tax-free spin-off the upstream energy businesses</w:t>
            </w:r>
            <w:r>
              <w:rPr>
                <w:rFonts w:ascii="Arial" w:cs="Arial" w:eastAsia="Arial" w:hAnsi="Arial"/>
                <w:sz w:val="14"/>
                <w:szCs w:val="14"/>
                <w:color w:val="auto"/>
              </w:rPr>
              <w:t xml:space="preserve"> within our Energy segment into a standalone, publicly-</w:t>
            </w:r>
          </w:p>
        </w:tc>
        <w:tc>
          <w:tcPr>
            <w:tcW w:w="1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tcBorders>
            <w:shd w:val="clear" w:color="auto" w:fill="32406B"/>
          </w:tcPr>
          <w:p>
            <w:pPr>
              <w:ind w:left="160"/>
              <w:spacing w:after="0"/>
              <w:rPr>
                <w:sz w:val="20"/>
                <w:szCs w:val="20"/>
                <w:color w:val="auto"/>
              </w:rPr>
            </w:pPr>
            <w:r>
              <w:rPr>
                <w:rFonts w:ascii="Arial" w:cs="Arial" w:eastAsia="Arial" w:hAnsi="Arial"/>
                <w:sz w:val="14"/>
                <w:szCs w:val="14"/>
                <w:b w:val="1"/>
                <w:bCs w:val="1"/>
                <w:color w:val="FFFFFF"/>
              </w:rPr>
              <w:t>Upstream Energy</w:t>
            </w:r>
          </w:p>
        </w:tc>
        <w:tc>
          <w:tcPr>
            <w:tcW w:w="80" w:type="dxa"/>
            <w:vAlign w:val="bottom"/>
          </w:tcPr>
          <w:p>
            <w:pPr>
              <w:spacing w:after="0"/>
              <w:rPr>
                <w:sz w:val="14"/>
                <w:szCs w:val="14"/>
                <w:color w:val="auto"/>
              </w:rPr>
            </w:pPr>
          </w:p>
        </w:tc>
        <w:tc>
          <w:tcPr>
            <w:tcW w:w="9060" w:type="dxa"/>
            <w:vAlign w:val="bottom"/>
            <w:gridSpan w:val="3"/>
          </w:tcPr>
          <w:p>
            <w:pPr>
              <w:ind w:left="220"/>
              <w:spacing w:after="0"/>
              <w:rPr>
                <w:sz w:val="20"/>
                <w:szCs w:val="20"/>
                <w:color w:val="auto"/>
              </w:rPr>
            </w:pPr>
            <w:r>
              <w:rPr>
                <w:rFonts w:ascii="Arial" w:cs="Arial" w:eastAsia="Arial" w:hAnsi="Arial"/>
                <w:sz w:val="14"/>
                <w:szCs w:val="14"/>
                <w:color w:val="auto"/>
              </w:rPr>
              <w:t>traded company named Apergy. We expect to complete the spin-off in May 2018, subject to the satisfaction or waiver of certain customary</w:t>
            </w:r>
          </w:p>
        </w:tc>
        <w:tc>
          <w:tcPr>
            <w:tcW w:w="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380" w:type="dxa"/>
            <w:vAlign w:val="bottom"/>
            <w:tcBorders>
              <w:left w:val="single" w:sz="8" w:color="auto"/>
            </w:tcBorders>
            <w:shd w:val="clear" w:color="auto" w:fill="32406B"/>
          </w:tcPr>
          <w:p>
            <w:pPr>
              <w:ind w:left="160"/>
              <w:spacing w:after="0"/>
              <w:rPr>
                <w:sz w:val="20"/>
                <w:szCs w:val="20"/>
                <w:color w:val="auto"/>
              </w:rPr>
            </w:pPr>
            <w:r>
              <w:rPr>
                <w:rFonts w:ascii="Arial" w:cs="Arial" w:eastAsia="Arial" w:hAnsi="Arial"/>
                <w:sz w:val="14"/>
                <w:szCs w:val="14"/>
                <w:b w:val="1"/>
                <w:bCs w:val="1"/>
                <w:color w:val="FFFFFF"/>
              </w:rPr>
              <w:t>Businesses</w:t>
            </w:r>
          </w:p>
        </w:tc>
        <w:tc>
          <w:tcPr>
            <w:tcW w:w="80" w:type="dxa"/>
            <w:vAlign w:val="bottom"/>
          </w:tcPr>
          <w:p>
            <w:pPr>
              <w:spacing w:after="0"/>
              <w:rPr>
                <w:sz w:val="16"/>
                <w:szCs w:val="16"/>
                <w:color w:val="auto"/>
              </w:rPr>
            </w:pPr>
          </w:p>
        </w:tc>
        <w:tc>
          <w:tcPr>
            <w:tcW w:w="3460" w:type="dxa"/>
            <w:vAlign w:val="bottom"/>
          </w:tcPr>
          <w:p>
            <w:pPr>
              <w:ind w:left="220"/>
              <w:spacing w:after="0"/>
              <w:rPr>
                <w:sz w:val="20"/>
                <w:szCs w:val="20"/>
                <w:color w:val="auto"/>
              </w:rPr>
            </w:pPr>
            <w:r>
              <w:rPr>
                <w:rFonts w:ascii="Arial" w:cs="Arial" w:eastAsia="Arial" w:hAnsi="Arial"/>
                <w:sz w:val="14"/>
                <w:szCs w:val="14"/>
                <w:color w:val="auto"/>
              </w:rPr>
              <w:t>conditions.</w:t>
            </w:r>
          </w:p>
        </w:tc>
        <w:tc>
          <w:tcPr>
            <w:tcW w:w="258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380" w:type="dxa"/>
            <w:vAlign w:val="bottom"/>
            <w:tcBorders>
              <w:left w:val="single" w:sz="8" w:color="auto"/>
            </w:tcBorders>
            <w:shd w:val="clear" w:color="auto" w:fill="32406B"/>
          </w:tcPr>
          <w:p>
            <w:pPr>
              <w:spacing w:after="0"/>
              <w:rPr>
                <w:sz w:val="18"/>
                <w:szCs w:val="18"/>
                <w:color w:val="auto"/>
              </w:rPr>
            </w:pPr>
          </w:p>
        </w:tc>
        <w:tc>
          <w:tcPr>
            <w:tcW w:w="80" w:type="dxa"/>
            <w:vAlign w:val="bottom"/>
          </w:tcPr>
          <w:p>
            <w:pPr>
              <w:spacing w:after="0"/>
              <w:rPr>
                <w:sz w:val="18"/>
                <w:szCs w:val="18"/>
                <w:color w:val="auto"/>
              </w:rPr>
            </w:pPr>
          </w:p>
        </w:tc>
        <w:tc>
          <w:tcPr>
            <w:tcW w:w="9060" w:type="dxa"/>
            <w:vAlign w:val="bottom"/>
            <w:gridSpan w:val="3"/>
          </w:tcPr>
          <w:p>
            <w:pPr>
              <w:ind w:left="40"/>
              <w:spacing w:after="0"/>
              <w:rPr>
                <w:sz w:val="20"/>
                <w:szCs w:val="20"/>
                <w:color w:val="auto"/>
              </w:rPr>
            </w:pPr>
            <w:r>
              <w:rPr>
                <w:rFonts w:ascii="Arial" w:cs="Arial" w:eastAsia="Arial" w:hAnsi="Arial"/>
                <w:sz w:val="14"/>
                <w:szCs w:val="14"/>
                <w:color w:val="auto"/>
              </w:rPr>
              <w:t xml:space="preserve">•  Announcement concluded the </w:t>
            </w:r>
            <w:r>
              <w:rPr>
                <w:rFonts w:ascii="Arial" w:cs="Arial" w:eastAsia="Arial" w:hAnsi="Arial"/>
                <w:sz w:val="14"/>
                <w:szCs w:val="14"/>
                <w:b w:val="1"/>
                <w:bCs w:val="1"/>
                <w:color w:val="32406B"/>
              </w:rPr>
              <w:t>strategic alternatives review of our upstream energy businesses</w:t>
            </w:r>
            <w:r>
              <w:rPr>
                <w:rFonts w:ascii="Arial" w:cs="Arial" w:eastAsia="Arial" w:hAnsi="Arial"/>
                <w:sz w:val="14"/>
                <w:szCs w:val="14"/>
                <w:color w:val="auto"/>
              </w:rPr>
              <w:t xml:space="preserve"> announced on September 12, 2017,</w:t>
            </w: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380" w:type="dxa"/>
            <w:vAlign w:val="bottom"/>
            <w:tcBorders>
              <w:left w:val="single" w:sz="8" w:color="auto"/>
            </w:tcBorders>
            <w:shd w:val="clear" w:color="auto" w:fill="32406B"/>
          </w:tcPr>
          <w:p>
            <w:pPr>
              <w:spacing w:after="0"/>
              <w:rPr>
                <w:sz w:val="16"/>
                <w:szCs w:val="16"/>
                <w:color w:val="auto"/>
              </w:rPr>
            </w:pPr>
          </w:p>
        </w:tc>
        <w:tc>
          <w:tcPr>
            <w:tcW w:w="80" w:type="dxa"/>
            <w:vAlign w:val="bottom"/>
          </w:tcPr>
          <w:p>
            <w:pPr>
              <w:spacing w:after="0"/>
              <w:rPr>
                <w:sz w:val="16"/>
                <w:szCs w:val="16"/>
                <w:color w:val="auto"/>
              </w:rPr>
            </w:pPr>
          </w:p>
        </w:tc>
        <w:tc>
          <w:tcPr>
            <w:tcW w:w="9060" w:type="dxa"/>
            <w:vAlign w:val="bottom"/>
            <w:gridSpan w:val="3"/>
          </w:tcPr>
          <w:p>
            <w:pPr>
              <w:ind w:left="220"/>
              <w:spacing w:after="0"/>
              <w:rPr>
                <w:sz w:val="20"/>
                <w:szCs w:val="20"/>
                <w:color w:val="auto"/>
              </w:rPr>
            </w:pPr>
            <w:r>
              <w:rPr>
                <w:rFonts w:ascii="Arial" w:cs="Arial" w:eastAsia="Arial" w:hAnsi="Arial"/>
                <w:sz w:val="14"/>
                <w:szCs w:val="14"/>
                <w:color w:val="auto"/>
              </w:rPr>
              <w:t xml:space="preserve">and is the </w:t>
            </w:r>
            <w:r>
              <w:rPr>
                <w:rFonts w:ascii="Arial" w:cs="Arial" w:eastAsia="Arial" w:hAnsi="Arial"/>
                <w:sz w:val="14"/>
                <w:szCs w:val="14"/>
                <w:b w:val="1"/>
                <w:bCs w:val="1"/>
                <w:color w:val="32406B"/>
              </w:rPr>
              <w:t>culmination of a comprehensive process to determine the best separation alternative to maximize shareholder value</w:t>
            </w:r>
            <w:r>
              <w:rPr>
                <w:rFonts w:ascii="Arial" w:cs="Arial" w:eastAsia="Arial" w:hAnsi="Arial"/>
                <w:sz w:val="14"/>
                <w:szCs w:val="14"/>
                <w:color w:val="auto"/>
              </w:rPr>
              <w:t>.</w:t>
            </w:r>
          </w:p>
        </w:tc>
        <w:tc>
          <w:tcPr>
            <w:tcW w:w="1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380" w:type="dxa"/>
            <w:vAlign w:val="bottom"/>
            <w:tcBorders>
              <w:left w:val="single" w:sz="8" w:color="auto"/>
            </w:tcBorders>
            <w:shd w:val="clear" w:color="auto" w:fill="32406B"/>
          </w:tcPr>
          <w:p>
            <w:pPr>
              <w:spacing w:after="0"/>
              <w:rPr>
                <w:sz w:val="21"/>
                <w:szCs w:val="21"/>
                <w:color w:val="auto"/>
              </w:rPr>
            </w:pPr>
          </w:p>
        </w:tc>
        <w:tc>
          <w:tcPr>
            <w:tcW w:w="80" w:type="dxa"/>
            <w:vAlign w:val="bottom"/>
          </w:tcPr>
          <w:p>
            <w:pPr>
              <w:spacing w:after="0"/>
              <w:rPr>
                <w:sz w:val="21"/>
                <w:szCs w:val="21"/>
                <w:color w:val="auto"/>
              </w:rPr>
            </w:pPr>
          </w:p>
        </w:tc>
        <w:tc>
          <w:tcPr>
            <w:tcW w:w="9060" w:type="dxa"/>
            <w:vAlign w:val="bottom"/>
            <w:gridSpan w:val="3"/>
          </w:tcPr>
          <w:p>
            <w:pPr>
              <w:ind w:left="40"/>
              <w:spacing w:after="0"/>
              <w:rPr>
                <w:sz w:val="20"/>
                <w:szCs w:val="20"/>
                <w:color w:val="auto"/>
              </w:rPr>
            </w:pPr>
            <w:r>
              <w:rPr>
                <w:rFonts w:ascii="Arial" w:cs="Arial" w:eastAsia="Arial" w:hAnsi="Arial"/>
                <w:sz w:val="14"/>
                <w:szCs w:val="14"/>
                <w:color w:val="auto"/>
              </w:rPr>
              <w:t xml:space="preserve">•  We believe the Apergy spin-off will create the </w:t>
            </w:r>
            <w:r>
              <w:rPr>
                <w:rFonts w:ascii="Arial" w:cs="Arial" w:eastAsia="Arial" w:hAnsi="Arial"/>
                <w:sz w:val="14"/>
                <w:szCs w:val="14"/>
                <w:b w:val="1"/>
                <w:bCs w:val="1"/>
                <w:color w:val="32406B"/>
              </w:rPr>
              <w:t>best long-term results</w:t>
            </w:r>
            <w:r>
              <w:rPr>
                <w:rFonts w:ascii="Arial" w:cs="Arial" w:eastAsia="Arial" w:hAnsi="Arial"/>
                <w:sz w:val="14"/>
                <w:szCs w:val="14"/>
                <w:color w:val="auto"/>
              </w:rPr>
              <w:t xml:space="preserve"> for the business and the </w:t>
            </w:r>
            <w:r>
              <w:rPr>
                <w:rFonts w:ascii="Arial" w:cs="Arial" w:eastAsia="Arial" w:hAnsi="Arial"/>
                <w:sz w:val="14"/>
                <w:szCs w:val="14"/>
                <w:b w:val="1"/>
                <w:bCs w:val="1"/>
                <w:color w:val="32406B"/>
              </w:rPr>
              <w:t>most value for shareholders</w:t>
            </w:r>
            <w:r>
              <w:rPr>
                <w:rFonts w:ascii="Arial" w:cs="Arial" w:eastAsia="Arial" w:hAnsi="Arial"/>
                <w:sz w:val="14"/>
                <w:szCs w:val="14"/>
                <w:color w:val="auto"/>
              </w:rPr>
              <w:t>.</w:t>
            </w:r>
          </w:p>
        </w:tc>
        <w:tc>
          <w:tcPr>
            <w:tcW w:w="1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80" w:type="dxa"/>
            <w:vAlign w:val="bottom"/>
            <w:tcBorders>
              <w:left w:val="single" w:sz="8" w:color="auto"/>
            </w:tcBorders>
            <w:shd w:val="clear" w:color="auto" w:fill="32406B"/>
          </w:tcPr>
          <w:p>
            <w:pPr>
              <w:spacing w:after="0"/>
              <w:rPr>
                <w:sz w:val="21"/>
                <w:szCs w:val="21"/>
                <w:color w:val="auto"/>
              </w:rPr>
            </w:pPr>
          </w:p>
        </w:tc>
        <w:tc>
          <w:tcPr>
            <w:tcW w:w="80" w:type="dxa"/>
            <w:vAlign w:val="bottom"/>
          </w:tcPr>
          <w:p>
            <w:pPr>
              <w:spacing w:after="0"/>
              <w:rPr>
                <w:sz w:val="21"/>
                <w:szCs w:val="21"/>
                <w:color w:val="auto"/>
              </w:rPr>
            </w:pPr>
          </w:p>
        </w:tc>
        <w:tc>
          <w:tcPr>
            <w:tcW w:w="9060" w:type="dxa"/>
            <w:vAlign w:val="bottom"/>
            <w:gridSpan w:val="3"/>
          </w:tcPr>
          <w:p>
            <w:pPr>
              <w:ind w:left="40"/>
              <w:spacing w:after="0"/>
              <w:rPr>
                <w:sz w:val="20"/>
                <w:szCs w:val="20"/>
                <w:color w:val="auto"/>
              </w:rPr>
            </w:pPr>
            <w:r>
              <w:rPr>
                <w:rFonts w:ascii="Arial" w:cs="Arial" w:eastAsia="Arial" w:hAnsi="Arial"/>
                <w:sz w:val="14"/>
                <w:szCs w:val="14"/>
                <w:color w:val="auto"/>
              </w:rPr>
              <w:t xml:space="preserve">•  Our remaining </w:t>
            </w:r>
            <w:r>
              <w:rPr>
                <w:rFonts w:ascii="Arial" w:cs="Arial" w:eastAsia="Arial" w:hAnsi="Arial"/>
                <w:sz w:val="14"/>
                <w:szCs w:val="14"/>
                <w:b w:val="1"/>
                <w:bCs w:val="1"/>
                <w:color w:val="32406B"/>
              </w:rPr>
              <w:t>core platform businesses</w:t>
            </w:r>
            <w:r>
              <w:rPr>
                <w:rFonts w:ascii="Arial" w:cs="Arial" w:eastAsia="Arial" w:hAnsi="Arial"/>
                <w:sz w:val="14"/>
                <w:szCs w:val="14"/>
                <w:color w:val="auto"/>
              </w:rPr>
              <w:t xml:space="preserve"> are well-positioned for </w:t>
            </w:r>
            <w:r>
              <w:rPr>
                <w:rFonts w:ascii="Arial" w:cs="Arial" w:eastAsia="Arial" w:hAnsi="Arial"/>
                <w:sz w:val="14"/>
                <w:szCs w:val="14"/>
                <w:b w:val="1"/>
                <w:bCs w:val="1"/>
                <w:color w:val="32406B"/>
              </w:rPr>
              <w:t>long-term sustainable growth and returns</w:t>
            </w:r>
            <w:r>
              <w:rPr>
                <w:rFonts w:ascii="Arial" w:cs="Arial" w:eastAsia="Arial" w:hAnsi="Arial"/>
                <w:sz w:val="14"/>
                <w:szCs w:val="14"/>
                <w:color w:val="auto"/>
              </w:rPr>
              <w:t>.</w:t>
            </w:r>
          </w:p>
        </w:tc>
        <w:tc>
          <w:tcPr>
            <w:tcW w:w="1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79"/>
        </w:trPr>
        <w:tc>
          <w:tcPr>
            <w:tcW w:w="1380" w:type="dxa"/>
            <w:vAlign w:val="bottom"/>
            <w:tcBorders>
              <w:left w:val="single" w:sz="8" w:color="auto"/>
              <w:bottom w:val="single" w:sz="8" w:color="32406B"/>
            </w:tcBorders>
            <w:shd w:val="clear" w:color="auto" w:fill="32406B"/>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9060" w:type="dxa"/>
            <w:vAlign w:val="bottom"/>
            <w:tcBorders>
              <w:bottom w:val="single" w:sz="8" w:color="auto"/>
            </w:tcBorders>
            <w:gridSpan w:val="3"/>
          </w:tcPr>
          <w:p>
            <w:pPr>
              <w:spacing w:after="0"/>
              <w:rPr>
                <w:sz w:val="6"/>
                <w:szCs w:val="6"/>
                <w:color w:val="auto"/>
              </w:rPr>
            </w:pPr>
          </w:p>
        </w:tc>
        <w:tc>
          <w:tcPr>
            <w:tcW w:w="1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1380" w:type="dxa"/>
            <w:vAlign w:val="bottom"/>
            <w:tcBorders>
              <w:left w:val="single" w:sz="8" w:color="auto"/>
            </w:tcBorders>
            <w:shd w:val="clear" w:color="auto" w:fill="32406B"/>
          </w:tcPr>
          <w:p>
            <w:pPr>
              <w:ind w:left="160"/>
              <w:spacing w:after="0"/>
              <w:rPr>
                <w:sz w:val="20"/>
                <w:szCs w:val="20"/>
                <w:color w:val="auto"/>
              </w:rPr>
            </w:pPr>
            <w:r>
              <w:rPr>
                <w:rFonts w:ascii="Arial" w:cs="Arial" w:eastAsia="Arial" w:hAnsi="Arial"/>
                <w:sz w:val="14"/>
                <w:szCs w:val="14"/>
                <w:b w:val="1"/>
                <w:bCs w:val="1"/>
                <w:color w:val="FFFFFF"/>
              </w:rPr>
              <w:t>Other Portfolio &amp;</w:t>
            </w:r>
          </w:p>
        </w:tc>
        <w:tc>
          <w:tcPr>
            <w:tcW w:w="80" w:type="dxa"/>
            <w:vAlign w:val="bottom"/>
          </w:tcPr>
          <w:p>
            <w:pPr>
              <w:spacing w:after="0"/>
              <w:rPr>
                <w:sz w:val="17"/>
                <w:szCs w:val="17"/>
                <w:color w:val="auto"/>
              </w:rPr>
            </w:pPr>
          </w:p>
        </w:tc>
        <w:tc>
          <w:tcPr>
            <w:tcW w:w="9060" w:type="dxa"/>
            <w:vAlign w:val="bottom"/>
            <w:gridSpan w:val="3"/>
          </w:tcPr>
          <w:p>
            <w:pPr>
              <w:ind w:left="40"/>
              <w:spacing w:after="0"/>
              <w:rPr>
                <w:sz w:val="20"/>
                <w:szCs w:val="20"/>
                <w:color w:val="auto"/>
              </w:rPr>
            </w:pPr>
            <w:r>
              <w:rPr>
                <w:rFonts w:ascii="Arial" w:cs="Arial" w:eastAsia="Arial" w:hAnsi="Arial"/>
                <w:sz w:val="14"/>
                <w:szCs w:val="14"/>
                <w:color w:val="auto"/>
              </w:rPr>
              <w:t xml:space="preserve">•  We made a total of </w:t>
            </w:r>
            <w:r>
              <w:rPr>
                <w:rFonts w:ascii="Arial" w:cs="Arial" w:eastAsia="Arial" w:hAnsi="Arial"/>
                <w:sz w:val="14"/>
                <w:szCs w:val="14"/>
                <w:b w:val="1"/>
                <w:bCs w:val="1"/>
                <w:color w:val="32406B"/>
              </w:rPr>
              <w:t>three acquisitions</w:t>
            </w:r>
            <w:r>
              <w:rPr>
                <w:rFonts w:ascii="Arial" w:cs="Arial" w:eastAsia="Arial" w:hAnsi="Arial"/>
                <w:sz w:val="14"/>
                <w:szCs w:val="14"/>
                <w:color w:val="auto"/>
              </w:rPr>
              <w:t xml:space="preserve"> for an aggregate consideration of $43.1 million, net of cash acquired, including the acquisition of</w:t>
            </w:r>
          </w:p>
        </w:tc>
        <w:tc>
          <w:tcPr>
            <w:tcW w:w="1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1380" w:type="dxa"/>
            <w:vAlign w:val="bottom"/>
            <w:tcBorders>
              <w:left w:val="single" w:sz="8" w:color="auto"/>
            </w:tcBorders>
            <w:shd w:val="clear" w:color="auto" w:fill="32406B"/>
          </w:tcPr>
          <w:p>
            <w:pPr>
              <w:ind w:left="160"/>
              <w:spacing w:after="0"/>
              <w:rPr>
                <w:sz w:val="20"/>
                <w:szCs w:val="20"/>
                <w:color w:val="auto"/>
              </w:rPr>
            </w:pPr>
            <w:r>
              <w:rPr>
                <w:rFonts w:ascii="Arial" w:cs="Arial" w:eastAsia="Arial" w:hAnsi="Arial"/>
                <w:sz w:val="14"/>
                <w:szCs w:val="14"/>
                <w:b w:val="1"/>
                <w:bCs w:val="1"/>
                <w:color w:val="FFFFFF"/>
              </w:rPr>
              <w:t>Strategic Actions</w:t>
            </w:r>
          </w:p>
        </w:tc>
        <w:tc>
          <w:tcPr>
            <w:tcW w:w="80" w:type="dxa"/>
            <w:vAlign w:val="bottom"/>
          </w:tcPr>
          <w:p>
            <w:pPr>
              <w:spacing w:after="0"/>
              <w:rPr>
                <w:sz w:val="15"/>
                <w:szCs w:val="15"/>
                <w:color w:val="auto"/>
              </w:rPr>
            </w:pPr>
          </w:p>
        </w:tc>
        <w:tc>
          <w:tcPr>
            <w:tcW w:w="9060" w:type="dxa"/>
            <w:vAlign w:val="bottom"/>
            <w:gridSpan w:val="3"/>
          </w:tcPr>
          <w:p>
            <w:pPr>
              <w:ind w:left="220"/>
              <w:spacing w:after="0"/>
              <w:rPr>
                <w:sz w:val="20"/>
                <w:szCs w:val="20"/>
                <w:color w:val="auto"/>
              </w:rPr>
            </w:pPr>
            <w:r>
              <w:rPr>
                <w:rFonts w:ascii="Arial" w:cs="Arial" w:eastAsia="Arial" w:hAnsi="Arial"/>
                <w:sz w:val="14"/>
                <w:szCs w:val="14"/>
                <w:b w:val="1"/>
                <w:bCs w:val="1"/>
                <w:color w:val="32406B"/>
              </w:rPr>
              <w:t xml:space="preserve">Caldera Graphics S.A.S. </w:t>
            </w:r>
            <w:r>
              <w:rPr>
                <w:rFonts w:ascii="Arial" w:cs="Arial" w:eastAsia="Arial" w:hAnsi="Arial"/>
                <w:sz w:val="14"/>
                <w:szCs w:val="14"/>
                <w:color w:val="000000"/>
              </w:rPr>
              <w:t>which enhances our ability to serve the global digital textile printing market with its high-quality technical</w:t>
            </w:r>
          </w:p>
        </w:tc>
        <w:tc>
          <w:tcPr>
            <w:tcW w:w="1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1380" w:type="dxa"/>
            <w:vAlign w:val="bottom"/>
            <w:tcBorders>
              <w:left w:val="single" w:sz="8" w:color="auto"/>
            </w:tcBorders>
            <w:shd w:val="clear" w:color="auto" w:fill="32406B"/>
          </w:tcPr>
          <w:p>
            <w:pPr>
              <w:spacing w:after="0"/>
              <w:rPr>
                <w:sz w:val="14"/>
                <w:szCs w:val="14"/>
                <w:color w:val="auto"/>
              </w:rPr>
            </w:pPr>
          </w:p>
        </w:tc>
        <w:tc>
          <w:tcPr>
            <w:tcW w:w="80" w:type="dxa"/>
            <w:vAlign w:val="bottom"/>
          </w:tcPr>
          <w:p>
            <w:pPr>
              <w:spacing w:after="0"/>
              <w:rPr>
                <w:sz w:val="14"/>
                <w:szCs w:val="14"/>
                <w:color w:val="auto"/>
              </w:rPr>
            </w:pPr>
          </w:p>
        </w:tc>
        <w:tc>
          <w:tcPr>
            <w:tcW w:w="3460" w:type="dxa"/>
            <w:vAlign w:val="bottom"/>
          </w:tcPr>
          <w:p>
            <w:pPr>
              <w:ind w:left="220"/>
              <w:spacing w:after="0"/>
              <w:rPr>
                <w:sz w:val="20"/>
                <w:szCs w:val="20"/>
                <w:color w:val="auto"/>
              </w:rPr>
            </w:pPr>
            <w:r>
              <w:rPr>
                <w:rFonts w:ascii="Arial" w:cs="Arial" w:eastAsia="Arial" w:hAnsi="Arial"/>
                <w:sz w:val="14"/>
                <w:szCs w:val="14"/>
                <w:color w:val="auto"/>
              </w:rPr>
              <w:t>software designed for the digital printing industry.</w:t>
            </w:r>
          </w:p>
        </w:tc>
        <w:tc>
          <w:tcPr>
            <w:tcW w:w="258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1380" w:type="dxa"/>
            <w:vAlign w:val="bottom"/>
            <w:tcBorders>
              <w:left w:val="single" w:sz="8" w:color="auto"/>
            </w:tcBorders>
            <w:shd w:val="clear" w:color="auto" w:fill="32406B"/>
          </w:tcPr>
          <w:p>
            <w:pPr>
              <w:spacing w:after="0"/>
              <w:rPr>
                <w:sz w:val="18"/>
                <w:szCs w:val="18"/>
                <w:color w:val="auto"/>
              </w:rPr>
            </w:pPr>
          </w:p>
        </w:tc>
        <w:tc>
          <w:tcPr>
            <w:tcW w:w="80" w:type="dxa"/>
            <w:vAlign w:val="bottom"/>
          </w:tcPr>
          <w:p>
            <w:pPr>
              <w:spacing w:after="0"/>
              <w:rPr>
                <w:sz w:val="18"/>
                <w:szCs w:val="18"/>
                <w:color w:val="auto"/>
              </w:rPr>
            </w:pPr>
          </w:p>
        </w:tc>
        <w:tc>
          <w:tcPr>
            <w:tcW w:w="9060" w:type="dxa"/>
            <w:vAlign w:val="bottom"/>
            <w:gridSpan w:val="3"/>
          </w:tcPr>
          <w:p>
            <w:pPr>
              <w:ind w:left="40"/>
              <w:spacing w:after="0"/>
              <w:rPr>
                <w:sz w:val="20"/>
                <w:szCs w:val="20"/>
                <w:color w:val="auto"/>
              </w:rPr>
            </w:pPr>
            <w:r>
              <w:rPr>
                <w:rFonts w:ascii="Arial" w:cs="Arial" w:eastAsia="Arial" w:hAnsi="Arial"/>
                <w:sz w:val="14"/>
                <w:szCs w:val="14"/>
                <w:color w:val="auto"/>
              </w:rPr>
              <w:t xml:space="preserve">•  As part of the regular review of our portfolio, we completed the divestitures of </w:t>
            </w:r>
            <w:r>
              <w:rPr>
                <w:rFonts w:ascii="Arial" w:cs="Arial" w:eastAsia="Arial" w:hAnsi="Arial"/>
                <w:sz w:val="14"/>
                <w:szCs w:val="14"/>
                <w:b w:val="1"/>
                <w:bCs w:val="1"/>
                <w:color w:val="32406B"/>
              </w:rPr>
              <w:t>Performance Motorsports International</w:t>
            </w:r>
            <w:r>
              <w:rPr>
                <w:rFonts w:ascii="Arial" w:cs="Arial" w:eastAsia="Arial" w:hAnsi="Arial"/>
                <w:sz w:val="14"/>
                <w:szCs w:val="14"/>
                <w:color w:val="auto"/>
              </w:rPr>
              <w:t xml:space="preserve"> and the consumer</w:t>
            </w: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380" w:type="dxa"/>
            <w:vAlign w:val="bottom"/>
            <w:tcBorders>
              <w:left w:val="single" w:sz="8" w:color="auto"/>
            </w:tcBorders>
            <w:shd w:val="clear" w:color="auto" w:fill="32406B"/>
          </w:tcPr>
          <w:p>
            <w:pPr>
              <w:spacing w:after="0"/>
              <w:rPr>
                <w:sz w:val="16"/>
                <w:szCs w:val="16"/>
                <w:color w:val="auto"/>
              </w:rPr>
            </w:pPr>
          </w:p>
        </w:tc>
        <w:tc>
          <w:tcPr>
            <w:tcW w:w="80" w:type="dxa"/>
            <w:vAlign w:val="bottom"/>
          </w:tcPr>
          <w:p>
            <w:pPr>
              <w:spacing w:after="0"/>
              <w:rPr>
                <w:sz w:val="16"/>
                <w:szCs w:val="16"/>
                <w:color w:val="auto"/>
              </w:rPr>
            </w:pPr>
          </w:p>
        </w:tc>
        <w:tc>
          <w:tcPr>
            <w:tcW w:w="6040" w:type="dxa"/>
            <w:vAlign w:val="bottom"/>
            <w:gridSpan w:val="2"/>
          </w:tcPr>
          <w:p>
            <w:pPr>
              <w:ind w:left="220"/>
              <w:spacing w:after="0"/>
              <w:rPr>
                <w:sz w:val="20"/>
                <w:szCs w:val="20"/>
                <w:color w:val="auto"/>
              </w:rPr>
            </w:pPr>
            <w:r>
              <w:rPr>
                <w:rFonts w:ascii="Arial" w:cs="Arial" w:eastAsia="Arial" w:hAnsi="Arial"/>
                <w:sz w:val="14"/>
                <w:szCs w:val="14"/>
                <w:color w:val="auto"/>
              </w:rPr>
              <w:t xml:space="preserve">and industrial winch business of </w:t>
            </w:r>
            <w:r>
              <w:rPr>
                <w:rFonts w:ascii="Arial" w:cs="Arial" w:eastAsia="Arial" w:hAnsi="Arial"/>
                <w:sz w:val="14"/>
                <w:szCs w:val="14"/>
                <w:b w:val="1"/>
                <w:bCs w:val="1"/>
                <w:color w:val="32406B"/>
              </w:rPr>
              <w:t>Warn Industries Inc.</w:t>
            </w:r>
          </w:p>
        </w:tc>
        <w:tc>
          <w:tcPr>
            <w:tcW w:w="302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1380" w:type="dxa"/>
            <w:vAlign w:val="bottom"/>
            <w:tcBorders>
              <w:left w:val="single" w:sz="8" w:color="auto"/>
            </w:tcBorders>
            <w:shd w:val="clear" w:color="auto" w:fill="32406B"/>
          </w:tcPr>
          <w:p>
            <w:pPr>
              <w:spacing w:after="0"/>
              <w:rPr>
                <w:sz w:val="20"/>
                <w:szCs w:val="20"/>
                <w:color w:val="auto"/>
              </w:rPr>
            </w:pPr>
          </w:p>
        </w:tc>
        <w:tc>
          <w:tcPr>
            <w:tcW w:w="80" w:type="dxa"/>
            <w:vAlign w:val="bottom"/>
          </w:tcPr>
          <w:p>
            <w:pPr>
              <w:spacing w:after="0"/>
              <w:rPr>
                <w:sz w:val="20"/>
                <w:szCs w:val="20"/>
                <w:color w:val="auto"/>
              </w:rPr>
            </w:pPr>
          </w:p>
        </w:tc>
        <w:tc>
          <w:tcPr>
            <w:tcW w:w="9060" w:type="dxa"/>
            <w:vAlign w:val="bottom"/>
            <w:gridSpan w:val="3"/>
          </w:tcPr>
          <w:p>
            <w:pPr>
              <w:ind w:left="40"/>
              <w:spacing w:after="0"/>
              <w:rPr>
                <w:sz w:val="20"/>
                <w:szCs w:val="20"/>
                <w:color w:val="auto"/>
              </w:rPr>
            </w:pPr>
            <w:r>
              <w:rPr>
                <w:rFonts w:ascii="Arial" w:cs="Arial" w:eastAsia="Arial" w:hAnsi="Arial"/>
                <w:sz w:val="14"/>
                <w:szCs w:val="14"/>
                <w:color w:val="auto"/>
              </w:rPr>
              <w:t xml:space="preserve">•  We recorded </w:t>
            </w:r>
            <w:r>
              <w:rPr>
                <w:rFonts w:ascii="Arial" w:cs="Arial" w:eastAsia="Arial" w:hAnsi="Arial"/>
                <w:sz w:val="14"/>
                <w:szCs w:val="14"/>
                <w:b w:val="1"/>
                <w:bCs w:val="1"/>
                <w:color w:val="32406B"/>
              </w:rPr>
              <w:t>rightsizing</w:t>
            </w:r>
            <w:r>
              <w:rPr>
                <w:rFonts w:ascii="Arial" w:cs="Arial" w:eastAsia="Arial" w:hAnsi="Arial"/>
                <w:sz w:val="14"/>
                <w:szCs w:val="14"/>
                <w:color w:val="auto"/>
              </w:rPr>
              <w:t xml:space="preserve"> and other related costs of $56.3 million in the fourth quarter of 2017 to better align our cost structure in</w:t>
            </w:r>
          </w:p>
        </w:tc>
        <w:tc>
          <w:tcPr>
            <w:tcW w:w="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1380" w:type="dxa"/>
            <w:vAlign w:val="bottom"/>
            <w:tcBorders>
              <w:left w:val="single" w:sz="8" w:color="auto"/>
            </w:tcBorders>
            <w:shd w:val="clear" w:color="auto" w:fill="32406B"/>
          </w:tcPr>
          <w:p>
            <w:pPr>
              <w:spacing w:after="0"/>
              <w:rPr>
                <w:sz w:val="14"/>
                <w:szCs w:val="14"/>
                <w:color w:val="auto"/>
              </w:rPr>
            </w:pPr>
          </w:p>
        </w:tc>
        <w:tc>
          <w:tcPr>
            <w:tcW w:w="80" w:type="dxa"/>
            <w:vAlign w:val="bottom"/>
          </w:tcPr>
          <w:p>
            <w:pPr>
              <w:spacing w:after="0"/>
              <w:rPr>
                <w:sz w:val="14"/>
                <w:szCs w:val="14"/>
                <w:color w:val="auto"/>
              </w:rPr>
            </w:pPr>
          </w:p>
        </w:tc>
        <w:tc>
          <w:tcPr>
            <w:tcW w:w="3460" w:type="dxa"/>
            <w:vAlign w:val="bottom"/>
          </w:tcPr>
          <w:p>
            <w:pPr>
              <w:ind w:left="220"/>
              <w:spacing w:after="0"/>
              <w:rPr>
                <w:sz w:val="20"/>
                <w:szCs w:val="20"/>
                <w:color w:val="auto"/>
              </w:rPr>
            </w:pPr>
            <w:r>
              <w:rPr>
                <w:rFonts w:ascii="Arial" w:cs="Arial" w:eastAsia="Arial" w:hAnsi="Arial"/>
                <w:sz w:val="14"/>
                <w:szCs w:val="14"/>
                <w:color w:val="auto"/>
              </w:rPr>
              <w:t>preparation for the Apergy spin-off.</w:t>
            </w:r>
          </w:p>
        </w:tc>
        <w:tc>
          <w:tcPr>
            <w:tcW w:w="258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1380" w:type="dxa"/>
            <w:vAlign w:val="bottom"/>
            <w:tcBorders>
              <w:left w:val="single" w:sz="8" w:color="auto"/>
              <w:bottom w:val="single" w:sz="8" w:color="32406B"/>
            </w:tcBorders>
            <w:shd w:val="clear" w:color="auto" w:fill="32406B"/>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9060" w:type="dxa"/>
            <w:vAlign w:val="bottom"/>
            <w:tcBorders>
              <w:bottom w:val="single" w:sz="8" w:color="auto"/>
            </w:tcBorders>
            <w:gridSpan w:val="3"/>
          </w:tcPr>
          <w:p>
            <w:pPr>
              <w:spacing w:after="0"/>
              <w:rPr>
                <w:sz w:val="6"/>
                <w:szCs w:val="6"/>
                <w:color w:val="auto"/>
              </w:rPr>
            </w:pPr>
          </w:p>
        </w:tc>
        <w:tc>
          <w:tcPr>
            <w:tcW w:w="1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1380" w:type="dxa"/>
            <w:vAlign w:val="bottom"/>
            <w:tcBorders>
              <w:left w:val="single" w:sz="8" w:color="auto"/>
            </w:tcBorders>
            <w:shd w:val="clear" w:color="auto" w:fill="32406B"/>
          </w:tcPr>
          <w:p>
            <w:pPr>
              <w:ind w:left="160"/>
              <w:spacing w:after="0"/>
              <w:rPr>
                <w:sz w:val="20"/>
                <w:szCs w:val="20"/>
                <w:color w:val="auto"/>
              </w:rPr>
            </w:pPr>
            <w:r>
              <w:rPr>
                <w:rFonts w:ascii="Arial" w:cs="Arial" w:eastAsia="Arial" w:hAnsi="Arial"/>
                <w:sz w:val="14"/>
                <w:szCs w:val="14"/>
                <w:b w:val="1"/>
                <w:bCs w:val="1"/>
                <w:color w:val="FFFFFF"/>
              </w:rPr>
              <w:t>Capital Return</w:t>
            </w:r>
          </w:p>
        </w:tc>
        <w:tc>
          <w:tcPr>
            <w:tcW w:w="80" w:type="dxa"/>
            <w:vAlign w:val="bottom"/>
          </w:tcPr>
          <w:p>
            <w:pPr>
              <w:spacing w:after="0"/>
              <w:rPr>
                <w:sz w:val="17"/>
                <w:szCs w:val="17"/>
                <w:color w:val="auto"/>
              </w:rPr>
            </w:pPr>
          </w:p>
        </w:tc>
        <w:tc>
          <w:tcPr>
            <w:tcW w:w="9060" w:type="dxa"/>
            <w:vAlign w:val="bottom"/>
            <w:gridSpan w:val="3"/>
          </w:tcPr>
          <w:p>
            <w:pPr>
              <w:ind w:left="40"/>
              <w:spacing w:after="0" w:line="197" w:lineRule="exact"/>
              <w:rPr>
                <w:sz w:val="20"/>
                <w:szCs w:val="20"/>
                <w:color w:val="auto"/>
              </w:rPr>
            </w:pPr>
            <w:r>
              <w:rPr>
                <w:rFonts w:ascii="Arial" w:cs="Arial" w:eastAsia="Arial" w:hAnsi="Arial"/>
                <w:sz w:val="13"/>
                <w:szCs w:val="13"/>
                <w:color w:val="auto"/>
              </w:rPr>
              <w:t xml:space="preserve">•  We continued our history of providing regular capital returns to shareholders. We increased our quarterly dividend by 6%, marking our </w:t>
            </w:r>
            <w:r>
              <w:rPr>
                <w:rFonts w:ascii="Arial" w:cs="Arial" w:eastAsia="Arial" w:hAnsi="Arial"/>
                <w:sz w:val="13"/>
                <w:szCs w:val="13"/>
                <w:b w:val="1"/>
                <w:bCs w:val="1"/>
                <w:color w:val="32406B"/>
              </w:rPr>
              <w:t>62</w:t>
            </w:r>
            <w:r>
              <w:rPr>
                <w:rFonts w:ascii="Arial" w:cs="Arial" w:eastAsia="Arial" w:hAnsi="Arial"/>
                <w:sz w:val="22"/>
                <w:szCs w:val="22"/>
                <w:b w:val="1"/>
                <w:bCs w:val="1"/>
                <w:color w:val="32406B"/>
                <w:vertAlign w:val="superscript"/>
              </w:rPr>
              <w:t>nd</w:t>
            </w:r>
          </w:p>
        </w:tc>
        <w:tc>
          <w:tcPr>
            <w:tcW w:w="1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tcBorders>
            <w:shd w:val="clear" w:color="auto" w:fill="32406B"/>
          </w:tcPr>
          <w:p>
            <w:pPr>
              <w:ind w:left="160"/>
              <w:spacing w:after="0"/>
              <w:rPr>
                <w:sz w:val="20"/>
                <w:szCs w:val="20"/>
                <w:color w:val="auto"/>
              </w:rPr>
            </w:pPr>
            <w:r>
              <w:rPr>
                <w:rFonts w:ascii="Arial" w:cs="Arial" w:eastAsia="Arial" w:hAnsi="Arial"/>
                <w:sz w:val="14"/>
                <w:szCs w:val="14"/>
                <w:b w:val="1"/>
                <w:bCs w:val="1"/>
                <w:color w:val="FFFFFF"/>
              </w:rPr>
              <w:t>Program</w:t>
            </w:r>
          </w:p>
        </w:tc>
        <w:tc>
          <w:tcPr>
            <w:tcW w:w="80" w:type="dxa"/>
            <w:vAlign w:val="bottom"/>
          </w:tcPr>
          <w:p>
            <w:pPr>
              <w:spacing w:after="0"/>
              <w:rPr>
                <w:sz w:val="14"/>
                <w:szCs w:val="14"/>
                <w:color w:val="auto"/>
              </w:rPr>
            </w:pPr>
          </w:p>
        </w:tc>
        <w:tc>
          <w:tcPr>
            <w:tcW w:w="9060" w:type="dxa"/>
            <w:vAlign w:val="bottom"/>
            <w:gridSpan w:val="3"/>
          </w:tcPr>
          <w:p>
            <w:pPr>
              <w:ind w:left="220"/>
              <w:spacing w:after="0"/>
              <w:rPr>
                <w:sz w:val="20"/>
                <w:szCs w:val="20"/>
                <w:color w:val="auto"/>
              </w:rPr>
            </w:pPr>
            <w:r>
              <w:rPr>
                <w:rFonts w:ascii="Arial" w:cs="Arial" w:eastAsia="Arial" w:hAnsi="Arial"/>
                <w:sz w:val="14"/>
                <w:szCs w:val="14"/>
                <w:b w:val="1"/>
                <w:bCs w:val="1"/>
                <w:color w:val="32406B"/>
              </w:rPr>
              <w:t>consecutive year of dividend increases</w:t>
            </w:r>
            <w:r>
              <w:rPr>
                <w:rFonts w:ascii="Arial" w:cs="Arial" w:eastAsia="Arial" w:hAnsi="Arial"/>
                <w:sz w:val="14"/>
                <w:szCs w:val="14"/>
                <w:color w:val="000000"/>
              </w:rPr>
              <w:t>. We have the</w:t>
            </w:r>
            <w:r>
              <w:rPr>
                <w:rFonts w:ascii="Arial" w:cs="Arial" w:eastAsia="Arial" w:hAnsi="Arial"/>
                <w:sz w:val="14"/>
                <w:szCs w:val="14"/>
                <w:b w:val="1"/>
                <w:bCs w:val="1"/>
                <w:color w:val="32406B"/>
              </w:rPr>
              <w:t xml:space="preserve"> third longest record of consecutive annual dividend increases of all listed</w:t>
            </w:r>
          </w:p>
        </w:tc>
        <w:tc>
          <w:tcPr>
            <w:tcW w:w="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380" w:type="dxa"/>
            <w:vAlign w:val="bottom"/>
            <w:tcBorders>
              <w:left w:val="single" w:sz="8" w:color="auto"/>
            </w:tcBorders>
            <w:shd w:val="clear" w:color="auto" w:fill="32406B"/>
          </w:tcPr>
          <w:p>
            <w:pPr>
              <w:spacing w:after="0"/>
              <w:rPr>
                <w:sz w:val="16"/>
                <w:szCs w:val="16"/>
                <w:color w:val="auto"/>
              </w:rPr>
            </w:pPr>
          </w:p>
        </w:tc>
        <w:tc>
          <w:tcPr>
            <w:tcW w:w="80" w:type="dxa"/>
            <w:vAlign w:val="bottom"/>
          </w:tcPr>
          <w:p>
            <w:pPr>
              <w:spacing w:after="0"/>
              <w:rPr>
                <w:sz w:val="16"/>
                <w:szCs w:val="16"/>
                <w:color w:val="auto"/>
              </w:rPr>
            </w:pPr>
          </w:p>
        </w:tc>
        <w:tc>
          <w:tcPr>
            <w:tcW w:w="6040" w:type="dxa"/>
            <w:vAlign w:val="bottom"/>
            <w:gridSpan w:val="2"/>
          </w:tcPr>
          <w:p>
            <w:pPr>
              <w:ind w:left="220"/>
              <w:spacing w:after="0"/>
              <w:rPr>
                <w:sz w:val="20"/>
                <w:szCs w:val="20"/>
                <w:color w:val="auto"/>
              </w:rPr>
            </w:pPr>
            <w:r>
              <w:rPr>
                <w:rFonts w:ascii="Arial" w:cs="Arial" w:eastAsia="Arial" w:hAnsi="Arial"/>
                <w:sz w:val="14"/>
                <w:szCs w:val="14"/>
                <w:b w:val="1"/>
                <w:bCs w:val="1"/>
                <w:color w:val="32406B"/>
              </w:rPr>
              <w:t>companies</w:t>
            </w:r>
            <w:r>
              <w:rPr>
                <w:rFonts w:ascii="Arial" w:cs="Arial" w:eastAsia="Arial" w:hAnsi="Arial"/>
                <w:sz w:val="14"/>
                <w:szCs w:val="14"/>
                <w:color w:val="000000"/>
              </w:rPr>
              <w:t>, as reported by Mergent’s Dividend Achievers.</w:t>
            </w:r>
          </w:p>
        </w:tc>
        <w:tc>
          <w:tcPr>
            <w:tcW w:w="302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380" w:type="dxa"/>
            <w:vAlign w:val="bottom"/>
            <w:tcBorders>
              <w:left w:val="single" w:sz="8" w:color="auto"/>
            </w:tcBorders>
            <w:shd w:val="clear" w:color="auto" w:fill="32406B"/>
          </w:tcPr>
          <w:p>
            <w:pPr>
              <w:spacing w:after="0"/>
              <w:rPr>
                <w:sz w:val="18"/>
                <w:szCs w:val="18"/>
                <w:color w:val="auto"/>
              </w:rPr>
            </w:pPr>
          </w:p>
        </w:tc>
        <w:tc>
          <w:tcPr>
            <w:tcW w:w="80" w:type="dxa"/>
            <w:vAlign w:val="bottom"/>
          </w:tcPr>
          <w:p>
            <w:pPr>
              <w:spacing w:after="0"/>
              <w:rPr>
                <w:sz w:val="18"/>
                <w:szCs w:val="18"/>
                <w:color w:val="auto"/>
              </w:rPr>
            </w:pPr>
          </w:p>
        </w:tc>
        <w:tc>
          <w:tcPr>
            <w:tcW w:w="9060" w:type="dxa"/>
            <w:vAlign w:val="bottom"/>
            <w:gridSpan w:val="3"/>
          </w:tcPr>
          <w:p>
            <w:pPr>
              <w:ind w:left="40"/>
              <w:spacing w:after="0"/>
              <w:rPr>
                <w:sz w:val="20"/>
                <w:szCs w:val="20"/>
                <w:color w:val="auto"/>
              </w:rPr>
            </w:pPr>
            <w:r>
              <w:rPr>
                <w:rFonts w:ascii="Arial" w:cs="Arial" w:eastAsia="Arial" w:hAnsi="Arial"/>
                <w:sz w:val="14"/>
                <w:szCs w:val="14"/>
                <w:color w:val="auto"/>
              </w:rPr>
              <w:t>•  As part of the spin-off, Apergy is expected to raise $700 to $800 million of new debt, the proceeds of which will be paid to Dover in the form</w:t>
            </w: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tcBorders>
            <w:shd w:val="clear" w:color="auto" w:fill="32406B"/>
          </w:tcPr>
          <w:p>
            <w:pPr>
              <w:spacing w:after="0"/>
              <w:rPr>
                <w:sz w:val="14"/>
                <w:szCs w:val="14"/>
                <w:color w:val="auto"/>
              </w:rPr>
            </w:pPr>
          </w:p>
        </w:tc>
        <w:tc>
          <w:tcPr>
            <w:tcW w:w="80" w:type="dxa"/>
            <w:vAlign w:val="bottom"/>
          </w:tcPr>
          <w:p>
            <w:pPr>
              <w:spacing w:after="0"/>
              <w:rPr>
                <w:sz w:val="14"/>
                <w:szCs w:val="14"/>
                <w:color w:val="auto"/>
              </w:rPr>
            </w:pPr>
          </w:p>
        </w:tc>
        <w:tc>
          <w:tcPr>
            <w:tcW w:w="9060" w:type="dxa"/>
            <w:vAlign w:val="bottom"/>
            <w:gridSpan w:val="3"/>
          </w:tcPr>
          <w:p>
            <w:pPr>
              <w:ind w:left="220"/>
              <w:spacing w:after="0"/>
              <w:rPr>
                <w:sz w:val="20"/>
                <w:szCs w:val="20"/>
                <w:color w:val="auto"/>
              </w:rPr>
            </w:pPr>
            <w:r>
              <w:rPr>
                <w:rFonts w:ascii="Arial" w:cs="Arial" w:eastAsia="Arial" w:hAnsi="Arial"/>
                <w:sz w:val="14"/>
                <w:szCs w:val="14"/>
                <w:color w:val="auto"/>
              </w:rPr>
              <w:t xml:space="preserve">of a dividend. We anticipate utilizing the proceeds as the primary source of funding for </w:t>
            </w:r>
            <w:r>
              <w:rPr>
                <w:rFonts w:ascii="Arial" w:cs="Arial" w:eastAsia="Arial" w:hAnsi="Arial"/>
                <w:sz w:val="14"/>
                <w:szCs w:val="14"/>
                <w:b w:val="1"/>
                <w:bCs w:val="1"/>
                <w:color w:val="32406B"/>
              </w:rPr>
              <w:t>$1 billion of share repurchases to be completed</w:t>
            </w:r>
          </w:p>
        </w:tc>
        <w:tc>
          <w:tcPr>
            <w:tcW w:w="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380" w:type="dxa"/>
            <w:vAlign w:val="bottom"/>
            <w:tcBorders>
              <w:left w:val="single" w:sz="8" w:color="auto"/>
            </w:tcBorders>
            <w:shd w:val="clear" w:color="auto" w:fill="32406B"/>
          </w:tcPr>
          <w:p>
            <w:pPr>
              <w:spacing w:after="0"/>
              <w:rPr>
                <w:sz w:val="16"/>
                <w:szCs w:val="16"/>
                <w:color w:val="auto"/>
              </w:rPr>
            </w:pPr>
          </w:p>
        </w:tc>
        <w:tc>
          <w:tcPr>
            <w:tcW w:w="80" w:type="dxa"/>
            <w:vAlign w:val="bottom"/>
          </w:tcPr>
          <w:p>
            <w:pPr>
              <w:spacing w:after="0"/>
              <w:rPr>
                <w:sz w:val="16"/>
                <w:szCs w:val="16"/>
                <w:color w:val="auto"/>
              </w:rPr>
            </w:pPr>
          </w:p>
        </w:tc>
        <w:tc>
          <w:tcPr>
            <w:tcW w:w="3460" w:type="dxa"/>
            <w:vAlign w:val="bottom"/>
          </w:tcPr>
          <w:p>
            <w:pPr>
              <w:ind w:left="220"/>
              <w:spacing w:after="0"/>
              <w:rPr>
                <w:sz w:val="20"/>
                <w:szCs w:val="20"/>
                <w:color w:val="auto"/>
              </w:rPr>
            </w:pPr>
            <w:r>
              <w:rPr>
                <w:rFonts w:ascii="Arial" w:cs="Arial" w:eastAsia="Arial" w:hAnsi="Arial"/>
                <w:sz w:val="14"/>
                <w:szCs w:val="14"/>
                <w:b w:val="1"/>
                <w:bCs w:val="1"/>
                <w:color w:val="32406B"/>
              </w:rPr>
              <w:t>in 2018</w:t>
            </w:r>
            <w:r>
              <w:rPr>
                <w:rFonts w:ascii="Arial" w:cs="Arial" w:eastAsia="Arial" w:hAnsi="Arial"/>
                <w:sz w:val="14"/>
                <w:szCs w:val="14"/>
                <w:color w:val="000000"/>
              </w:rPr>
              <w:t>.</w:t>
            </w:r>
          </w:p>
        </w:tc>
        <w:tc>
          <w:tcPr>
            <w:tcW w:w="258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1380" w:type="dxa"/>
            <w:vAlign w:val="bottom"/>
            <w:tcBorders>
              <w:left w:val="single" w:sz="8" w:color="auto"/>
              <w:bottom w:val="single" w:sz="8" w:color="32406B"/>
            </w:tcBorders>
            <w:shd w:val="clear" w:color="auto" w:fill="32406B"/>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9060" w:type="dxa"/>
            <w:vAlign w:val="bottom"/>
            <w:tcBorders>
              <w:bottom w:val="single" w:sz="8" w:color="auto"/>
            </w:tcBorders>
            <w:gridSpan w:val="3"/>
          </w:tcPr>
          <w:p>
            <w:pPr>
              <w:spacing w:after="0"/>
              <w:rPr>
                <w:sz w:val="6"/>
                <w:szCs w:val="6"/>
                <w:color w:val="auto"/>
              </w:rPr>
            </w:pPr>
          </w:p>
        </w:tc>
        <w:tc>
          <w:tcPr>
            <w:tcW w:w="1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1380" w:type="dxa"/>
            <w:vAlign w:val="bottom"/>
            <w:tcBorders>
              <w:left w:val="single" w:sz="8" w:color="auto"/>
            </w:tcBorders>
            <w:shd w:val="clear" w:color="auto" w:fill="32406B"/>
          </w:tcPr>
          <w:p>
            <w:pPr>
              <w:ind w:left="160"/>
              <w:spacing w:after="0"/>
              <w:rPr>
                <w:sz w:val="20"/>
                <w:szCs w:val="20"/>
                <w:color w:val="auto"/>
              </w:rPr>
            </w:pPr>
            <w:r>
              <w:rPr>
                <w:rFonts w:ascii="Arial" w:cs="Arial" w:eastAsia="Arial" w:hAnsi="Arial"/>
                <w:sz w:val="14"/>
                <w:szCs w:val="14"/>
                <w:b w:val="1"/>
                <w:bCs w:val="1"/>
                <w:color w:val="FFFFFF"/>
              </w:rPr>
              <w:t>Investment in</w:t>
            </w:r>
          </w:p>
        </w:tc>
        <w:tc>
          <w:tcPr>
            <w:tcW w:w="80" w:type="dxa"/>
            <w:vAlign w:val="bottom"/>
          </w:tcPr>
          <w:p>
            <w:pPr>
              <w:spacing w:after="0"/>
              <w:rPr>
                <w:sz w:val="17"/>
                <w:szCs w:val="17"/>
                <w:color w:val="auto"/>
              </w:rPr>
            </w:pPr>
          </w:p>
        </w:tc>
        <w:tc>
          <w:tcPr>
            <w:tcW w:w="9060" w:type="dxa"/>
            <w:vAlign w:val="bottom"/>
            <w:gridSpan w:val="3"/>
          </w:tcPr>
          <w:p>
            <w:pPr>
              <w:ind w:left="40"/>
              <w:spacing w:after="0"/>
              <w:rPr>
                <w:sz w:val="20"/>
                <w:szCs w:val="20"/>
                <w:color w:val="auto"/>
              </w:rPr>
            </w:pPr>
            <w:r>
              <w:rPr>
                <w:rFonts w:ascii="Arial" w:cs="Arial" w:eastAsia="Arial" w:hAnsi="Arial"/>
                <w:sz w:val="14"/>
                <w:szCs w:val="14"/>
                <w:color w:val="auto"/>
              </w:rPr>
              <w:t xml:space="preserve">•  We have accelerated our efforts and processes around </w:t>
            </w:r>
            <w:r>
              <w:rPr>
                <w:rFonts w:ascii="Arial" w:cs="Arial" w:eastAsia="Arial" w:hAnsi="Arial"/>
                <w:sz w:val="14"/>
                <w:szCs w:val="14"/>
                <w:b w:val="1"/>
                <w:bCs w:val="1"/>
                <w:color w:val="32406B"/>
              </w:rPr>
              <w:t>innovation</w:t>
            </w:r>
            <w:r>
              <w:rPr>
                <w:rFonts w:ascii="Arial" w:cs="Arial" w:eastAsia="Arial" w:hAnsi="Arial"/>
                <w:sz w:val="14"/>
                <w:szCs w:val="14"/>
                <w:color w:val="auto"/>
              </w:rPr>
              <w:t xml:space="preserve">, including by focusing on </w:t>
            </w:r>
            <w:r>
              <w:rPr>
                <w:rFonts w:ascii="Arial" w:cs="Arial" w:eastAsia="Arial" w:hAnsi="Arial"/>
                <w:sz w:val="14"/>
                <w:szCs w:val="14"/>
                <w:b w:val="1"/>
                <w:bCs w:val="1"/>
                <w:color w:val="32406B"/>
              </w:rPr>
              <w:t>technologies</w:t>
            </w:r>
            <w:r>
              <w:rPr>
                <w:rFonts w:ascii="Arial" w:cs="Arial" w:eastAsia="Arial" w:hAnsi="Arial"/>
                <w:sz w:val="14"/>
                <w:szCs w:val="14"/>
                <w:color w:val="auto"/>
              </w:rPr>
              <w:t xml:space="preserve"> which both create </w:t>
            </w:r>
            <w:r>
              <w:rPr>
                <w:rFonts w:ascii="Arial" w:cs="Arial" w:eastAsia="Arial" w:hAnsi="Arial"/>
                <w:sz w:val="14"/>
                <w:szCs w:val="14"/>
                <w:b w:val="1"/>
                <w:bCs w:val="1"/>
                <w:color w:val="32406B"/>
              </w:rPr>
              <w:t>tangible</w:t>
            </w:r>
          </w:p>
        </w:tc>
        <w:tc>
          <w:tcPr>
            <w:tcW w:w="1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tcBorders>
            <w:shd w:val="clear" w:color="auto" w:fill="32406B"/>
          </w:tcPr>
          <w:p>
            <w:pPr>
              <w:ind w:left="160"/>
              <w:spacing w:after="0"/>
              <w:rPr>
                <w:sz w:val="20"/>
                <w:szCs w:val="20"/>
                <w:color w:val="auto"/>
              </w:rPr>
            </w:pPr>
            <w:r>
              <w:rPr>
                <w:rFonts w:ascii="Arial" w:cs="Arial" w:eastAsia="Arial" w:hAnsi="Arial"/>
                <w:sz w:val="14"/>
                <w:szCs w:val="14"/>
                <w:b w:val="1"/>
                <w:bCs w:val="1"/>
                <w:color w:val="FFFFFF"/>
              </w:rPr>
              <w:t>Sustainable</w:t>
            </w:r>
          </w:p>
        </w:tc>
        <w:tc>
          <w:tcPr>
            <w:tcW w:w="80" w:type="dxa"/>
            <w:vAlign w:val="bottom"/>
          </w:tcPr>
          <w:p>
            <w:pPr>
              <w:spacing w:after="0"/>
              <w:rPr>
                <w:sz w:val="14"/>
                <w:szCs w:val="14"/>
                <w:color w:val="auto"/>
              </w:rPr>
            </w:pPr>
          </w:p>
        </w:tc>
        <w:tc>
          <w:tcPr>
            <w:tcW w:w="6040" w:type="dxa"/>
            <w:vAlign w:val="bottom"/>
            <w:gridSpan w:val="2"/>
          </w:tcPr>
          <w:p>
            <w:pPr>
              <w:ind w:left="220"/>
              <w:spacing w:after="0"/>
              <w:rPr>
                <w:sz w:val="20"/>
                <w:szCs w:val="20"/>
                <w:color w:val="auto"/>
              </w:rPr>
            </w:pPr>
            <w:r>
              <w:rPr>
                <w:rFonts w:ascii="Arial" w:cs="Arial" w:eastAsia="Arial" w:hAnsi="Arial"/>
                <w:sz w:val="14"/>
                <w:szCs w:val="14"/>
                <w:b w:val="1"/>
                <w:bCs w:val="1"/>
                <w:color w:val="32406B"/>
              </w:rPr>
              <w:t xml:space="preserve">value </w:t>
            </w:r>
            <w:r>
              <w:rPr>
                <w:rFonts w:ascii="Arial" w:cs="Arial" w:eastAsia="Arial" w:hAnsi="Arial"/>
                <w:sz w:val="14"/>
                <w:szCs w:val="14"/>
                <w:color w:val="000000"/>
              </w:rPr>
              <w:t>for our customers and enhance the</w:t>
            </w:r>
            <w:r>
              <w:rPr>
                <w:rFonts w:ascii="Arial" w:cs="Arial" w:eastAsia="Arial" w:hAnsi="Arial"/>
                <w:sz w:val="14"/>
                <w:szCs w:val="14"/>
                <w:b w:val="1"/>
                <w:bCs w:val="1"/>
                <w:color w:val="32406B"/>
              </w:rPr>
              <w:t xml:space="preserve"> sustainable nature </w:t>
            </w:r>
            <w:r>
              <w:rPr>
                <w:rFonts w:ascii="Arial" w:cs="Arial" w:eastAsia="Arial" w:hAnsi="Arial"/>
                <w:sz w:val="14"/>
                <w:szCs w:val="14"/>
                <w:color w:val="000000"/>
              </w:rPr>
              <w:t>of our products.</w:t>
            </w:r>
          </w:p>
        </w:tc>
        <w:tc>
          <w:tcPr>
            <w:tcW w:w="302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380" w:type="dxa"/>
            <w:vAlign w:val="bottom"/>
            <w:tcBorders>
              <w:left w:val="single" w:sz="8" w:color="auto"/>
            </w:tcBorders>
            <w:shd w:val="clear" w:color="auto" w:fill="32406B"/>
          </w:tcPr>
          <w:p>
            <w:pPr>
              <w:ind w:left="160"/>
              <w:spacing w:after="0"/>
              <w:rPr>
                <w:sz w:val="20"/>
                <w:szCs w:val="20"/>
                <w:color w:val="auto"/>
              </w:rPr>
            </w:pPr>
            <w:r>
              <w:rPr>
                <w:rFonts w:ascii="Arial" w:cs="Arial" w:eastAsia="Arial" w:hAnsi="Arial"/>
                <w:sz w:val="14"/>
                <w:szCs w:val="14"/>
                <w:b w:val="1"/>
                <w:bCs w:val="1"/>
                <w:color w:val="FFFFFF"/>
              </w:rPr>
              <w:t>Businesses</w:t>
            </w:r>
          </w:p>
        </w:tc>
        <w:tc>
          <w:tcPr>
            <w:tcW w:w="80" w:type="dxa"/>
            <w:vAlign w:val="bottom"/>
          </w:tcPr>
          <w:p>
            <w:pPr>
              <w:spacing w:after="0"/>
              <w:rPr>
                <w:sz w:val="16"/>
                <w:szCs w:val="16"/>
                <w:color w:val="auto"/>
              </w:rPr>
            </w:pPr>
          </w:p>
        </w:tc>
        <w:tc>
          <w:tcPr>
            <w:tcW w:w="9060" w:type="dxa"/>
            <w:vAlign w:val="bottom"/>
            <w:gridSpan w:val="3"/>
            <w:vMerge w:val="restart"/>
          </w:tcPr>
          <w:p>
            <w:pPr>
              <w:ind w:left="40"/>
              <w:spacing w:after="0"/>
              <w:rPr>
                <w:sz w:val="20"/>
                <w:szCs w:val="20"/>
                <w:color w:val="auto"/>
              </w:rPr>
            </w:pPr>
            <w:r>
              <w:rPr>
                <w:rFonts w:ascii="Arial" w:cs="Arial" w:eastAsia="Arial" w:hAnsi="Arial"/>
                <w:sz w:val="14"/>
                <w:szCs w:val="14"/>
                <w:color w:val="auto"/>
              </w:rPr>
              <w:t xml:space="preserve">•  Most notably, product innovations are creating products that help to make a </w:t>
            </w:r>
            <w:r>
              <w:rPr>
                <w:rFonts w:ascii="Arial" w:cs="Arial" w:eastAsia="Arial" w:hAnsi="Arial"/>
                <w:sz w:val="14"/>
                <w:szCs w:val="14"/>
                <w:b w:val="1"/>
                <w:bCs w:val="1"/>
                <w:color w:val="32406B"/>
              </w:rPr>
              <w:t>positive difference for the environment</w:t>
            </w:r>
            <w:r>
              <w:rPr>
                <w:rFonts w:ascii="Arial" w:cs="Arial" w:eastAsia="Arial" w:hAnsi="Arial"/>
                <w:sz w:val="14"/>
                <w:szCs w:val="14"/>
                <w:color w:val="auto"/>
              </w:rPr>
              <w:t xml:space="preserve"> while providing</w:t>
            </w:r>
          </w:p>
        </w:tc>
        <w:tc>
          <w:tcPr>
            <w:tcW w:w="1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1"/>
        </w:trPr>
        <w:tc>
          <w:tcPr>
            <w:tcW w:w="1380" w:type="dxa"/>
            <w:vAlign w:val="bottom"/>
            <w:tcBorders>
              <w:left w:val="single" w:sz="8" w:color="auto"/>
            </w:tcBorders>
            <w:shd w:val="clear" w:color="auto" w:fill="32406B"/>
          </w:tcPr>
          <w:p>
            <w:pPr>
              <w:spacing w:after="0"/>
              <w:rPr>
                <w:sz w:val="6"/>
                <w:szCs w:val="6"/>
                <w:color w:val="auto"/>
              </w:rPr>
            </w:pPr>
          </w:p>
        </w:tc>
        <w:tc>
          <w:tcPr>
            <w:tcW w:w="80" w:type="dxa"/>
            <w:vAlign w:val="bottom"/>
          </w:tcPr>
          <w:p>
            <w:pPr>
              <w:spacing w:after="0"/>
              <w:rPr>
                <w:sz w:val="6"/>
                <w:szCs w:val="6"/>
                <w:color w:val="auto"/>
              </w:rPr>
            </w:pPr>
          </w:p>
        </w:tc>
        <w:tc>
          <w:tcPr>
            <w:tcW w:w="9060" w:type="dxa"/>
            <w:vAlign w:val="bottom"/>
            <w:gridSpan w:val="3"/>
            <w:vMerge w:val="continue"/>
          </w:tcPr>
          <w:p>
            <w:pPr>
              <w:spacing w:after="0"/>
              <w:rPr>
                <w:sz w:val="6"/>
                <w:szCs w:val="6"/>
                <w:color w:val="auto"/>
              </w:rPr>
            </w:pPr>
          </w:p>
        </w:tc>
        <w:tc>
          <w:tcPr>
            <w:tcW w:w="1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1380" w:type="dxa"/>
            <w:vAlign w:val="bottom"/>
            <w:tcBorders>
              <w:left w:val="single" w:sz="8" w:color="auto"/>
            </w:tcBorders>
            <w:shd w:val="clear" w:color="auto" w:fill="32406B"/>
          </w:tcPr>
          <w:p>
            <w:pPr>
              <w:spacing w:after="0"/>
              <w:rPr>
                <w:sz w:val="14"/>
                <w:szCs w:val="14"/>
                <w:color w:val="auto"/>
              </w:rPr>
            </w:pPr>
          </w:p>
        </w:tc>
        <w:tc>
          <w:tcPr>
            <w:tcW w:w="80" w:type="dxa"/>
            <w:vAlign w:val="bottom"/>
          </w:tcPr>
          <w:p>
            <w:pPr>
              <w:spacing w:after="0"/>
              <w:rPr>
                <w:sz w:val="14"/>
                <w:szCs w:val="14"/>
                <w:color w:val="auto"/>
              </w:rPr>
            </w:pPr>
          </w:p>
        </w:tc>
        <w:tc>
          <w:tcPr>
            <w:tcW w:w="3460" w:type="dxa"/>
            <w:vAlign w:val="bottom"/>
          </w:tcPr>
          <w:p>
            <w:pPr>
              <w:ind w:left="220"/>
              <w:spacing w:after="0"/>
              <w:rPr>
                <w:sz w:val="20"/>
                <w:szCs w:val="20"/>
                <w:color w:val="auto"/>
              </w:rPr>
            </w:pPr>
            <w:r>
              <w:rPr>
                <w:rFonts w:ascii="Arial" w:cs="Arial" w:eastAsia="Arial" w:hAnsi="Arial"/>
                <w:sz w:val="14"/>
                <w:szCs w:val="14"/>
                <w:color w:val="auto"/>
              </w:rPr>
              <w:t>value to shareholders and customers:</w:t>
            </w:r>
          </w:p>
        </w:tc>
        <w:tc>
          <w:tcPr>
            <w:tcW w:w="258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1380" w:type="dxa"/>
            <w:vAlign w:val="bottom"/>
            <w:tcBorders>
              <w:left w:val="single" w:sz="8" w:color="auto"/>
            </w:tcBorders>
            <w:shd w:val="clear" w:color="auto" w:fill="32406B"/>
          </w:tcPr>
          <w:p>
            <w:pPr>
              <w:spacing w:after="0"/>
              <w:rPr>
                <w:sz w:val="6"/>
                <w:szCs w:val="6"/>
                <w:color w:val="auto"/>
              </w:rPr>
            </w:pPr>
          </w:p>
        </w:tc>
        <w:tc>
          <w:tcPr>
            <w:tcW w:w="80" w:type="dxa"/>
            <w:vAlign w:val="bottom"/>
          </w:tcPr>
          <w:p>
            <w:pPr>
              <w:spacing w:after="0"/>
              <w:rPr>
                <w:sz w:val="6"/>
                <w:szCs w:val="6"/>
                <w:color w:val="auto"/>
              </w:rPr>
            </w:pPr>
          </w:p>
        </w:tc>
        <w:tc>
          <w:tcPr>
            <w:tcW w:w="3460" w:type="dxa"/>
            <w:vAlign w:val="bottom"/>
          </w:tcPr>
          <w:p>
            <w:pPr>
              <w:spacing w:after="0"/>
              <w:rPr>
                <w:sz w:val="6"/>
                <w:szCs w:val="6"/>
                <w:color w:val="auto"/>
              </w:rPr>
            </w:pPr>
          </w:p>
        </w:tc>
        <w:tc>
          <w:tcPr>
            <w:tcW w:w="2580" w:type="dxa"/>
            <w:vAlign w:val="bottom"/>
          </w:tcPr>
          <w:p>
            <w:pPr>
              <w:spacing w:after="0"/>
              <w:rPr>
                <w:sz w:val="6"/>
                <w:szCs w:val="6"/>
                <w:color w:val="auto"/>
              </w:rPr>
            </w:pPr>
          </w:p>
        </w:tc>
        <w:tc>
          <w:tcPr>
            <w:tcW w:w="3020" w:type="dxa"/>
            <w:vAlign w:val="bottom"/>
          </w:tcPr>
          <w:p>
            <w:pPr>
              <w:spacing w:after="0"/>
              <w:rPr>
                <w:sz w:val="6"/>
                <w:szCs w:val="6"/>
                <w:color w:val="auto"/>
              </w:rPr>
            </w:pPr>
          </w:p>
        </w:tc>
        <w:tc>
          <w:tcPr>
            <w:tcW w:w="1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4"/>
        </w:trPr>
        <w:tc>
          <w:tcPr>
            <w:tcW w:w="1380" w:type="dxa"/>
            <w:vAlign w:val="bottom"/>
            <w:tcBorders>
              <w:left w:val="single" w:sz="8" w:color="auto"/>
            </w:tcBorders>
            <w:shd w:val="clear" w:color="auto" w:fill="32406B"/>
          </w:tcPr>
          <w:p>
            <w:pPr>
              <w:spacing w:after="0"/>
              <w:rPr>
                <w:sz w:val="21"/>
                <w:szCs w:val="21"/>
                <w:color w:val="auto"/>
              </w:rPr>
            </w:pPr>
          </w:p>
        </w:tc>
        <w:tc>
          <w:tcPr>
            <w:tcW w:w="80" w:type="dxa"/>
            <w:vAlign w:val="bottom"/>
          </w:tcPr>
          <w:p>
            <w:pPr>
              <w:spacing w:after="0"/>
              <w:rPr>
                <w:sz w:val="21"/>
                <w:szCs w:val="21"/>
                <w:color w:val="auto"/>
              </w:rPr>
            </w:pPr>
          </w:p>
        </w:tc>
        <w:tc>
          <w:tcPr>
            <w:tcW w:w="3460" w:type="dxa"/>
            <w:vAlign w:val="bottom"/>
            <w:shd w:val="clear" w:color="auto" w:fill="D8D8D8"/>
          </w:tcPr>
          <w:p>
            <w:pPr>
              <w:ind w:left="220"/>
              <w:spacing w:after="0"/>
              <w:rPr>
                <w:sz w:val="20"/>
                <w:szCs w:val="20"/>
                <w:color w:val="auto"/>
              </w:rPr>
            </w:pPr>
            <w:r>
              <w:rPr>
                <w:rFonts w:ascii="Arial" w:cs="Arial" w:eastAsia="Arial" w:hAnsi="Arial"/>
                <w:sz w:val="14"/>
                <w:szCs w:val="14"/>
                <w:color w:val="auto"/>
              </w:rPr>
              <w:t>Ø LaRio single-pass digital textile printer</w:t>
            </w:r>
          </w:p>
        </w:tc>
        <w:tc>
          <w:tcPr>
            <w:tcW w:w="2580" w:type="dxa"/>
            <w:vAlign w:val="bottom"/>
            <w:shd w:val="clear" w:color="auto" w:fill="D8D8D8"/>
          </w:tcPr>
          <w:p>
            <w:pPr>
              <w:ind w:left="120"/>
              <w:spacing w:after="0"/>
              <w:rPr>
                <w:sz w:val="20"/>
                <w:szCs w:val="20"/>
                <w:color w:val="auto"/>
              </w:rPr>
            </w:pPr>
            <w:r>
              <w:rPr>
                <w:rFonts w:ascii="Arial" w:cs="Arial" w:eastAsia="Arial" w:hAnsi="Arial"/>
                <w:sz w:val="14"/>
                <w:szCs w:val="14"/>
                <w:color w:val="auto"/>
              </w:rPr>
              <w:t>Ø Vista Elite Cooler Door</w:t>
            </w:r>
          </w:p>
        </w:tc>
        <w:tc>
          <w:tcPr>
            <w:tcW w:w="3020" w:type="dxa"/>
            <w:vAlign w:val="bottom"/>
            <w:shd w:val="clear" w:color="auto" w:fill="D8D8D8"/>
          </w:tcPr>
          <w:p>
            <w:pPr>
              <w:ind w:left="260"/>
              <w:spacing w:after="0"/>
              <w:rPr>
                <w:sz w:val="20"/>
                <w:szCs w:val="20"/>
                <w:color w:val="auto"/>
              </w:rPr>
            </w:pPr>
            <w:r>
              <w:rPr>
                <w:rFonts w:ascii="Arial" w:cs="Arial" w:eastAsia="Arial" w:hAnsi="Arial"/>
                <w:sz w:val="14"/>
                <w:szCs w:val="14"/>
                <w:color w:val="auto"/>
              </w:rPr>
              <w:t>Ø EvoClean laundry system</w:t>
            </w:r>
          </w:p>
        </w:tc>
        <w:tc>
          <w:tcPr>
            <w:tcW w:w="1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79"/>
        </w:trPr>
        <w:tc>
          <w:tcPr>
            <w:tcW w:w="1380" w:type="dxa"/>
            <w:vAlign w:val="bottom"/>
            <w:tcBorders>
              <w:left w:val="single" w:sz="8" w:color="auto"/>
            </w:tcBorders>
            <w:shd w:val="clear" w:color="auto" w:fill="32406B"/>
          </w:tcPr>
          <w:p>
            <w:pPr>
              <w:spacing w:after="0"/>
              <w:rPr>
                <w:sz w:val="6"/>
                <w:szCs w:val="6"/>
                <w:color w:val="auto"/>
              </w:rPr>
            </w:pPr>
          </w:p>
        </w:tc>
        <w:tc>
          <w:tcPr>
            <w:tcW w:w="80" w:type="dxa"/>
            <w:vAlign w:val="bottom"/>
          </w:tcPr>
          <w:p>
            <w:pPr>
              <w:spacing w:after="0"/>
              <w:rPr>
                <w:sz w:val="6"/>
                <w:szCs w:val="6"/>
                <w:color w:val="auto"/>
              </w:rPr>
            </w:pPr>
          </w:p>
        </w:tc>
        <w:tc>
          <w:tcPr>
            <w:tcW w:w="3460" w:type="dxa"/>
            <w:vAlign w:val="bottom"/>
            <w:shd w:val="clear" w:color="auto" w:fill="D8D8D8"/>
          </w:tcPr>
          <w:p>
            <w:pPr>
              <w:spacing w:after="0"/>
              <w:rPr>
                <w:sz w:val="6"/>
                <w:szCs w:val="6"/>
                <w:color w:val="auto"/>
              </w:rPr>
            </w:pPr>
          </w:p>
        </w:tc>
        <w:tc>
          <w:tcPr>
            <w:tcW w:w="2580" w:type="dxa"/>
            <w:vAlign w:val="bottom"/>
            <w:shd w:val="clear" w:color="auto" w:fill="D8D8D8"/>
          </w:tcPr>
          <w:p>
            <w:pPr>
              <w:spacing w:after="0"/>
              <w:rPr>
                <w:sz w:val="6"/>
                <w:szCs w:val="6"/>
                <w:color w:val="auto"/>
              </w:rPr>
            </w:pPr>
          </w:p>
        </w:tc>
        <w:tc>
          <w:tcPr>
            <w:tcW w:w="3020" w:type="dxa"/>
            <w:vAlign w:val="bottom"/>
            <w:shd w:val="clear" w:color="auto" w:fill="D8D8D8"/>
          </w:tcPr>
          <w:p>
            <w:pPr>
              <w:spacing w:after="0"/>
              <w:rPr>
                <w:sz w:val="6"/>
                <w:szCs w:val="6"/>
                <w:color w:val="auto"/>
              </w:rPr>
            </w:pPr>
          </w:p>
        </w:tc>
        <w:tc>
          <w:tcPr>
            <w:tcW w:w="1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1380" w:type="dxa"/>
            <w:vAlign w:val="bottom"/>
            <w:tcBorders>
              <w:left w:val="single" w:sz="8" w:color="auto"/>
            </w:tcBorders>
            <w:shd w:val="clear" w:color="auto" w:fill="32406B"/>
          </w:tcPr>
          <w:p>
            <w:pPr>
              <w:spacing w:after="0"/>
              <w:rPr>
                <w:sz w:val="19"/>
                <w:szCs w:val="19"/>
                <w:color w:val="auto"/>
              </w:rPr>
            </w:pPr>
          </w:p>
        </w:tc>
        <w:tc>
          <w:tcPr>
            <w:tcW w:w="80" w:type="dxa"/>
            <w:vAlign w:val="bottom"/>
          </w:tcPr>
          <w:p>
            <w:pPr>
              <w:spacing w:after="0"/>
              <w:rPr>
                <w:sz w:val="19"/>
                <w:szCs w:val="19"/>
                <w:color w:val="auto"/>
              </w:rPr>
            </w:pPr>
          </w:p>
        </w:tc>
        <w:tc>
          <w:tcPr>
            <w:tcW w:w="3460" w:type="dxa"/>
            <w:vAlign w:val="bottom"/>
          </w:tcPr>
          <w:p>
            <w:pPr>
              <w:ind w:left="240"/>
              <w:spacing w:after="0"/>
              <w:rPr>
                <w:sz w:val="20"/>
                <w:szCs w:val="20"/>
                <w:color w:val="auto"/>
              </w:rPr>
            </w:pPr>
            <w:r>
              <w:rPr>
                <w:rFonts w:ascii="Arial" w:cs="Arial" w:eastAsia="Arial" w:hAnsi="Arial"/>
                <w:sz w:val="14"/>
                <w:szCs w:val="14"/>
                <w:i w:val="1"/>
                <w:iCs w:val="1"/>
                <w:color w:val="auto"/>
              </w:rPr>
              <w:t>Smaller water, chemical waste and energy</w:t>
            </w:r>
          </w:p>
        </w:tc>
        <w:tc>
          <w:tcPr>
            <w:tcW w:w="2580" w:type="dxa"/>
            <w:vAlign w:val="bottom"/>
          </w:tcPr>
          <w:p>
            <w:pPr>
              <w:ind w:left="180"/>
              <w:spacing w:after="0"/>
              <w:rPr>
                <w:sz w:val="20"/>
                <w:szCs w:val="20"/>
                <w:color w:val="auto"/>
              </w:rPr>
            </w:pPr>
            <w:r>
              <w:rPr>
                <w:rFonts w:ascii="Arial" w:cs="Arial" w:eastAsia="Arial" w:hAnsi="Arial"/>
                <w:sz w:val="14"/>
                <w:szCs w:val="14"/>
                <w:i w:val="1"/>
                <w:iCs w:val="1"/>
                <w:color w:val="auto"/>
              </w:rPr>
              <w:t>Energy-free merchandise visibility</w:t>
            </w:r>
          </w:p>
        </w:tc>
        <w:tc>
          <w:tcPr>
            <w:tcW w:w="3020" w:type="dxa"/>
            <w:vAlign w:val="bottom"/>
          </w:tcPr>
          <w:p>
            <w:pPr>
              <w:jc w:val="center"/>
              <w:ind w:left="208"/>
              <w:spacing w:after="0"/>
              <w:rPr>
                <w:sz w:val="20"/>
                <w:szCs w:val="20"/>
                <w:color w:val="auto"/>
              </w:rPr>
            </w:pPr>
            <w:r>
              <w:rPr>
                <w:rFonts w:ascii="Arial" w:cs="Arial" w:eastAsia="Arial" w:hAnsi="Arial"/>
                <w:sz w:val="14"/>
                <w:szCs w:val="14"/>
                <w:i w:val="1"/>
                <w:iCs w:val="1"/>
                <w:color w:val="auto"/>
              </w:rPr>
              <w:t>Less water and electricity than</w:t>
            </w:r>
          </w:p>
        </w:tc>
        <w:tc>
          <w:tcPr>
            <w:tcW w:w="1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1380" w:type="dxa"/>
            <w:vAlign w:val="bottom"/>
            <w:tcBorders>
              <w:left w:val="single" w:sz="8" w:color="auto"/>
            </w:tcBorders>
            <w:shd w:val="clear" w:color="auto" w:fill="32406B"/>
          </w:tcPr>
          <w:p>
            <w:pPr>
              <w:spacing w:after="0"/>
              <w:rPr>
                <w:sz w:val="16"/>
                <w:szCs w:val="16"/>
                <w:color w:val="auto"/>
              </w:rPr>
            </w:pPr>
          </w:p>
        </w:tc>
        <w:tc>
          <w:tcPr>
            <w:tcW w:w="80" w:type="dxa"/>
            <w:vAlign w:val="bottom"/>
          </w:tcPr>
          <w:p>
            <w:pPr>
              <w:spacing w:after="0"/>
              <w:rPr>
                <w:sz w:val="16"/>
                <w:szCs w:val="16"/>
                <w:color w:val="auto"/>
              </w:rPr>
            </w:pPr>
          </w:p>
        </w:tc>
        <w:tc>
          <w:tcPr>
            <w:tcW w:w="3460" w:type="dxa"/>
            <w:vAlign w:val="bottom"/>
          </w:tcPr>
          <w:p>
            <w:pPr>
              <w:ind w:left="1320"/>
              <w:spacing w:after="0"/>
              <w:rPr>
                <w:sz w:val="20"/>
                <w:szCs w:val="20"/>
                <w:color w:val="auto"/>
              </w:rPr>
            </w:pPr>
            <w:r>
              <w:rPr>
                <w:rFonts w:ascii="Arial" w:cs="Arial" w:eastAsia="Arial" w:hAnsi="Arial"/>
                <w:sz w:val="14"/>
                <w:szCs w:val="14"/>
                <w:i w:val="1"/>
                <w:iCs w:val="1"/>
                <w:color w:val="auto"/>
              </w:rPr>
              <w:t>footprint</w:t>
            </w:r>
          </w:p>
        </w:tc>
        <w:tc>
          <w:tcPr>
            <w:tcW w:w="2580" w:type="dxa"/>
            <w:vAlign w:val="bottom"/>
          </w:tcPr>
          <w:p>
            <w:pPr>
              <w:spacing w:after="0"/>
              <w:rPr>
                <w:sz w:val="16"/>
                <w:szCs w:val="16"/>
                <w:color w:val="auto"/>
              </w:rPr>
            </w:pPr>
          </w:p>
        </w:tc>
        <w:tc>
          <w:tcPr>
            <w:tcW w:w="3020" w:type="dxa"/>
            <w:vAlign w:val="bottom"/>
          </w:tcPr>
          <w:p>
            <w:pPr>
              <w:jc w:val="center"/>
              <w:ind w:left="208"/>
              <w:spacing w:after="0"/>
              <w:rPr>
                <w:sz w:val="20"/>
                <w:szCs w:val="20"/>
                <w:color w:val="auto"/>
              </w:rPr>
            </w:pPr>
            <w:r>
              <w:rPr>
                <w:rFonts w:ascii="Arial" w:cs="Arial" w:eastAsia="Arial" w:hAnsi="Arial"/>
                <w:sz w:val="14"/>
                <w:szCs w:val="14"/>
                <w:i w:val="1"/>
                <w:iCs w:val="1"/>
                <w:color w:val="auto"/>
              </w:rPr>
              <w:t>conventional dispensers</w:t>
            </w:r>
          </w:p>
        </w:tc>
        <w:tc>
          <w:tcPr>
            <w:tcW w:w="1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1380" w:type="dxa"/>
            <w:vAlign w:val="bottom"/>
            <w:tcBorders>
              <w:left w:val="single" w:sz="8" w:color="auto"/>
              <w:bottom w:val="single" w:sz="8" w:color="32406B"/>
            </w:tcBorders>
            <w:shd w:val="clear" w:color="auto" w:fill="32406B"/>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9060" w:type="dxa"/>
            <w:vAlign w:val="bottom"/>
            <w:tcBorders>
              <w:bottom w:val="single" w:sz="8" w:color="auto"/>
            </w:tcBorders>
            <w:gridSpan w:val="3"/>
          </w:tcPr>
          <w:p>
            <w:pPr>
              <w:spacing w:after="0"/>
              <w:rPr>
                <w:sz w:val="6"/>
                <w:szCs w:val="6"/>
                <w:color w:val="auto"/>
              </w:rPr>
            </w:pPr>
          </w:p>
        </w:tc>
        <w:tc>
          <w:tcPr>
            <w:tcW w:w="1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1380" w:type="dxa"/>
            <w:vAlign w:val="bottom"/>
            <w:tcBorders>
              <w:left w:val="single" w:sz="8" w:color="auto"/>
            </w:tcBorders>
            <w:shd w:val="clear" w:color="auto" w:fill="32406B"/>
          </w:tcPr>
          <w:p>
            <w:pPr>
              <w:ind w:left="160"/>
              <w:spacing w:after="0"/>
              <w:rPr>
                <w:sz w:val="20"/>
                <w:szCs w:val="20"/>
                <w:color w:val="auto"/>
              </w:rPr>
            </w:pPr>
            <w:r>
              <w:rPr>
                <w:rFonts w:ascii="Arial" w:cs="Arial" w:eastAsia="Arial" w:hAnsi="Arial"/>
                <w:sz w:val="14"/>
                <w:szCs w:val="14"/>
                <w:b w:val="1"/>
                <w:bCs w:val="1"/>
                <w:color w:val="FFFFFF"/>
              </w:rPr>
              <w:t>Continued Focus</w:t>
            </w:r>
          </w:p>
        </w:tc>
        <w:tc>
          <w:tcPr>
            <w:tcW w:w="80" w:type="dxa"/>
            <w:vAlign w:val="bottom"/>
          </w:tcPr>
          <w:p>
            <w:pPr>
              <w:spacing w:after="0"/>
              <w:rPr>
                <w:sz w:val="17"/>
                <w:szCs w:val="17"/>
                <w:color w:val="auto"/>
              </w:rPr>
            </w:pPr>
          </w:p>
        </w:tc>
        <w:tc>
          <w:tcPr>
            <w:tcW w:w="9060" w:type="dxa"/>
            <w:vAlign w:val="bottom"/>
            <w:gridSpan w:val="3"/>
          </w:tcPr>
          <w:p>
            <w:pPr>
              <w:ind w:left="40"/>
              <w:spacing w:after="0"/>
              <w:rPr>
                <w:sz w:val="20"/>
                <w:szCs w:val="20"/>
                <w:color w:val="auto"/>
              </w:rPr>
            </w:pPr>
            <w:r>
              <w:rPr>
                <w:rFonts w:ascii="Arial" w:cs="Arial" w:eastAsia="Arial" w:hAnsi="Arial"/>
                <w:sz w:val="14"/>
                <w:szCs w:val="14"/>
                <w:color w:val="auto"/>
              </w:rPr>
              <w:t xml:space="preserve">•  Our businesses </w:t>
            </w:r>
            <w:r>
              <w:rPr>
                <w:rFonts w:ascii="Arial" w:cs="Arial" w:eastAsia="Arial" w:hAnsi="Arial"/>
                <w:sz w:val="14"/>
                <w:szCs w:val="14"/>
                <w:b w:val="1"/>
                <w:bCs w:val="1"/>
                <w:color w:val="32406B"/>
              </w:rPr>
              <w:t>generate annual adjusted free cash flow</w:t>
            </w:r>
            <w:r>
              <w:rPr>
                <w:rFonts w:ascii="Arial" w:cs="Arial" w:eastAsia="Arial" w:hAnsi="Arial"/>
                <w:sz w:val="14"/>
                <w:szCs w:val="14"/>
                <w:color w:val="auto"/>
              </w:rPr>
              <w:t xml:space="preserve"> of approximately 10% of revenue. We are focused on the most efficient</w:t>
            </w:r>
          </w:p>
        </w:tc>
        <w:tc>
          <w:tcPr>
            <w:tcW w:w="1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tcBorders>
            <w:shd w:val="clear" w:color="auto" w:fill="32406B"/>
          </w:tcPr>
          <w:p>
            <w:pPr>
              <w:ind w:left="160"/>
              <w:spacing w:after="0"/>
              <w:rPr>
                <w:sz w:val="20"/>
                <w:szCs w:val="20"/>
                <w:color w:val="auto"/>
              </w:rPr>
            </w:pPr>
            <w:r>
              <w:rPr>
                <w:rFonts w:ascii="Arial" w:cs="Arial" w:eastAsia="Arial" w:hAnsi="Arial"/>
                <w:sz w:val="14"/>
                <w:szCs w:val="14"/>
                <w:b w:val="1"/>
                <w:bCs w:val="1"/>
                <w:color w:val="FFFFFF"/>
              </w:rPr>
              <w:t>on Cash Flow</w:t>
            </w:r>
          </w:p>
        </w:tc>
        <w:tc>
          <w:tcPr>
            <w:tcW w:w="80" w:type="dxa"/>
            <w:vAlign w:val="bottom"/>
          </w:tcPr>
          <w:p>
            <w:pPr>
              <w:spacing w:after="0"/>
              <w:rPr>
                <w:sz w:val="14"/>
                <w:szCs w:val="14"/>
                <w:color w:val="auto"/>
              </w:rPr>
            </w:pPr>
          </w:p>
        </w:tc>
        <w:tc>
          <w:tcPr>
            <w:tcW w:w="9060" w:type="dxa"/>
            <w:vAlign w:val="bottom"/>
            <w:gridSpan w:val="3"/>
          </w:tcPr>
          <w:p>
            <w:pPr>
              <w:ind w:left="220"/>
              <w:spacing w:after="0"/>
              <w:rPr>
                <w:sz w:val="20"/>
                <w:szCs w:val="20"/>
                <w:color w:val="auto"/>
              </w:rPr>
            </w:pPr>
            <w:r>
              <w:rPr>
                <w:rFonts w:ascii="Arial" w:cs="Arial" w:eastAsia="Arial" w:hAnsi="Arial"/>
                <w:sz w:val="14"/>
                <w:szCs w:val="14"/>
                <w:color w:val="auto"/>
              </w:rPr>
              <w:t xml:space="preserve">allocation of our capital to maximize returns on investment. To do this, we grow and support our existing businesses with </w:t>
            </w:r>
            <w:r>
              <w:rPr>
                <w:rFonts w:ascii="Arial" w:cs="Arial" w:eastAsia="Arial" w:hAnsi="Arial"/>
                <w:sz w:val="14"/>
                <w:szCs w:val="14"/>
                <w:b w:val="1"/>
                <w:bCs w:val="1"/>
                <w:color w:val="32406B"/>
              </w:rPr>
              <w:t>average annual</w:t>
            </w:r>
          </w:p>
        </w:tc>
        <w:tc>
          <w:tcPr>
            <w:tcW w:w="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380" w:type="dxa"/>
            <w:vAlign w:val="bottom"/>
            <w:tcBorders>
              <w:left w:val="single" w:sz="8" w:color="auto"/>
            </w:tcBorders>
            <w:shd w:val="clear" w:color="auto" w:fill="32406B"/>
          </w:tcPr>
          <w:p>
            <w:pPr>
              <w:spacing w:after="0"/>
              <w:rPr>
                <w:sz w:val="15"/>
                <w:szCs w:val="15"/>
                <w:color w:val="auto"/>
              </w:rPr>
            </w:pPr>
          </w:p>
        </w:tc>
        <w:tc>
          <w:tcPr>
            <w:tcW w:w="80" w:type="dxa"/>
            <w:vAlign w:val="bottom"/>
          </w:tcPr>
          <w:p>
            <w:pPr>
              <w:spacing w:after="0"/>
              <w:rPr>
                <w:sz w:val="15"/>
                <w:szCs w:val="15"/>
                <w:color w:val="auto"/>
              </w:rPr>
            </w:pPr>
          </w:p>
        </w:tc>
        <w:tc>
          <w:tcPr>
            <w:tcW w:w="9060" w:type="dxa"/>
            <w:vAlign w:val="bottom"/>
            <w:gridSpan w:val="3"/>
          </w:tcPr>
          <w:p>
            <w:pPr>
              <w:ind w:left="220"/>
              <w:spacing w:after="0"/>
              <w:rPr>
                <w:sz w:val="20"/>
                <w:szCs w:val="20"/>
                <w:color w:val="auto"/>
              </w:rPr>
            </w:pPr>
            <w:r>
              <w:rPr>
                <w:rFonts w:ascii="Arial" w:cs="Arial" w:eastAsia="Arial" w:hAnsi="Arial"/>
                <w:sz w:val="14"/>
                <w:szCs w:val="14"/>
                <w:b w:val="1"/>
                <w:bCs w:val="1"/>
                <w:color w:val="32406B"/>
              </w:rPr>
              <w:t xml:space="preserve">investment in capital spending of approximately 2% to 2.5% of revenue </w:t>
            </w:r>
            <w:r>
              <w:rPr>
                <w:rFonts w:ascii="Arial" w:cs="Arial" w:eastAsia="Arial" w:hAnsi="Arial"/>
                <w:sz w:val="14"/>
                <w:szCs w:val="14"/>
                <w:color w:val="000000"/>
              </w:rPr>
              <w:t>with a focus on internal projects to expand markets, develop</w:t>
            </w:r>
          </w:p>
        </w:tc>
        <w:tc>
          <w:tcPr>
            <w:tcW w:w="1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1380" w:type="dxa"/>
            <w:vAlign w:val="bottom"/>
            <w:tcBorders>
              <w:left w:val="single" w:sz="8" w:color="auto"/>
            </w:tcBorders>
            <w:shd w:val="clear" w:color="auto" w:fill="32406B"/>
          </w:tcPr>
          <w:p>
            <w:pPr>
              <w:spacing w:after="0"/>
              <w:rPr>
                <w:sz w:val="14"/>
                <w:szCs w:val="14"/>
                <w:color w:val="auto"/>
              </w:rPr>
            </w:pPr>
          </w:p>
        </w:tc>
        <w:tc>
          <w:tcPr>
            <w:tcW w:w="80" w:type="dxa"/>
            <w:vAlign w:val="bottom"/>
          </w:tcPr>
          <w:p>
            <w:pPr>
              <w:spacing w:after="0"/>
              <w:rPr>
                <w:sz w:val="14"/>
                <w:szCs w:val="14"/>
                <w:color w:val="auto"/>
              </w:rPr>
            </w:pPr>
          </w:p>
        </w:tc>
        <w:tc>
          <w:tcPr>
            <w:tcW w:w="3460" w:type="dxa"/>
            <w:vAlign w:val="bottom"/>
          </w:tcPr>
          <w:p>
            <w:pPr>
              <w:ind w:left="220"/>
              <w:spacing w:after="0"/>
              <w:rPr>
                <w:sz w:val="20"/>
                <w:szCs w:val="20"/>
                <w:color w:val="auto"/>
              </w:rPr>
            </w:pPr>
            <w:r>
              <w:rPr>
                <w:rFonts w:ascii="Arial" w:cs="Arial" w:eastAsia="Arial" w:hAnsi="Arial"/>
                <w:sz w:val="14"/>
                <w:szCs w:val="14"/>
                <w:color w:val="auto"/>
              </w:rPr>
              <w:t>products and boost productivity.</w:t>
            </w:r>
          </w:p>
        </w:tc>
        <w:tc>
          <w:tcPr>
            <w:tcW w:w="258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1380" w:type="dxa"/>
            <w:vAlign w:val="bottom"/>
            <w:tcBorders>
              <w:left w:val="single" w:sz="8" w:color="auto"/>
              <w:bottom w:val="single" w:sz="8" w:color="auto"/>
            </w:tcBorders>
            <w:shd w:val="clear" w:color="auto" w:fill="32406B"/>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460" w:type="dxa"/>
            <w:vAlign w:val="bottom"/>
            <w:tcBorders>
              <w:bottom w:val="single" w:sz="8" w:color="auto"/>
            </w:tcBorders>
          </w:tcPr>
          <w:p>
            <w:pPr>
              <w:spacing w:after="0"/>
              <w:rPr>
                <w:sz w:val="6"/>
                <w:szCs w:val="6"/>
                <w:color w:val="auto"/>
              </w:rPr>
            </w:pPr>
          </w:p>
        </w:tc>
        <w:tc>
          <w:tcPr>
            <w:tcW w:w="2580" w:type="dxa"/>
            <w:vAlign w:val="bottom"/>
            <w:tcBorders>
              <w:bottom w:val="single" w:sz="8" w:color="auto"/>
            </w:tcBorders>
          </w:tcPr>
          <w:p>
            <w:pPr>
              <w:spacing w:after="0"/>
              <w:rPr>
                <w:sz w:val="6"/>
                <w:szCs w:val="6"/>
                <w:color w:val="auto"/>
              </w:rPr>
            </w:pPr>
          </w:p>
        </w:tc>
        <w:tc>
          <w:tcPr>
            <w:tcW w:w="3020" w:type="dxa"/>
            <w:vAlign w:val="bottom"/>
            <w:tcBorders>
              <w:bottom w:val="single" w:sz="8" w:color="auto"/>
            </w:tcBorders>
          </w:tcPr>
          <w:p>
            <w:pPr>
              <w:spacing w:after="0"/>
              <w:rPr>
                <w:sz w:val="6"/>
                <w:szCs w:val="6"/>
                <w:color w:val="auto"/>
              </w:rPr>
            </w:pPr>
          </w:p>
        </w:tc>
        <w:tc>
          <w:tcPr>
            <w:tcW w:w="1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4</w:t>
      </w:r>
    </w:p>
    <w:p>
      <w:pPr>
        <w:sectPr>
          <w:pgSz w:w="11900" w:h="16838" w:orient="portrait"/>
          <w:cols w:equalWidth="0" w:num="1">
            <w:col w:w="11220"/>
          </w:cols>
          <w:pgMar w:left="240" w:top="459"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354965</wp:posOffset>
            </wp:positionV>
            <wp:extent cx="6993890" cy="510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3890" cy="510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80"/>
        <w:spacing w:after="0"/>
        <w:rPr>
          <w:sz w:val="20"/>
          <w:szCs w:val="20"/>
          <w:color w:val="auto"/>
        </w:rPr>
      </w:pPr>
      <w:r>
        <w:rPr>
          <w:rFonts w:ascii="Arial" w:cs="Arial" w:eastAsia="Arial" w:hAnsi="Arial"/>
          <w:sz w:val="22"/>
          <w:szCs w:val="22"/>
          <w:b w:val="1"/>
          <w:bCs w:val="1"/>
          <w:color w:val="32406B"/>
        </w:rPr>
        <w:t>CEO Succession</w:t>
      </w:r>
    </w:p>
    <w:p>
      <w:pPr>
        <w:spacing w:after="0" w:line="92" w:lineRule="exact"/>
        <w:rPr>
          <w:sz w:val="20"/>
          <w:szCs w:val="20"/>
          <w:color w:val="auto"/>
        </w:rPr>
      </w:pPr>
    </w:p>
    <w:p>
      <w:pPr>
        <w:ind w:left="380" w:right="320"/>
        <w:spacing w:after="0" w:line="249" w:lineRule="auto"/>
        <w:rPr>
          <w:sz w:val="20"/>
          <w:szCs w:val="20"/>
          <w:color w:val="auto"/>
        </w:rPr>
      </w:pPr>
      <w:r>
        <w:rPr>
          <w:rFonts w:ascii="Arial" w:cs="Arial" w:eastAsia="Arial" w:hAnsi="Arial"/>
          <w:sz w:val="16"/>
          <w:szCs w:val="16"/>
          <w:color w:val="auto"/>
        </w:rPr>
        <w:t>On March 20, 2018, Dover announced that following a successful nine-year tenure as our President and Chief Executive Officer (“CEO”), Robert A. Livingston will retire effective as of April 30, 2018. Mr. Livingston will resign from Dover’s Board of Directors (our “Board”) concurrent with his retirement. Richard J. Tobin, who serves as a member of Dover’s Board, will become our new President and CEO effective May 1, 2018. Mr. Tobin will remain a director on our Board, but, as of May 1, 2018, will no longer serve on the Compensation Committee. In connection with Mr. Tobin’s appointment, we entered into a three year employment agreement with him, described in our Form 8-K filed on March 20, 2018.</w:t>
      </w:r>
    </w:p>
    <w:p>
      <w:pPr>
        <w:spacing w:after="0" w:line="165" w:lineRule="exact"/>
        <w:rPr>
          <w:sz w:val="20"/>
          <w:szCs w:val="20"/>
          <w:color w:val="auto"/>
        </w:rPr>
      </w:pPr>
    </w:p>
    <w:p>
      <w:pPr>
        <w:ind w:left="380" w:right="720"/>
        <w:spacing w:after="0" w:line="260" w:lineRule="auto"/>
        <w:rPr>
          <w:sz w:val="20"/>
          <w:szCs w:val="20"/>
          <w:color w:val="auto"/>
        </w:rPr>
      </w:pPr>
      <w:r>
        <w:rPr>
          <w:rFonts w:ascii="Arial" w:cs="Arial" w:eastAsia="Arial" w:hAnsi="Arial"/>
          <w:sz w:val="16"/>
          <w:szCs w:val="16"/>
          <w:color w:val="auto"/>
        </w:rPr>
        <w:t>Mr. Tobin’s appointment as our incoming President and CEO represents the culmination of our Board’s active engagement in a thoughtful and comprehensive succession planning process.</w:t>
      </w:r>
    </w:p>
    <w:p>
      <w:pPr>
        <w:spacing w:after="0" w:line="161" w:lineRule="exact"/>
        <w:rPr>
          <w:sz w:val="20"/>
          <w:szCs w:val="20"/>
          <w:color w:val="auto"/>
        </w:rPr>
      </w:pPr>
    </w:p>
    <w:p>
      <w:pPr>
        <w:ind w:left="380"/>
        <w:spacing w:after="0"/>
        <w:rPr>
          <w:sz w:val="20"/>
          <w:szCs w:val="20"/>
          <w:color w:val="auto"/>
        </w:rPr>
      </w:pPr>
      <w:r>
        <w:rPr>
          <w:rFonts w:ascii="Arial" w:cs="Arial" w:eastAsia="Arial" w:hAnsi="Arial"/>
          <w:sz w:val="22"/>
          <w:szCs w:val="22"/>
          <w:b w:val="1"/>
          <w:bCs w:val="1"/>
          <w:color w:val="32406B"/>
        </w:rPr>
        <w:t>Shareholder Engagement</w:t>
      </w:r>
    </w:p>
    <w:p>
      <w:pPr>
        <w:spacing w:after="0" w:line="105" w:lineRule="exact"/>
        <w:rPr>
          <w:sz w:val="20"/>
          <w:szCs w:val="20"/>
          <w:color w:val="auto"/>
        </w:rPr>
      </w:pPr>
    </w:p>
    <w:p>
      <w:pPr>
        <w:ind w:left="380" w:right="220"/>
        <w:spacing w:after="0" w:line="249" w:lineRule="auto"/>
        <w:rPr>
          <w:sz w:val="20"/>
          <w:szCs w:val="20"/>
          <w:color w:val="auto"/>
        </w:rPr>
      </w:pPr>
      <w:r>
        <w:rPr>
          <w:rFonts w:ascii="Arial" w:cs="Arial" w:eastAsia="Arial" w:hAnsi="Arial"/>
          <w:sz w:val="16"/>
          <w:szCs w:val="16"/>
          <w:color w:val="auto"/>
        </w:rPr>
        <w:t>In 2017, we continued our focus on regularly engaging with our shareholders. We reached out to holders of over 53% of our shares outstanding, and engaged with governance professionals and portfolio managers at investors holding 33% of our shares outstanding. During these discussions, investors expressed broad support for our governance structures and shared their views on matters related to shareholder rights and our independent, well-qualified Board. Further, investors highlighted the importance of engaging with them in the future on long-term corporate strategy and sustainability initiatives.</w:t>
      </w:r>
    </w:p>
    <w:p>
      <w:pPr>
        <w:spacing w:after="0" w:line="165" w:lineRule="exact"/>
        <w:rPr>
          <w:sz w:val="20"/>
          <w:szCs w:val="20"/>
          <w:color w:val="auto"/>
        </w:rPr>
      </w:pPr>
    </w:p>
    <w:p>
      <w:pPr>
        <w:ind w:left="380" w:right="420"/>
        <w:spacing w:after="0" w:line="253" w:lineRule="auto"/>
        <w:rPr>
          <w:sz w:val="20"/>
          <w:szCs w:val="20"/>
          <w:color w:val="auto"/>
        </w:rPr>
      </w:pPr>
      <w:r>
        <w:rPr>
          <w:rFonts w:ascii="Arial" w:cs="Arial" w:eastAsia="Arial" w:hAnsi="Arial"/>
          <w:sz w:val="16"/>
          <w:szCs w:val="16"/>
          <w:color w:val="auto"/>
        </w:rPr>
        <w:t>These discussions provide our Board with valuable insights into our shareholders’ views. In this proxy statement, we describe the feedback we received, and acted upon, regarding several matters, including our Board’s proposals to remove super-majority voting provisions from our charter. We plan to continue to actively engage with our shareholders on a regular basis to better understand and consider their views.</w:t>
      </w:r>
    </w:p>
    <w:p>
      <w:pPr>
        <w:spacing w:after="0" w:line="166" w:lineRule="exact"/>
        <w:rPr>
          <w:sz w:val="20"/>
          <w:szCs w:val="20"/>
          <w:color w:val="auto"/>
        </w:rPr>
      </w:pPr>
    </w:p>
    <w:p>
      <w:pPr>
        <w:ind w:left="380"/>
        <w:spacing w:after="0"/>
        <w:rPr>
          <w:sz w:val="20"/>
          <w:szCs w:val="20"/>
          <w:color w:val="auto"/>
        </w:rPr>
      </w:pPr>
      <w:r>
        <w:rPr>
          <w:rFonts w:ascii="Arial" w:cs="Arial" w:eastAsia="Arial" w:hAnsi="Arial"/>
          <w:sz w:val="22"/>
          <w:szCs w:val="22"/>
          <w:b w:val="1"/>
          <w:bCs w:val="1"/>
          <w:color w:val="32406B"/>
        </w:rPr>
        <w:t>Management Proposals to Remove Super-Majority Voting Provisions</w:t>
      </w:r>
    </w:p>
    <w:p>
      <w:pPr>
        <w:spacing w:after="0" w:line="92" w:lineRule="exact"/>
        <w:rPr>
          <w:sz w:val="20"/>
          <w:szCs w:val="20"/>
          <w:color w:val="auto"/>
        </w:rPr>
      </w:pPr>
    </w:p>
    <w:p>
      <w:pPr>
        <w:ind w:left="380" w:right="360"/>
        <w:spacing w:after="0" w:line="250" w:lineRule="auto"/>
        <w:rPr>
          <w:sz w:val="20"/>
          <w:szCs w:val="20"/>
          <w:color w:val="auto"/>
        </w:rPr>
      </w:pPr>
      <w:r>
        <w:rPr>
          <w:rFonts w:ascii="Arial" w:cs="Arial" w:eastAsia="Arial" w:hAnsi="Arial"/>
          <w:sz w:val="16"/>
          <w:szCs w:val="16"/>
          <w:color w:val="auto"/>
        </w:rPr>
        <w:t>Proposals 4 and 5 of this proxy statement request that shareholders approve the removal of the remaining super-majority provisions in our charter. These provisions were originally designed to ensure that the interests of all shareholders were adequately represented in the event any of the actions contemplated by these provisions were to occur. However, the Board is aware that some shareholders oppose super-majority provisions, arguing that super-majority voting provisions may limit the ability of a majority of common shareholders to effect changes they desire.</w:t>
      </w:r>
    </w:p>
    <w:p>
      <w:pPr>
        <w:spacing w:after="0" w:line="178" w:lineRule="exact"/>
        <w:rPr>
          <w:sz w:val="20"/>
          <w:szCs w:val="20"/>
          <w:color w:val="auto"/>
        </w:rPr>
      </w:pPr>
    </w:p>
    <w:p>
      <w:pPr>
        <w:ind w:left="380" w:right="240"/>
        <w:spacing w:after="0" w:line="247" w:lineRule="auto"/>
        <w:rPr>
          <w:sz w:val="20"/>
          <w:szCs w:val="20"/>
          <w:color w:val="auto"/>
        </w:rPr>
      </w:pPr>
      <w:r>
        <w:rPr>
          <w:rFonts w:ascii="Arial" w:cs="Arial" w:eastAsia="Arial" w:hAnsi="Arial"/>
          <w:sz w:val="16"/>
          <w:szCs w:val="16"/>
          <w:color w:val="auto"/>
        </w:rPr>
        <w:t>Informed in part by engagement with our shareholders, we presented these proposals at our 2017 Annual Meeting, conducting a comprehensive campaign that included significant outreach to our retail investors to build support for the proposals. The proposals were supported by holders of just over 79% of our outstanding voting shares, a level of support below the required affirmative vote of the holders of at least 80% of our outstanding voting shares. Following the 2017 Annual Meeting, we sought shareholder input as our Board considered next steps regarding the remaining super-majority provisions. Shareholders expressed appreciation for our efforts to remove the provisions, including the retail solicitation campaign, and acknowledged the high hurdle presented by the current 80% voting requirement in our charter to approve amendments to remove the super-majority provisions. Several shareholders continued to express a preference for simple majority voting requirements and encouraged us to put forth another management proposal to remove the remaining super-majority voting provisions in our charter. Shareholder feedback was a factor in the Board’s decision to again present these two proposals at the 2018 Annual Meeting in order to continue evolving our governance practices to ensure we operate with a best-in-class governance structure. A comprehensive campaign with retail investors to build support for the management proposals is under way.</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5</w:t>
      </w:r>
    </w:p>
    <w:p>
      <w:pPr>
        <w:sectPr>
          <w:pgSz w:w="11900" w:h="16838" w:orient="portrait"/>
          <w:cols w:equalWidth="0" w:num="1">
            <w:col w:w="11220"/>
          </w:cols>
          <w:pgMar w:left="240" w:top="459"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354965</wp:posOffset>
            </wp:positionV>
            <wp:extent cx="6993890" cy="42614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3890" cy="4261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80"/>
        <w:spacing w:after="0"/>
        <w:rPr>
          <w:sz w:val="20"/>
          <w:szCs w:val="20"/>
          <w:color w:val="auto"/>
        </w:rPr>
      </w:pPr>
      <w:r>
        <w:rPr>
          <w:rFonts w:ascii="Arial" w:cs="Arial" w:eastAsia="Arial" w:hAnsi="Arial"/>
          <w:sz w:val="22"/>
          <w:szCs w:val="22"/>
          <w:b w:val="1"/>
          <w:bCs w:val="1"/>
          <w:color w:val="32406B"/>
        </w:rPr>
        <w:t>Executive Compensation</w:t>
      </w:r>
    </w:p>
    <w:p>
      <w:pPr>
        <w:spacing w:after="0" w:line="92" w:lineRule="exact"/>
        <w:rPr>
          <w:sz w:val="20"/>
          <w:szCs w:val="20"/>
          <w:color w:val="auto"/>
        </w:rPr>
      </w:pPr>
    </w:p>
    <w:p>
      <w:pPr>
        <w:ind w:left="380" w:right="740"/>
        <w:spacing w:after="0" w:line="260" w:lineRule="auto"/>
        <w:rPr>
          <w:sz w:val="20"/>
          <w:szCs w:val="20"/>
          <w:color w:val="auto"/>
        </w:rPr>
      </w:pPr>
      <w:r>
        <w:rPr>
          <w:rFonts w:ascii="Arial" w:cs="Arial" w:eastAsia="Arial" w:hAnsi="Arial"/>
          <w:sz w:val="16"/>
          <w:szCs w:val="16"/>
          <w:color w:val="auto"/>
        </w:rPr>
        <w:t>Our compensation program for executive officers is designed to emphasize performance-based compensation in alignment with our business strategy.</w:t>
      </w:r>
    </w:p>
    <w:p>
      <w:pPr>
        <w:spacing w:after="0" w:line="175"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32406B"/>
        </w:rPr>
        <w:t>2017 Executive Compensation</w:t>
      </w:r>
    </w:p>
    <w:p>
      <w:pPr>
        <w:spacing w:after="0" w:line="9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table summarizes pay mix for our CEO and other NEOs, which is highly performance based.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32406B"/>
        </w:rPr>
        <w:t>Executive Compensation Program Highlights</w:t>
      </w:r>
    </w:p>
    <w:p>
      <w:pPr>
        <w:spacing w:after="0" w:line="241" w:lineRule="exact"/>
        <w:rPr>
          <w:sz w:val="20"/>
          <w:szCs w:val="20"/>
          <w:color w:val="auto"/>
        </w:rPr>
      </w:pPr>
    </w:p>
    <w:p>
      <w:pPr>
        <w:ind w:left="1000" w:hanging="301"/>
        <w:spacing w:after="0"/>
        <w:tabs>
          <w:tab w:leader="none" w:pos="10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Pay-for-performance philosophy — a substantial majority of NEO pay is performance based and tied to Dover’s stock price performance</w:t>
      </w:r>
    </w:p>
    <w:p>
      <w:pPr>
        <w:spacing w:after="0" w:line="85" w:lineRule="exact"/>
        <w:rPr>
          <w:rFonts w:ascii="Arial" w:cs="Arial" w:eastAsia="Arial" w:hAnsi="Arial"/>
          <w:sz w:val="16"/>
          <w:szCs w:val="16"/>
          <w:color w:val="auto"/>
        </w:rPr>
      </w:pPr>
    </w:p>
    <w:p>
      <w:pPr>
        <w:ind w:left="1000" w:right="360" w:hanging="301"/>
        <w:spacing w:after="0" w:line="260" w:lineRule="auto"/>
        <w:tabs>
          <w:tab w:leader="none" w:pos="10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Significant portion of long-term compensation is performance based, with long-term incentives vesting over three years subject to rigorous three-year performance period</w:t>
      </w:r>
    </w:p>
    <w:p>
      <w:pPr>
        <w:spacing w:after="0" w:line="60" w:lineRule="exact"/>
        <w:rPr>
          <w:rFonts w:ascii="Arial" w:cs="Arial" w:eastAsia="Arial" w:hAnsi="Arial"/>
          <w:sz w:val="16"/>
          <w:szCs w:val="16"/>
          <w:color w:val="auto"/>
        </w:rPr>
      </w:pPr>
    </w:p>
    <w:p>
      <w:pPr>
        <w:ind w:left="1000" w:hanging="301"/>
        <w:spacing w:after="0"/>
        <w:tabs>
          <w:tab w:leader="none" w:pos="10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Strong share ownership guidelines for NEOs</w:t>
      </w:r>
    </w:p>
    <w:p>
      <w:pPr>
        <w:spacing w:after="0" w:line="85" w:lineRule="exact"/>
        <w:rPr>
          <w:rFonts w:ascii="Arial" w:cs="Arial" w:eastAsia="Arial" w:hAnsi="Arial"/>
          <w:sz w:val="16"/>
          <w:szCs w:val="16"/>
          <w:color w:val="auto"/>
        </w:rPr>
      </w:pPr>
    </w:p>
    <w:p>
      <w:pPr>
        <w:ind w:left="1000" w:hanging="301"/>
        <w:spacing w:after="0"/>
        <w:tabs>
          <w:tab w:leader="none" w:pos="10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Equity awards with anti-hedging and anti-pledging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6</w:t>
      </w:r>
    </w:p>
    <w:p>
      <w:pPr>
        <w:sectPr>
          <w:pgSz w:w="11900" w:h="16838" w:orient="portrait"/>
          <w:cols w:equalWidth="0" w:num="1">
            <w:col w:w="11220"/>
          </w:cols>
          <w:pgMar w:left="240" w:top="459"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354965</wp:posOffset>
            </wp:positionV>
            <wp:extent cx="6993890" cy="60604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3890" cy="6060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80"/>
        <w:spacing w:after="0"/>
        <w:rPr>
          <w:sz w:val="20"/>
          <w:szCs w:val="20"/>
          <w:color w:val="auto"/>
        </w:rPr>
      </w:pPr>
      <w:r>
        <w:rPr>
          <w:rFonts w:ascii="Arial" w:cs="Arial" w:eastAsia="Arial" w:hAnsi="Arial"/>
          <w:sz w:val="22"/>
          <w:szCs w:val="22"/>
          <w:b w:val="1"/>
          <w:bCs w:val="1"/>
          <w:color w:val="32406B"/>
        </w:rPr>
        <w:t>Director Nominees</w:t>
      </w:r>
    </w:p>
    <w:p>
      <w:pPr>
        <w:spacing w:after="0" w:line="92" w:lineRule="exact"/>
        <w:rPr>
          <w:sz w:val="20"/>
          <w:szCs w:val="20"/>
          <w:color w:val="auto"/>
        </w:rPr>
      </w:pPr>
    </w:p>
    <w:p>
      <w:pPr>
        <w:ind w:left="380" w:right="360"/>
        <w:spacing w:after="0" w:line="253" w:lineRule="auto"/>
        <w:rPr>
          <w:sz w:val="20"/>
          <w:szCs w:val="20"/>
          <w:color w:val="auto"/>
        </w:rPr>
      </w:pPr>
      <w:r>
        <w:rPr>
          <w:rFonts w:ascii="Arial" w:cs="Arial" w:eastAsia="Arial" w:hAnsi="Arial"/>
          <w:sz w:val="16"/>
          <w:szCs w:val="16"/>
          <w:color w:val="auto"/>
        </w:rPr>
        <w:t>Our Governance and Nominating Committee maintains an active and engaged Board through a robust refreshment process, which focuses on ensuring our Board has a diverse skill set that benefits from both the industry- and company-specific knowledge of our longer-tenured directors, as well as the fresh perspectives brought by our newer directors.</w:t>
      </w:r>
    </w:p>
    <w:p>
      <w:pPr>
        <w:spacing w:after="0" w:line="160" w:lineRule="exact"/>
        <w:rPr>
          <w:sz w:val="20"/>
          <w:szCs w:val="20"/>
          <w:color w:val="auto"/>
        </w:rPr>
      </w:pPr>
    </w:p>
    <w:p>
      <w:pPr>
        <w:ind w:left="380" w:right="260"/>
        <w:spacing w:after="0" w:line="260" w:lineRule="auto"/>
        <w:rPr>
          <w:sz w:val="20"/>
          <w:szCs w:val="20"/>
          <w:color w:val="auto"/>
        </w:rPr>
      </w:pPr>
      <w:r>
        <w:rPr>
          <w:rFonts w:ascii="Arial" w:cs="Arial" w:eastAsia="Arial" w:hAnsi="Arial"/>
          <w:sz w:val="16"/>
          <w:szCs w:val="16"/>
          <w:color w:val="auto"/>
        </w:rPr>
        <w:t>Current director Michael B. Stubbs is not standing for re-election and will retire from the Board effective as of the Annual Meeting. The Board expresses its deep gratitude to Mr. Stubbs for his significant contributions to Dover during his more than 18 years of dedicated service on the Board.</w:t>
      </w:r>
    </w:p>
    <w:p>
      <w:pPr>
        <w:spacing w:after="0" w:line="19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Current director Robert A. Livingston will retire from the Board effective as of April 30, 2018 concurrent with his retirement as President and CEO.</w:t>
      </w:r>
    </w:p>
    <w:p>
      <w:pPr>
        <w:spacing w:after="0" w:line="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Board wishes to thank Mr. Livingston for his outstanding leadership during his entire tenure at Dover.</w:t>
      </w:r>
    </w:p>
    <w:p>
      <w:pPr>
        <w:spacing w:after="0" w:line="233"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2820" w:type="dxa"/>
            <w:vAlign w:val="bottom"/>
            <w:shd w:val="clear" w:color="auto" w:fill="505C81"/>
          </w:tcPr>
          <w:p>
            <w:pPr>
              <w:spacing w:after="0"/>
              <w:rPr>
                <w:sz w:val="14"/>
                <w:szCs w:val="14"/>
                <w:color w:val="auto"/>
              </w:rPr>
            </w:pPr>
          </w:p>
        </w:tc>
        <w:tc>
          <w:tcPr>
            <w:tcW w:w="3900" w:type="dxa"/>
            <w:vAlign w:val="bottom"/>
            <w:shd w:val="clear" w:color="auto" w:fill="505C81"/>
          </w:tcPr>
          <w:p>
            <w:pPr>
              <w:spacing w:after="0"/>
              <w:rPr>
                <w:sz w:val="14"/>
                <w:szCs w:val="14"/>
                <w:color w:val="auto"/>
              </w:rPr>
            </w:pPr>
          </w:p>
        </w:tc>
        <w:tc>
          <w:tcPr>
            <w:tcW w:w="1260" w:type="dxa"/>
            <w:vAlign w:val="bottom"/>
            <w:shd w:val="clear" w:color="auto" w:fill="505C81"/>
          </w:tcPr>
          <w:p>
            <w:pPr>
              <w:spacing w:after="0"/>
              <w:rPr>
                <w:sz w:val="14"/>
                <w:szCs w:val="14"/>
                <w:color w:val="auto"/>
              </w:rPr>
            </w:pPr>
          </w:p>
        </w:tc>
        <w:tc>
          <w:tcPr>
            <w:tcW w:w="1400" w:type="dxa"/>
            <w:vAlign w:val="bottom"/>
            <w:shd w:val="clear" w:color="auto" w:fill="505C81"/>
          </w:tcPr>
          <w:p>
            <w:pPr>
              <w:spacing w:after="0"/>
              <w:rPr>
                <w:sz w:val="14"/>
                <w:szCs w:val="14"/>
                <w:color w:val="auto"/>
              </w:rPr>
            </w:pPr>
          </w:p>
        </w:tc>
        <w:tc>
          <w:tcPr>
            <w:tcW w:w="1260" w:type="dxa"/>
            <w:vAlign w:val="bottom"/>
            <w:shd w:val="clear" w:color="auto" w:fill="505C81"/>
          </w:tcPr>
          <w:p>
            <w:pPr>
              <w:ind w:left="100"/>
              <w:spacing w:after="0"/>
              <w:rPr>
                <w:sz w:val="20"/>
                <w:szCs w:val="20"/>
                <w:color w:val="auto"/>
              </w:rPr>
            </w:pPr>
            <w:r>
              <w:rPr>
                <w:rFonts w:ascii="Arial" w:cs="Arial" w:eastAsia="Arial" w:hAnsi="Arial"/>
                <w:sz w:val="14"/>
                <w:szCs w:val="14"/>
                <w:b w:val="1"/>
                <w:bCs w:val="1"/>
                <w:color w:val="FFFFFF"/>
              </w:rPr>
              <w:t>OTHER PUBLIC</w:t>
            </w:r>
          </w:p>
        </w:tc>
        <w:tc>
          <w:tcPr>
            <w:tcW w:w="0" w:type="dxa"/>
            <w:vAlign w:val="bottom"/>
          </w:tcPr>
          <w:p>
            <w:pPr>
              <w:spacing w:after="0"/>
              <w:rPr>
                <w:sz w:val="1"/>
                <w:szCs w:val="1"/>
                <w:color w:val="auto"/>
              </w:rPr>
            </w:pPr>
          </w:p>
        </w:tc>
      </w:tr>
      <w:tr>
        <w:trPr>
          <w:trHeight w:val="162"/>
        </w:trPr>
        <w:tc>
          <w:tcPr>
            <w:tcW w:w="2820" w:type="dxa"/>
            <w:vAlign w:val="bottom"/>
            <w:shd w:val="clear" w:color="auto" w:fill="505C81"/>
          </w:tcPr>
          <w:p>
            <w:pPr>
              <w:spacing w:after="0"/>
              <w:rPr>
                <w:sz w:val="14"/>
                <w:szCs w:val="14"/>
                <w:color w:val="auto"/>
              </w:rPr>
            </w:pPr>
          </w:p>
        </w:tc>
        <w:tc>
          <w:tcPr>
            <w:tcW w:w="3900" w:type="dxa"/>
            <w:vAlign w:val="bottom"/>
            <w:shd w:val="clear" w:color="auto" w:fill="505C81"/>
          </w:tcPr>
          <w:p>
            <w:pPr>
              <w:spacing w:after="0"/>
              <w:rPr>
                <w:sz w:val="14"/>
                <w:szCs w:val="14"/>
                <w:color w:val="auto"/>
              </w:rPr>
            </w:pPr>
          </w:p>
        </w:tc>
        <w:tc>
          <w:tcPr>
            <w:tcW w:w="1260" w:type="dxa"/>
            <w:vAlign w:val="bottom"/>
            <w:shd w:val="clear" w:color="auto" w:fill="505C81"/>
          </w:tcPr>
          <w:p>
            <w:pPr>
              <w:spacing w:after="0"/>
              <w:rPr>
                <w:sz w:val="14"/>
                <w:szCs w:val="14"/>
                <w:color w:val="auto"/>
              </w:rPr>
            </w:pPr>
          </w:p>
        </w:tc>
        <w:tc>
          <w:tcPr>
            <w:tcW w:w="1400" w:type="dxa"/>
            <w:vAlign w:val="bottom"/>
            <w:shd w:val="clear" w:color="auto" w:fill="505C81"/>
          </w:tcPr>
          <w:p>
            <w:pPr>
              <w:jc w:val="center"/>
              <w:spacing w:after="0"/>
              <w:rPr>
                <w:sz w:val="20"/>
                <w:szCs w:val="20"/>
                <w:color w:val="auto"/>
              </w:rPr>
            </w:pPr>
            <w:r>
              <w:rPr>
                <w:rFonts w:ascii="Arial" w:cs="Arial" w:eastAsia="Arial" w:hAnsi="Arial"/>
                <w:sz w:val="14"/>
                <w:szCs w:val="14"/>
                <w:b w:val="1"/>
                <w:bCs w:val="1"/>
                <w:color w:val="FFFFFF"/>
              </w:rPr>
              <w:t>COMMITTEES</w:t>
            </w:r>
          </w:p>
        </w:tc>
        <w:tc>
          <w:tcPr>
            <w:tcW w:w="1260" w:type="dxa"/>
            <w:vAlign w:val="bottom"/>
            <w:shd w:val="clear" w:color="auto" w:fill="505C81"/>
          </w:tcPr>
          <w:p>
            <w:pPr>
              <w:jc w:val="center"/>
              <w:ind w:left="28"/>
              <w:spacing w:after="0"/>
              <w:rPr>
                <w:sz w:val="20"/>
                <w:szCs w:val="20"/>
                <w:color w:val="auto"/>
              </w:rPr>
            </w:pPr>
            <w:r>
              <w:rPr>
                <w:rFonts w:ascii="Arial" w:cs="Arial" w:eastAsia="Arial" w:hAnsi="Arial"/>
                <w:sz w:val="14"/>
                <w:szCs w:val="14"/>
                <w:b w:val="1"/>
                <w:bCs w:val="1"/>
                <w:color w:val="FFFFFF"/>
              </w:rPr>
              <w:t>COMPANY</w:t>
            </w:r>
          </w:p>
        </w:tc>
        <w:tc>
          <w:tcPr>
            <w:tcW w:w="0" w:type="dxa"/>
            <w:vAlign w:val="bottom"/>
          </w:tcPr>
          <w:p>
            <w:pPr>
              <w:spacing w:after="0"/>
              <w:rPr>
                <w:sz w:val="1"/>
                <w:szCs w:val="1"/>
                <w:color w:val="auto"/>
              </w:rPr>
            </w:pPr>
          </w:p>
        </w:tc>
      </w:tr>
      <w:tr>
        <w:trPr>
          <w:trHeight w:val="189"/>
        </w:trPr>
        <w:tc>
          <w:tcPr>
            <w:tcW w:w="2820" w:type="dxa"/>
            <w:vAlign w:val="bottom"/>
            <w:shd w:val="clear" w:color="auto" w:fill="505C81"/>
          </w:tcPr>
          <w:p>
            <w:pPr>
              <w:ind w:left="1860"/>
              <w:spacing w:after="0"/>
              <w:rPr>
                <w:sz w:val="20"/>
                <w:szCs w:val="20"/>
                <w:color w:val="auto"/>
              </w:rPr>
            </w:pPr>
            <w:r>
              <w:rPr>
                <w:rFonts w:ascii="Arial" w:cs="Arial" w:eastAsia="Arial" w:hAnsi="Arial"/>
                <w:sz w:val="14"/>
                <w:szCs w:val="14"/>
                <w:b w:val="1"/>
                <w:bCs w:val="1"/>
                <w:color w:val="FFFFFF"/>
              </w:rPr>
              <w:t>NAME</w:t>
            </w:r>
          </w:p>
        </w:tc>
        <w:tc>
          <w:tcPr>
            <w:tcW w:w="3900" w:type="dxa"/>
            <w:vAlign w:val="bottom"/>
            <w:shd w:val="clear" w:color="auto" w:fill="505C81"/>
          </w:tcPr>
          <w:p>
            <w:pPr>
              <w:ind w:left="1640"/>
              <w:spacing w:after="0"/>
              <w:rPr>
                <w:sz w:val="20"/>
                <w:szCs w:val="20"/>
                <w:color w:val="auto"/>
              </w:rPr>
            </w:pPr>
            <w:r>
              <w:rPr>
                <w:rFonts w:ascii="Arial" w:cs="Arial" w:eastAsia="Arial" w:hAnsi="Arial"/>
                <w:sz w:val="14"/>
                <w:szCs w:val="14"/>
                <w:b w:val="1"/>
                <w:bCs w:val="1"/>
                <w:color w:val="FFFFFF"/>
              </w:rPr>
              <w:t>OCCUPATION</w:t>
            </w:r>
          </w:p>
        </w:tc>
        <w:tc>
          <w:tcPr>
            <w:tcW w:w="1260" w:type="dxa"/>
            <w:vAlign w:val="bottom"/>
            <w:shd w:val="clear" w:color="auto" w:fill="505C81"/>
          </w:tcPr>
          <w:p>
            <w:pPr>
              <w:jc w:val="center"/>
              <w:ind w:right="28"/>
              <w:spacing w:after="0"/>
              <w:rPr>
                <w:sz w:val="20"/>
                <w:szCs w:val="20"/>
                <w:color w:val="auto"/>
              </w:rPr>
            </w:pPr>
            <w:r>
              <w:rPr>
                <w:rFonts w:ascii="Arial" w:cs="Arial" w:eastAsia="Arial" w:hAnsi="Arial"/>
                <w:sz w:val="14"/>
                <w:szCs w:val="14"/>
                <w:b w:val="1"/>
                <w:bCs w:val="1"/>
                <w:color w:val="FFFFFF"/>
              </w:rPr>
              <w:t>INDEPENDENT</w:t>
            </w:r>
          </w:p>
        </w:tc>
        <w:tc>
          <w:tcPr>
            <w:tcW w:w="1400" w:type="dxa"/>
            <w:vAlign w:val="bottom"/>
            <w:shd w:val="clear" w:color="auto" w:fill="505C81"/>
          </w:tcPr>
          <w:p>
            <w:pPr>
              <w:jc w:val="center"/>
              <w:spacing w:after="0"/>
              <w:rPr>
                <w:sz w:val="20"/>
                <w:szCs w:val="20"/>
                <w:color w:val="auto"/>
              </w:rPr>
            </w:pPr>
            <w:r>
              <w:rPr>
                <w:rFonts w:ascii="Arial" w:cs="Arial" w:eastAsia="Arial" w:hAnsi="Arial"/>
                <w:sz w:val="14"/>
                <w:szCs w:val="14"/>
                <w:b w:val="1"/>
                <w:bCs w:val="1"/>
                <w:color w:val="FFFFFF"/>
              </w:rPr>
              <w:t>MEMBERSHIPS*</w:t>
            </w:r>
          </w:p>
        </w:tc>
        <w:tc>
          <w:tcPr>
            <w:tcW w:w="1260" w:type="dxa"/>
            <w:vAlign w:val="bottom"/>
            <w:shd w:val="clear" w:color="auto" w:fill="505C81"/>
          </w:tcPr>
          <w:p>
            <w:pPr>
              <w:jc w:val="center"/>
              <w:ind w:left="48"/>
              <w:spacing w:after="0"/>
              <w:rPr>
                <w:sz w:val="20"/>
                <w:szCs w:val="20"/>
                <w:color w:val="auto"/>
              </w:rPr>
            </w:pPr>
            <w:r>
              <w:rPr>
                <w:rFonts w:ascii="Arial" w:cs="Arial" w:eastAsia="Arial" w:hAnsi="Arial"/>
                <w:sz w:val="14"/>
                <w:szCs w:val="14"/>
                <w:b w:val="1"/>
                <w:bCs w:val="1"/>
                <w:color w:val="FFFFFF"/>
              </w:rPr>
              <w:t>BOARDS</w:t>
            </w:r>
          </w:p>
        </w:tc>
        <w:tc>
          <w:tcPr>
            <w:tcW w:w="0" w:type="dxa"/>
            <w:vAlign w:val="bottom"/>
          </w:tcPr>
          <w:p>
            <w:pPr>
              <w:spacing w:after="0"/>
              <w:rPr>
                <w:sz w:val="1"/>
                <w:szCs w:val="1"/>
                <w:color w:val="auto"/>
              </w:rPr>
            </w:pPr>
          </w:p>
        </w:tc>
      </w:tr>
      <w:tr>
        <w:trPr>
          <w:trHeight w:val="167"/>
        </w:trPr>
        <w:tc>
          <w:tcPr>
            <w:tcW w:w="2820" w:type="dxa"/>
            <w:vAlign w:val="bottom"/>
            <w:shd w:val="clear" w:color="auto" w:fill="D8D8D8"/>
          </w:tcPr>
          <w:p>
            <w:pPr>
              <w:ind w:left="1180"/>
              <w:spacing w:after="0"/>
              <w:rPr>
                <w:sz w:val="20"/>
                <w:szCs w:val="20"/>
                <w:color w:val="auto"/>
              </w:rPr>
            </w:pPr>
            <w:r>
              <w:rPr>
                <w:rFonts w:ascii="Arial" w:cs="Arial" w:eastAsia="Arial" w:hAnsi="Arial"/>
                <w:sz w:val="14"/>
                <w:szCs w:val="14"/>
                <w:b w:val="1"/>
                <w:bCs w:val="1"/>
                <w:color w:val="auto"/>
              </w:rPr>
              <w:t>Peter T. Francis</w:t>
            </w:r>
          </w:p>
        </w:tc>
        <w:tc>
          <w:tcPr>
            <w:tcW w:w="3900" w:type="dxa"/>
            <w:vAlign w:val="bottom"/>
            <w:shd w:val="clear" w:color="auto" w:fill="D8D8D8"/>
          </w:tcPr>
          <w:p>
            <w:pPr>
              <w:ind w:left="360"/>
              <w:spacing w:after="0"/>
              <w:rPr>
                <w:sz w:val="20"/>
                <w:szCs w:val="20"/>
                <w:color w:val="auto"/>
              </w:rPr>
            </w:pPr>
            <w:r>
              <w:rPr>
                <w:rFonts w:ascii="Arial" w:cs="Arial" w:eastAsia="Arial" w:hAnsi="Arial"/>
                <w:sz w:val="14"/>
                <w:szCs w:val="14"/>
                <w:color w:val="auto"/>
              </w:rPr>
              <w:t>Former President and CEO of J.M. Huber Corporation;</w:t>
            </w:r>
          </w:p>
        </w:tc>
        <w:tc>
          <w:tcPr>
            <w:tcW w:w="1260" w:type="dxa"/>
            <w:vAlign w:val="bottom"/>
            <w:shd w:val="clear" w:color="auto" w:fill="D8D8D8"/>
          </w:tcPr>
          <w:p>
            <w:pPr>
              <w:spacing w:after="0"/>
              <w:rPr>
                <w:sz w:val="14"/>
                <w:szCs w:val="14"/>
                <w:color w:val="auto"/>
              </w:rPr>
            </w:pPr>
          </w:p>
        </w:tc>
        <w:tc>
          <w:tcPr>
            <w:tcW w:w="1400" w:type="dxa"/>
            <w:vAlign w:val="bottom"/>
            <w:shd w:val="clear" w:color="auto" w:fill="D8D8D8"/>
          </w:tcPr>
          <w:p>
            <w:pPr>
              <w:spacing w:after="0"/>
              <w:rPr>
                <w:sz w:val="14"/>
                <w:szCs w:val="14"/>
                <w:color w:val="auto"/>
              </w:rPr>
            </w:pPr>
          </w:p>
        </w:tc>
        <w:tc>
          <w:tcPr>
            <w:tcW w:w="1260" w:type="dxa"/>
            <w:vAlign w:val="bottom"/>
            <w:shd w:val="clear" w:color="auto" w:fill="D8D8D8"/>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shd w:val="clear" w:color="auto" w:fill="D8D8D8"/>
          </w:tcPr>
          <w:p>
            <w:pPr>
              <w:ind w:left="1180"/>
              <w:spacing w:after="0"/>
              <w:rPr>
                <w:sz w:val="20"/>
                <w:szCs w:val="20"/>
                <w:color w:val="auto"/>
              </w:rPr>
            </w:pPr>
            <w:r>
              <w:rPr>
                <w:rFonts w:ascii="Arial" w:cs="Arial" w:eastAsia="Arial" w:hAnsi="Arial"/>
                <w:sz w:val="14"/>
                <w:szCs w:val="14"/>
                <w:color w:val="auto"/>
              </w:rPr>
              <w:t>Age: 65</w:t>
            </w:r>
          </w:p>
        </w:tc>
        <w:tc>
          <w:tcPr>
            <w:tcW w:w="3900" w:type="dxa"/>
            <w:vAlign w:val="bottom"/>
            <w:shd w:val="clear" w:color="auto" w:fill="D8D8D8"/>
          </w:tcPr>
          <w:p>
            <w:pPr>
              <w:ind w:left="360"/>
              <w:spacing w:after="0"/>
              <w:rPr>
                <w:sz w:val="20"/>
                <w:szCs w:val="20"/>
                <w:color w:val="auto"/>
              </w:rPr>
            </w:pPr>
            <w:r>
              <w:rPr>
                <w:rFonts w:ascii="Arial" w:cs="Arial" w:eastAsia="Arial" w:hAnsi="Arial"/>
                <w:sz w:val="14"/>
                <w:szCs w:val="14"/>
                <w:color w:val="auto"/>
              </w:rPr>
              <w:t>Managing Member of Mukilteo Investment</w:t>
            </w:r>
          </w:p>
        </w:tc>
        <w:tc>
          <w:tcPr>
            <w:tcW w:w="1260" w:type="dxa"/>
            <w:vAlign w:val="bottom"/>
            <w:vMerge w:val="restart"/>
            <w:shd w:val="clear" w:color="auto" w:fill="D8D8D8"/>
          </w:tcPr>
          <w:p>
            <w:pPr>
              <w:jc w:val="center"/>
              <w:ind w:right="28"/>
              <w:spacing w:after="0"/>
              <w:rPr>
                <w:sz w:val="20"/>
                <w:szCs w:val="20"/>
                <w:color w:val="auto"/>
              </w:rPr>
            </w:pPr>
            <w:r>
              <w:rPr>
                <w:rFonts w:ascii="Arial" w:cs="Arial" w:eastAsia="Arial" w:hAnsi="Arial"/>
                <w:sz w:val="14"/>
                <w:szCs w:val="14"/>
                <w:color w:val="auto"/>
                <w:w w:val="99"/>
              </w:rPr>
              <w:t>Yes</w:t>
            </w:r>
          </w:p>
        </w:tc>
        <w:tc>
          <w:tcPr>
            <w:tcW w:w="1400" w:type="dxa"/>
            <w:vAlign w:val="bottom"/>
            <w:vMerge w:val="restart"/>
            <w:shd w:val="clear" w:color="auto" w:fill="D8D8D8"/>
          </w:tcPr>
          <w:p>
            <w:pPr>
              <w:jc w:val="center"/>
              <w:spacing w:after="0"/>
              <w:rPr>
                <w:sz w:val="20"/>
                <w:szCs w:val="20"/>
                <w:color w:val="auto"/>
              </w:rPr>
            </w:pPr>
            <w:r>
              <w:rPr>
                <w:rFonts w:ascii="Arial" w:cs="Arial" w:eastAsia="Arial" w:hAnsi="Arial"/>
                <w:sz w:val="14"/>
                <w:szCs w:val="14"/>
                <w:color w:val="auto"/>
              </w:rPr>
              <w:t>C</w:t>
            </w:r>
          </w:p>
        </w:tc>
        <w:tc>
          <w:tcPr>
            <w:tcW w:w="1260" w:type="dxa"/>
            <w:vAlign w:val="bottom"/>
            <w:vMerge w:val="restart"/>
            <w:shd w:val="clear" w:color="auto" w:fill="D8D8D8"/>
          </w:tcPr>
          <w:p>
            <w:pPr>
              <w:jc w:val="center"/>
              <w:ind w:left="28"/>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64"/>
        </w:trPr>
        <w:tc>
          <w:tcPr>
            <w:tcW w:w="2820" w:type="dxa"/>
            <w:vAlign w:val="bottom"/>
            <w:vMerge w:val="restart"/>
            <w:shd w:val="clear" w:color="auto" w:fill="D8D8D8"/>
          </w:tcPr>
          <w:p>
            <w:pPr>
              <w:ind w:left="1180"/>
              <w:spacing w:after="0"/>
              <w:rPr>
                <w:sz w:val="20"/>
                <w:szCs w:val="20"/>
                <w:color w:val="auto"/>
              </w:rPr>
            </w:pPr>
            <w:r>
              <w:rPr>
                <w:rFonts w:ascii="Arial" w:cs="Arial" w:eastAsia="Arial" w:hAnsi="Arial"/>
                <w:sz w:val="14"/>
                <w:szCs w:val="14"/>
                <w:color w:val="auto"/>
              </w:rPr>
              <w:t>Director Since: 2007</w:t>
            </w:r>
          </w:p>
        </w:tc>
        <w:tc>
          <w:tcPr>
            <w:tcW w:w="3900" w:type="dxa"/>
            <w:vAlign w:val="bottom"/>
            <w:vMerge w:val="restart"/>
            <w:shd w:val="clear" w:color="auto" w:fill="D8D8D8"/>
          </w:tcPr>
          <w:p>
            <w:pPr>
              <w:ind w:left="360"/>
              <w:spacing w:after="0"/>
              <w:rPr>
                <w:sz w:val="20"/>
                <w:szCs w:val="20"/>
                <w:color w:val="auto"/>
              </w:rPr>
            </w:pPr>
            <w:r>
              <w:rPr>
                <w:rFonts w:ascii="Arial" w:cs="Arial" w:eastAsia="Arial" w:hAnsi="Arial"/>
                <w:sz w:val="14"/>
                <w:szCs w:val="14"/>
                <w:color w:val="auto"/>
              </w:rPr>
              <w:t>Management Company</w:t>
            </w:r>
          </w:p>
        </w:tc>
        <w:tc>
          <w:tcPr>
            <w:tcW w:w="1260" w:type="dxa"/>
            <w:vAlign w:val="bottom"/>
            <w:vMerge w:val="continue"/>
            <w:shd w:val="clear" w:color="auto" w:fill="D8D8D8"/>
          </w:tcPr>
          <w:p>
            <w:pPr>
              <w:spacing w:after="0"/>
              <w:rPr>
                <w:sz w:val="5"/>
                <w:szCs w:val="5"/>
                <w:color w:val="auto"/>
              </w:rPr>
            </w:pPr>
          </w:p>
        </w:tc>
        <w:tc>
          <w:tcPr>
            <w:tcW w:w="1400" w:type="dxa"/>
            <w:vAlign w:val="bottom"/>
            <w:vMerge w:val="continue"/>
            <w:shd w:val="clear" w:color="auto" w:fill="D8D8D8"/>
          </w:tcPr>
          <w:p>
            <w:pPr>
              <w:spacing w:after="0"/>
              <w:rPr>
                <w:sz w:val="5"/>
                <w:szCs w:val="5"/>
                <w:color w:val="auto"/>
              </w:rPr>
            </w:pPr>
          </w:p>
        </w:tc>
        <w:tc>
          <w:tcPr>
            <w:tcW w:w="1260" w:type="dxa"/>
            <w:vAlign w:val="bottom"/>
            <w:vMerge w:val="continue"/>
            <w:shd w:val="clear" w:color="auto" w:fill="D8D8D8"/>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820" w:type="dxa"/>
            <w:vAlign w:val="bottom"/>
            <w:vMerge w:val="continue"/>
            <w:shd w:val="clear" w:color="auto" w:fill="D8D8D8"/>
          </w:tcPr>
          <w:p>
            <w:pPr>
              <w:spacing w:after="0"/>
              <w:rPr>
                <w:sz w:val="9"/>
                <w:szCs w:val="9"/>
                <w:color w:val="auto"/>
              </w:rPr>
            </w:pPr>
          </w:p>
        </w:tc>
        <w:tc>
          <w:tcPr>
            <w:tcW w:w="3900" w:type="dxa"/>
            <w:vAlign w:val="bottom"/>
            <w:vMerge w:val="continue"/>
            <w:shd w:val="clear" w:color="auto" w:fill="D8D8D8"/>
          </w:tcPr>
          <w:p>
            <w:pPr>
              <w:spacing w:after="0"/>
              <w:rPr>
                <w:sz w:val="9"/>
                <w:szCs w:val="9"/>
                <w:color w:val="auto"/>
              </w:rPr>
            </w:pPr>
          </w:p>
        </w:tc>
        <w:tc>
          <w:tcPr>
            <w:tcW w:w="1260" w:type="dxa"/>
            <w:vAlign w:val="bottom"/>
            <w:shd w:val="clear" w:color="auto" w:fill="D8D8D8"/>
          </w:tcPr>
          <w:p>
            <w:pPr>
              <w:spacing w:after="0"/>
              <w:rPr>
                <w:sz w:val="9"/>
                <w:szCs w:val="9"/>
                <w:color w:val="auto"/>
              </w:rPr>
            </w:pPr>
          </w:p>
        </w:tc>
        <w:tc>
          <w:tcPr>
            <w:tcW w:w="1400" w:type="dxa"/>
            <w:vAlign w:val="bottom"/>
            <w:shd w:val="clear" w:color="auto" w:fill="D8D8D8"/>
          </w:tcPr>
          <w:p>
            <w:pPr>
              <w:spacing w:after="0"/>
              <w:rPr>
                <w:sz w:val="9"/>
                <w:szCs w:val="9"/>
                <w:color w:val="auto"/>
              </w:rPr>
            </w:pPr>
          </w:p>
        </w:tc>
        <w:tc>
          <w:tcPr>
            <w:tcW w:w="1260" w:type="dxa"/>
            <w:vAlign w:val="bottom"/>
            <w:shd w:val="clear" w:color="auto" w:fill="D8D8D8"/>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820" w:type="dxa"/>
            <w:vAlign w:val="bottom"/>
            <w:shd w:val="clear" w:color="auto" w:fill="D8D8D8"/>
          </w:tcPr>
          <w:p>
            <w:pPr>
              <w:spacing w:after="0"/>
              <w:rPr>
                <w:sz w:val="9"/>
                <w:szCs w:val="9"/>
                <w:color w:val="auto"/>
              </w:rPr>
            </w:pPr>
          </w:p>
        </w:tc>
        <w:tc>
          <w:tcPr>
            <w:tcW w:w="3900" w:type="dxa"/>
            <w:vAlign w:val="bottom"/>
            <w:shd w:val="clear" w:color="auto" w:fill="D8D8D8"/>
          </w:tcPr>
          <w:p>
            <w:pPr>
              <w:spacing w:after="0"/>
              <w:rPr>
                <w:sz w:val="9"/>
                <w:szCs w:val="9"/>
                <w:color w:val="auto"/>
              </w:rPr>
            </w:pPr>
          </w:p>
        </w:tc>
        <w:tc>
          <w:tcPr>
            <w:tcW w:w="1260" w:type="dxa"/>
            <w:vAlign w:val="bottom"/>
            <w:shd w:val="clear" w:color="auto" w:fill="D8D8D8"/>
          </w:tcPr>
          <w:p>
            <w:pPr>
              <w:spacing w:after="0"/>
              <w:rPr>
                <w:sz w:val="9"/>
                <w:szCs w:val="9"/>
                <w:color w:val="auto"/>
              </w:rPr>
            </w:pPr>
          </w:p>
        </w:tc>
        <w:tc>
          <w:tcPr>
            <w:tcW w:w="1400" w:type="dxa"/>
            <w:vAlign w:val="bottom"/>
            <w:shd w:val="clear" w:color="auto" w:fill="D8D8D8"/>
          </w:tcPr>
          <w:p>
            <w:pPr>
              <w:spacing w:after="0"/>
              <w:rPr>
                <w:sz w:val="9"/>
                <w:szCs w:val="9"/>
                <w:color w:val="auto"/>
              </w:rPr>
            </w:pPr>
          </w:p>
        </w:tc>
        <w:tc>
          <w:tcPr>
            <w:tcW w:w="1260" w:type="dxa"/>
            <w:vAlign w:val="bottom"/>
            <w:shd w:val="clear" w:color="auto" w:fill="D8D8D8"/>
          </w:tcPr>
          <w:p>
            <w:pPr>
              <w:spacing w:after="0"/>
              <w:rPr>
                <w:sz w:val="9"/>
                <w:szCs w:val="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20"/>
          </w:cols>
          <w:pgMar w:left="240" w:top="459" w:right="439" w:bottom="1440" w:gutter="0" w:footer="0" w:header="0"/>
        </w:sectPr>
      </w:pPr>
    </w:p>
    <w:p>
      <w:pPr>
        <w:ind w:left="1560"/>
        <w:spacing w:after="0"/>
        <w:rPr>
          <w:sz w:val="20"/>
          <w:szCs w:val="20"/>
          <w:color w:val="auto"/>
        </w:rPr>
      </w:pPr>
      <w:r>
        <w:rPr>
          <w:rFonts w:ascii="Arial" w:cs="Arial" w:eastAsia="Arial" w:hAnsi="Arial"/>
          <w:sz w:val="14"/>
          <w:szCs w:val="14"/>
          <w:b w:val="1"/>
          <w:bCs w:val="1"/>
          <w:color w:val="auto"/>
        </w:rPr>
        <w:t>Kristiane C. Graham</w:t>
      </w:r>
    </w:p>
    <w:p>
      <w:pPr>
        <w:spacing w:after="0" w:line="6" w:lineRule="exact"/>
        <w:rPr>
          <w:sz w:val="20"/>
          <w:szCs w:val="20"/>
          <w:color w:val="auto"/>
        </w:rPr>
      </w:pPr>
    </w:p>
    <w:p>
      <w:pPr>
        <w:ind w:left="1560"/>
        <w:spacing w:after="0"/>
        <w:rPr>
          <w:sz w:val="20"/>
          <w:szCs w:val="20"/>
          <w:color w:val="auto"/>
        </w:rPr>
      </w:pPr>
      <w:r>
        <w:rPr>
          <w:rFonts w:ascii="Arial" w:cs="Arial" w:eastAsia="Arial" w:hAnsi="Arial"/>
          <w:sz w:val="14"/>
          <w:szCs w:val="14"/>
          <w:color w:val="auto"/>
        </w:rPr>
        <w:t>Age: 60</w:t>
      </w:r>
    </w:p>
    <w:p>
      <w:pPr>
        <w:spacing w:after="0" w:line="1" w:lineRule="exact"/>
        <w:rPr>
          <w:sz w:val="20"/>
          <w:szCs w:val="20"/>
          <w:color w:val="auto"/>
        </w:rPr>
      </w:pPr>
    </w:p>
    <w:p>
      <w:pPr>
        <w:ind w:left="1560"/>
        <w:spacing w:after="0"/>
        <w:rPr>
          <w:sz w:val="20"/>
          <w:szCs w:val="20"/>
          <w:color w:val="auto"/>
        </w:rPr>
      </w:pPr>
      <w:r>
        <w:rPr>
          <w:rFonts w:ascii="Arial" w:cs="Arial" w:eastAsia="Arial" w:hAnsi="Arial"/>
          <w:sz w:val="14"/>
          <w:szCs w:val="14"/>
          <w:color w:val="auto"/>
        </w:rPr>
        <w:t>Director Since: 1999</w:t>
      </w:r>
    </w:p>
    <w:p>
      <w:pPr>
        <w:spacing w:after="0" w:line="104" w:lineRule="exact"/>
        <w:rPr>
          <w:sz w:val="20"/>
          <w:szCs w:val="20"/>
          <w:color w:val="auto"/>
        </w:rPr>
      </w:pPr>
    </w:p>
    <w:p>
      <w:pPr>
        <w:ind w:left="1560"/>
        <w:spacing w:after="0"/>
        <w:rPr>
          <w:sz w:val="20"/>
          <w:szCs w:val="20"/>
          <w:color w:val="auto"/>
        </w:rPr>
      </w:pPr>
      <w:r>
        <w:rPr>
          <w:rFonts w:ascii="Arial" w:cs="Arial" w:eastAsia="Arial" w:hAnsi="Arial"/>
          <w:sz w:val="14"/>
          <w:szCs w:val="14"/>
          <w:b w:val="1"/>
          <w:bCs w:val="1"/>
          <w:color w:val="auto"/>
        </w:rPr>
        <w:t>Michael F. Johnston</w:t>
      </w:r>
    </w:p>
    <w:p>
      <w:pPr>
        <w:spacing w:after="0" w:line="19" w:lineRule="exact"/>
        <w:rPr>
          <w:sz w:val="20"/>
          <w:szCs w:val="20"/>
          <w:color w:val="auto"/>
        </w:rPr>
      </w:pPr>
    </w:p>
    <w:p>
      <w:pPr>
        <w:ind w:left="1560"/>
        <w:spacing w:after="0"/>
        <w:rPr>
          <w:sz w:val="20"/>
          <w:szCs w:val="20"/>
          <w:color w:val="auto"/>
        </w:rPr>
      </w:pPr>
      <w:r>
        <w:rPr>
          <w:rFonts w:ascii="Arial" w:cs="Arial" w:eastAsia="Arial" w:hAnsi="Arial"/>
          <w:sz w:val="14"/>
          <w:szCs w:val="14"/>
          <w:i w:val="1"/>
          <w:iCs w:val="1"/>
          <w:color w:val="auto"/>
        </w:rPr>
        <w:t>Chairman of the Board</w:t>
      </w:r>
    </w:p>
    <w:p>
      <w:pPr>
        <w:spacing w:after="0" w:line="1" w:lineRule="exact"/>
        <w:rPr>
          <w:sz w:val="20"/>
          <w:szCs w:val="20"/>
          <w:color w:val="auto"/>
        </w:rPr>
      </w:pPr>
    </w:p>
    <w:p>
      <w:pPr>
        <w:ind w:left="1560"/>
        <w:spacing w:after="0"/>
        <w:rPr>
          <w:sz w:val="20"/>
          <w:szCs w:val="20"/>
          <w:color w:val="auto"/>
        </w:rPr>
      </w:pPr>
      <w:r>
        <w:rPr>
          <w:rFonts w:ascii="Arial" w:cs="Arial" w:eastAsia="Arial" w:hAnsi="Arial"/>
          <w:sz w:val="14"/>
          <w:szCs w:val="14"/>
          <w:color w:val="auto"/>
        </w:rPr>
        <w:t>Age: 70</w:t>
      </w:r>
    </w:p>
    <w:p>
      <w:pPr>
        <w:spacing w:after="0" w:line="1" w:lineRule="exact"/>
        <w:rPr>
          <w:sz w:val="20"/>
          <w:szCs w:val="20"/>
          <w:color w:val="auto"/>
        </w:rPr>
      </w:pPr>
    </w:p>
    <w:p>
      <w:pPr>
        <w:ind w:left="1560"/>
        <w:spacing w:after="0"/>
        <w:rPr>
          <w:sz w:val="20"/>
          <w:szCs w:val="20"/>
          <w:color w:val="auto"/>
        </w:rPr>
      </w:pPr>
      <w:r>
        <w:rPr>
          <w:rFonts w:ascii="Arial" w:cs="Arial" w:eastAsia="Arial" w:hAnsi="Arial"/>
          <w:sz w:val="14"/>
          <w:szCs w:val="14"/>
          <w:color w:val="auto"/>
        </w:rPr>
        <w:t>Director Since: 2013</w:t>
      </w:r>
    </w:p>
    <w:p>
      <w:pPr>
        <w:spacing w:after="0" w:line="11" w:lineRule="exact"/>
        <w:rPr>
          <w:sz w:val="20"/>
          <w:szCs w:val="20"/>
          <w:color w:val="auto"/>
        </w:rPr>
      </w:pPr>
    </w:p>
    <w:p>
      <w:pPr>
        <w:ind w:left="1560"/>
        <w:spacing w:after="0"/>
        <w:rPr>
          <w:sz w:val="20"/>
          <w:szCs w:val="20"/>
          <w:color w:val="auto"/>
        </w:rPr>
      </w:pPr>
      <w:r>
        <w:rPr>
          <w:rFonts w:ascii="Arial" w:cs="Arial" w:eastAsia="Arial" w:hAnsi="Arial"/>
          <w:sz w:val="14"/>
          <w:szCs w:val="14"/>
          <w:b w:val="1"/>
          <w:bCs w:val="1"/>
          <w:color w:val="auto"/>
        </w:rPr>
        <w:t>Richard K. Lochridge</w:t>
      </w:r>
    </w:p>
    <w:p>
      <w:pPr>
        <w:spacing w:after="0" w:line="4" w:lineRule="exact"/>
        <w:rPr>
          <w:sz w:val="20"/>
          <w:szCs w:val="20"/>
          <w:color w:val="auto"/>
        </w:rPr>
      </w:pPr>
    </w:p>
    <w:p>
      <w:pPr>
        <w:ind w:left="1560"/>
        <w:spacing w:after="0"/>
        <w:rPr>
          <w:sz w:val="20"/>
          <w:szCs w:val="20"/>
          <w:color w:val="auto"/>
        </w:rPr>
      </w:pPr>
      <w:r>
        <w:rPr>
          <w:rFonts w:ascii="Arial" w:cs="Arial" w:eastAsia="Arial" w:hAnsi="Arial"/>
          <w:sz w:val="14"/>
          <w:szCs w:val="14"/>
          <w:color w:val="auto"/>
        </w:rPr>
        <w:t>Age: 74</w:t>
      </w:r>
    </w:p>
    <w:p>
      <w:pPr>
        <w:spacing w:after="0" w:line="1" w:lineRule="exact"/>
        <w:rPr>
          <w:sz w:val="20"/>
          <w:szCs w:val="20"/>
          <w:color w:val="auto"/>
        </w:rPr>
      </w:pPr>
    </w:p>
    <w:p>
      <w:pPr>
        <w:ind w:left="1560"/>
        <w:spacing w:after="0"/>
        <w:rPr>
          <w:sz w:val="20"/>
          <w:szCs w:val="20"/>
          <w:color w:val="auto"/>
        </w:rPr>
      </w:pPr>
      <w:r>
        <w:rPr>
          <w:rFonts w:ascii="Arial" w:cs="Arial" w:eastAsia="Arial" w:hAnsi="Arial"/>
          <w:sz w:val="14"/>
          <w:szCs w:val="14"/>
          <w:color w:val="auto"/>
        </w:rPr>
        <w:t>Director Since: 1999</w:t>
      </w:r>
    </w:p>
    <w:p>
      <w:pPr>
        <w:spacing w:after="0" w:line="104" w:lineRule="exact"/>
        <w:rPr>
          <w:sz w:val="20"/>
          <w:szCs w:val="20"/>
          <w:color w:val="auto"/>
        </w:rPr>
      </w:pPr>
    </w:p>
    <w:p>
      <w:pPr>
        <w:ind w:left="1560"/>
        <w:spacing w:after="0"/>
        <w:rPr>
          <w:sz w:val="20"/>
          <w:szCs w:val="20"/>
          <w:color w:val="auto"/>
        </w:rPr>
      </w:pPr>
      <w:r>
        <w:rPr>
          <w:rFonts w:ascii="Arial" w:cs="Arial" w:eastAsia="Arial" w:hAnsi="Arial"/>
          <w:sz w:val="14"/>
          <w:szCs w:val="14"/>
          <w:b w:val="1"/>
          <w:bCs w:val="1"/>
          <w:color w:val="auto"/>
        </w:rPr>
        <w:t>Eric A. Spiegel</w:t>
      </w:r>
    </w:p>
    <w:p>
      <w:pPr>
        <w:spacing w:after="0" w:line="19" w:lineRule="exact"/>
        <w:rPr>
          <w:sz w:val="20"/>
          <w:szCs w:val="20"/>
          <w:color w:val="auto"/>
        </w:rPr>
      </w:pPr>
    </w:p>
    <w:p>
      <w:pPr>
        <w:ind w:left="1560"/>
        <w:spacing w:after="0"/>
        <w:rPr>
          <w:sz w:val="20"/>
          <w:szCs w:val="20"/>
          <w:color w:val="auto"/>
        </w:rPr>
      </w:pPr>
      <w:r>
        <w:rPr>
          <w:rFonts w:ascii="Arial" w:cs="Arial" w:eastAsia="Arial" w:hAnsi="Arial"/>
          <w:sz w:val="14"/>
          <w:szCs w:val="14"/>
          <w:color w:val="auto"/>
        </w:rPr>
        <w:t>Age: 60</w:t>
      </w:r>
    </w:p>
    <w:p>
      <w:pPr>
        <w:spacing w:after="0" w:line="1" w:lineRule="exact"/>
        <w:rPr>
          <w:sz w:val="20"/>
          <w:szCs w:val="20"/>
          <w:color w:val="auto"/>
        </w:rPr>
      </w:pPr>
    </w:p>
    <w:p>
      <w:pPr>
        <w:ind w:left="1560"/>
        <w:spacing w:after="0"/>
        <w:rPr>
          <w:sz w:val="20"/>
          <w:szCs w:val="20"/>
          <w:color w:val="auto"/>
        </w:rPr>
      </w:pPr>
      <w:r>
        <w:rPr>
          <w:rFonts w:ascii="Arial" w:cs="Arial" w:eastAsia="Arial" w:hAnsi="Arial"/>
          <w:sz w:val="14"/>
          <w:szCs w:val="14"/>
          <w:color w:val="auto"/>
        </w:rPr>
        <w:t>Director Since: 2017</w:t>
      </w:r>
    </w:p>
    <w:p>
      <w:pPr>
        <w:spacing w:after="0" w:line="77" w:lineRule="exact"/>
        <w:rPr>
          <w:sz w:val="20"/>
          <w:szCs w:val="20"/>
          <w:color w:val="auto"/>
        </w:rPr>
      </w:pPr>
    </w:p>
    <w:p>
      <w:pPr>
        <w:ind w:left="1560"/>
        <w:spacing w:after="0"/>
        <w:rPr>
          <w:sz w:val="20"/>
          <w:szCs w:val="20"/>
          <w:color w:val="auto"/>
        </w:rPr>
      </w:pPr>
      <w:r>
        <w:rPr>
          <w:rFonts w:ascii="Arial" w:cs="Arial" w:eastAsia="Arial" w:hAnsi="Arial"/>
          <w:sz w:val="14"/>
          <w:szCs w:val="14"/>
          <w:b w:val="1"/>
          <w:bCs w:val="1"/>
          <w:color w:val="auto"/>
        </w:rPr>
        <w:t>Richard J. Tobin</w:t>
      </w:r>
    </w:p>
    <w:p>
      <w:pPr>
        <w:spacing w:after="0" w:line="19" w:lineRule="exact"/>
        <w:rPr>
          <w:sz w:val="20"/>
          <w:szCs w:val="20"/>
          <w:color w:val="auto"/>
        </w:rPr>
      </w:pPr>
    </w:p>
    <w:p>
      <w:pPr>
        <w:ind w:left="1560"/>
        <w:spacing w:after="0"/>
        <w:rPr>
          <w:sz w:val="20"/>
          <w:szCs w:val="20"/>
          <w:color w:val="auto"/>
        </w:rPr>
      </w:pPr>
      <w:r>
        <w:rPr>
          <w:rFonts w:ascii="Arial" w:cs="Arial" w:eastAsia="Arial" w:hAnsi="Arial"/>
          <w:sz w:val="14"/>
          <w:szCs w:val="14"/>
          <w:color w:val="auto"/>
        </w:rPr>
        <w:t>Age: 54</w:t>
      </w:r>
    </w:p>
    <w:p>
      <w:pPr>
        <w:spacing w:after="0" w:line="1" w:lineRule="exact"/>
        <w:rPr>
          <w:sz w:val="20"/>
          <w:szCs w:val="20"/>
          <w:color w:val="auto"/>
        </w:rPr>
      </w:pPr>
    </w:p>
    <w:p>
      <w:pPr>
        <w:ind w:left="1560"/>
        <w:spacing w:after="0"/>
        <w:rPr>
          <w:sz w:val="20"/>
          <w:szCs w:val="20"/>
          <w:color w:val="auto"/>
        </w:rPr>
      </w:pPr>
      <w:r>
        <w:rPr>
          <w:rFonts w:ascii="Arial" w:cs="Arial" w:eastAsia="Arial" w:hAnsi="Arial"/>
          <w:sz w:val="14"/>
          <w:szCs w:val="14"/>
          <w:color w:val="auto"/>
        </w:rPr>
        <w:t>Director Since: 2016</w:t>
      </w:r>
    </w:p>
    <w:p>
      <w:pPr>
        <w:spacing w:after="0" w:line="158" w:lineRule="exact"/>
        <w:rPr>
          <w:sz w:val="20"/>
          <w:szCs w:val="20"/>
          <w:color w:val="auto"/>
        </w:rPr>
      </w:pPr>
    </w:p>
    <w:p>
      <w:pPr>
        <w:ind w:left="1560"/>
        <w:spacing w:after="0"/>
        <w:rPr>
          <w:sz w:val="20"/>
          <w:szCs w:val="20"/>
          <w:color w:val="auto"/>
        </w:rPr>
      </w:pPr>
      <w:r>
        <w:rPr>
          <w:rFonts w:ascii="Arial" w:cs="Arial" w:eastAsia="Arial" w:hAnsi="Arial"/>
          <w:sz w:val="14"/>
          <w:szCs w:val="14"/>
          <w:b w:val="1"/>
          <w:bCs w:val="1"/>
          <w:color w:val="auto"/>
        </w:rPr>
        <w:t>Stephen M. Todd</w:t>
      </w:r>
    </w:p>
    <w:p>
      <w:pPr>
        <w:spacing w:after="0" w:line="19" w:lineRule="exact"/>
        <w:rPr>
          <w:sz w:val="20"/>
          <w:szCs w:val="20"/>
          <w:color w:val="auto"/>
        </w:rPr>
      </w:pPr>
    </w:p>
    <w:p>
      <w:pPr>
        <w:ind w:left="1560"/>
        <w:spacing w:after="0"/>
        <w:rPr>
          <w:sz w:val="20"/>
          <w:szCs w:val="20"/>
          <w:color w:val="auto"/>
        </w:rPr>
      </w:pPr>
      <w:r>
        <w:rPr>
          <w:rFonts w:ascii="Arial" w:cs="Arial" w:eastAsia="Arial" w:hAnsi="Arial"/>
          <w:sz w:val="14"/>
          <w:szCs w:val="14"/>
          <w:color w:val="auto"/>
        </w:rPr>
        <w:t>Age: 69</w:t>
      </w:r>
    </w:p>
    <w:p>
      <w:pPr>
        <w:spacing w:after="0" w:line="1" w:lineRule="exact"/>
        <w:rPr>
          <w:sz w:val="20"/>
          <w:szCs w:val="20"/>
          <w:color w:val="auto"/>
        </w:rPr>
      </w:pPr>
    </w:p>
    <w:p>
      <w:pPr>
        <w:ind w:left="1560"/>
        <w:spacing w:after="0"/>
        <w:rPr>
          <w:sz w:val="20"/>
          <w:szCs w:val="20"/>
          <w:color w:val="auto"/>
        </w:rPr>
      </w:pPr>
      <w:r>
        <w:rPr>
          <w:rFonts w:ascii="Arial" w:cs="Arial" w:eastAsia="Arial" w:hAnsi="Arial"/>
          <w:sz w:val="14"/>
          <w:szCs w:val="14"/>
          <w:color w:val="auto"/>
        </w:rPr>
        <w:t>Director Since: 2010</w:t>
      </w:r>
    </w:p>
    <w:p>
      <w:pPr>
        <w:spacing w:after="0" w:line="145" w:lineRule="exact"/>
        <w:rPr>
          <w:sz w:val="20"/>
          <w:szCs w:val="20"/>
          <w:color w:val="auto"/>
        </w:rPr>
      </w:pPr>
    </w:p>
    <w:p>
      <w:pPr>
        <w:ind w:left="1560"/>
        <w:spacing w:after="0"/>
        <w:rPr>
          <w:sz w:val="20"/>
          <w:szCs w:val="20"/>
          <w:color w:val="auto"/>
        </w:rPr>
      </w:pPr>
      <w:r>
        <w:rPr>
          <w:rFonts w:ascii="Arial" w:cs="Arial" w:eastAsia="Arial" w:hAnsi="Arial"/>
          <w:sz w:val="14"/>
          <w:szCs w:val="14"/>
          <w:b w:val="1"/>
          <w:bCs w:val="1"/>
          <w:color w:val="auto"/>
        </w:rPr>
        <w:t>Stephen K. Wagner</w:t>
      </w:r>
    </w:p>
    <w:p>
      <w:pPr>
        <w:spacing w:after="0" w:line="19" w:lineRule="exact"/>
        <w:rPr>
          <w:sz w:val="20"/>
          <w:szCs w:val="20"/>
          <w:color w:val="auto"/>
        </w:rPr>
      </w:pPr>
    </w:p>
    <w:p>
      <w:pPr>
        <w:ind w:left="1560"/>
        <w:spacing w:after="0"/>
        <w:rPr>
          <w:sz w:val="20"/>
          <w:szCs w:val="20"/>
          <w:color w:val="auto"/>
        </w:rPr>
      </w:pPr>
      <w:r>
        <w:rPr>
          <w:rFonts w:ascii="Arial" w:cs="Arial" w:eastAsia="Arial" w:hAnsi="Arial"/>
          <w:sz w:val="14"/>
          <w:szCs w:val="14"/>
          <w:color w:val="auto"/>
        </w:rPr>
        <w:t>Age: 70</w:t>
      </w:r>
    </w:p>
    <w:p>
      <w:pPr>
        <w:spacing w:after="0" w:line="1" w:lineRule="exact"/>
        <w:rPr>
          <w:sz w:val="20"/>
          <w:szCs w:val="20"/>
          <w:color w:val="auto"/>
        </w:rPr>
      </w:pPr>
    </w:p>
    <w:p>
      <w:pPr>
        <w:ind w:left="1560"/>
        <w:spacing w:after="0"/>
        <w:rPr>
          <w:sz w:val="20"/>
          <w:szCs w:val="20"/>
          <w:color w:val="auto"/>
        </w:rPr>
      </w:pPr>
      <w:r>
        <w:rPr>
          <w:rFonts w:ascii="Arial" w:cs="Arial" w:eastAsia="Arial" w:hAnsi="Arial"/>
          <w:sz w:val="14"/>
          <w:szCs w:val="14"/>
          <w:color w:val="auto"/>
        </w:rPr>
        <w:t>Director Since: 2010</w:t>
      </w:r>
    </w:p>
    <w:p>
      <w:pPr>
        <w:spacing w:after="0" w:line="50" w:lineRule="exact"/>
        <w:rPr>
          <w:sz w:val="20"/>
          <w:szCs w:val="20"/>
          <w:color w:val="auto"/>
        </w:rPr>
      </w:pPr>
    </w:p>
    <w:p>
      <w:pPr>
        <w:ind w:left="1560"/>
        <w:spacing w:after="0"/>
        <w:rPr>
          <w:sz w:val="20"/>
          <w:szCs w:val="20"/>
          <w:color w:val="auto"/>
        </w:rPr>
      </w:pPr>
      <w:r>
        <w:rPr>
          <w:rFonts w:ascii="Arial" w:cs="Arial" w:eastAsia="Arial" w:hAnsi="Arial"/>
          <w:sz w:val="14"/>
          <w:szCs w:val="14"/>
          <w:b w:val="1"/>
          <w:bCs w:val="1"/>
          <w:color w:val="auto"/>
        </w:rPr>
        <w:t>Keith E. Wandell</w:t>
      </w:r>
    </w:p>
    <w:p>
      <w:pPr>
        <w:spacing w:after="0" w:line="19" w:lineRule="exact"/>
        <w:rPr>
          <w:sz w:val="20"/>
          <w:szCs w:val="20"/>
          <w:color w:val="auto"/>
        </w:rPr>
      </w:pPr>
    </w:p>
    <w:p>
      <w:pPr>
        <w:ind w:left="1560"/>
        <w:spacing w:after="0"/>
        <w:rPr>
          <w:sz w:val="20"/>
          <w:szCs w:val="20"/>
          <w:color w:val="auto"/>
        </w:rPr>
      </w:pPr>
      <w:r>
        <w:rPr>
          <w:rFonts w:ascii="Arial" w:cs="Arial" w:eastAsia="Arial" w:hAnsi="Arial"/>
          <w:sz w:val="14"/>
          <w:szCs w:val="14"/>
          <w:color w:val="auto"/>
        </w:rPr>
        <w:t>Age: 68</w:t>
      </w:r>
    </w:p>
    <w:p>
      <w:pPr>
        <w:spacing w:after="0" w:line="1" w:lineRule="exact"/>
        <w:rPr>
          <w:sz w:val="20"/>
          <w:szCs w:val="20"/>
          <w:color w:val="auto"/>
        </w:rPr>
      </w:pPr>
    </w:p>
    <w:p>
      <w:pPr>
        <w:ind w:left="1560"/>
        <w:spacing w:after="0"/>
        <w:rPr>
          <w:sz w:val="20"/>
          <w:szCs w:val="20"/>
          <w:color w:val="auto"/>
        </w:rPr>
      </w:pPr>
      <w:r>
        <w:rPr>
          <w:rFonts w:ascii="Arial" w:cs="Arial" w:eastAsia="Arial" w:hAnsi="Arial"/>
          <w:sz w:val="14"/>
          <w:szCs w:val="14"/>
          <w:color w:val="auto"/>
        </w:rPr>
        <w:t>Director Since: 2015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3620" w:type="dxa"/>
            <w:vAlign w:val="bottom"/>
          </w:tcPr>
          <w:p>
            <w:pPr>
              <w:spacing w:after="0"/>
              <w:rPr>
                <w:sz w:val="20"/>
                <w:szCs w:val="20"/>
                <w:color w:val="auto"/>
              </w:rPr>
            </w:pPr>
            <w:r>
              <w:rPr>
                <w:rFonts w:ascii="Arial" w:cs="Arial" w:eastAsia="Arial" w:hAnsi="Arial"/>
                <w:sz w:val="14"/>
                <w:szCs w:val="14"/>
                <w:color w:val="auto"/>
              </w:rPr>
              <w:t>Private Investor</w:t>
            </w:r>
          </w:p>
        </w:tc>
        <w:tc>
          <w:tcPr>
            <w:tcW w:w="1160" w:type="dxa"/>
            <w:vAlign w:val="bottom"/>
          </w:tcPr>
          <w:p>
            <w:pPr>
              <w:jc w:val="center"/>
              <w:ind w:right="88"/>
              <w:spacing w:after="0"/>
              <w:rPr>
                <w:sz w:val="20"/>
                <w:szCs w:val="20"/>
                <w:color w:val="auto"/>
              </w:rPr>
            </w:pPr>
            <w:r>
              <w:rPr>
                <w:rFonts w:ascii="Arial" w:cs="Arial" w:eastAsia="Arial" w:hAnsi="Arial"/>
                <w:sz w:val="14"/>
                <w:szCs w:val="14"/>
                <w:color w:val="auto"/>
                <w:w w:val="99"/>
              </w:rPr>
              <w:t>Yes</w:t>
            </w:r>
          </w:p>
        </w:tc>
        <w:tc>
          <w:tcPr>
            <w:tcW w:w="1600" w:type="dxa"/>
            <w:vAlign w:val="bottom"/>
          </w:tcPr>
          <w:p>
            <w:pPr>
              <w:jc w:val="center"/>
              <w:ind w:right="48"/>
              <w:spacing w:after="0"/>
              <w:rPr>
                <w:sz w:val="20"/>
                <w:szCs w:val="20"/>
                <w:color w:val="auto"/>
              </w:rPr>
            </w:pPr>
            <w:r>
              <w:rPr>
                <w:rFonts w:ascii="Arial" w:cs="Arial" w:eastAsia="Arial" w:hAnsi="Arial"/>
                <w:sz w:val="14"/>
                <w:szCs w:val="14"/>
                <w:color w:val="auto"/>
                <w:w w:val="97"/>
              </w:rPr>
              <w:t>C, G</w:t>
            </w:r>
          </w:p>
        </w:tc>
        <w:tc>
          <w:tcPr>
            <w:tcW w:w="540" w:type="dxa"/>
            <w:vAlign w:val="bottom"/>
          </w:tcPr>
          <w:p>
            <w:pPr>
              <w:jc w:val="right"/>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634"/>
        </w:trPr>
        <w:tc>
          <w:tcPr>
            <w:tcW w:w="3620" w:type="dxa"/>
            <w:vAlign w:val="bottom"/>
          </w:tcPr>
          <w:p>
            <w:pPr>
              <w:spacing w:after="0"/>
              <w:rPr>
                <w:sz w:val="20"/>
                <w:szCs w:val="20"/>
                <w:color w:val="auto"/>
              </w:rPr>
            </w:pPr>
            <w:r>
              <w:rPr>
                <w:rFonts w:ascii="Arial" w:cs="Arial" w:eastAsia="Arial" w:hAnsi="Arial"/>
                <w:sz w:val="14"/>
                <w:szCs w:val="14"/>
                <w:color w:val="auto"/>
              </w:rPr>
              <w:t>Retired CEO of Visteon Corp.</w:t>
            </w:r>
          </w:p>
        </w:tc>
        <w:tc>
          <w:tcPr>
            <w:tcW w:w="1160" w:type="dxa"/>
            <w:vAlign w:val="bottom"/>
          </w:tcPr>
          <w:p>
            <w:pPr>
              <w:jc w:val="center"/>
              <w:ind w:right="88"/>
              <w:spacing w:after="0"/>
              <w:rPr>
                <w:sz w:val="20"/>
                <w:szCs w:val="20"/>
                <w:color w:val="auto"/>
              </w:rPr>
            </w:pPr>
            <w:r>
              <w:rPr>
                <w:rFonts w:ascii="Arial" w:cs="Arial" w:eastAsia="Arial" w:hAnsi="Arial"/>
                <w:sz w:val="14"/>
                <w:szCs w:val="14"/>
                <w:color w:val="auto"/>
                <w:w w:val="99"/>
              </w:rPr>
              <w:t>Yes</w:t>
            </w:r>
          </w:p>
        </w:tc>
        <w:tc>
          <w:tcPr>
            <w:tcW w:w="1600" w:type="dxa"/>
            <w:vAlign w:val="bottom"/>
          </w:tcPr>
          <w:p>
            <w:pPr>
              <w:jc w:val="center"/>
              <w:ind w:right="48"/>
              <w:spacing w:after="0"/>
              <w:rPr>
                <w:sz w:val="20"/>
                <w:szCs w:val="20"/>
                <w:color w:val="auto"/>
              </w:rPr>
            </w:pPr>
            <w:r>
              <w:rPr>
                <w:rFonts w:ascii="Arial" w:cs="Arial" w:eastAsia="Arial" w:hAnsi="Arial"/>
                <w:sz w:val="14"/>
                <w:szCs w:val="14"/>
                <w:color w:val="auto"/>
                <w:w w:val="97"/>
              </w:rPr>
              <w:t>C, G</w:t>
            </w:r>
          </w:p>
        </w:tc>
        <w:tc>
          <w:tcPr>
            <w:tcW w:w="54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634"/>
        </w:trPr>
        <w:tc>
          <w:tcPr>
            <w:tcW w:w="3620" w:type="dxa"/>
            <w:vAlign w:val="bottom"/>
          </w:tcPr>
          <w:p>
            <w:pPr>
              <w:spacing w:after="0"/>
              <w:rPr>
                <w:sz w:val="20"/>
                <w:szCs w:val="20"/>
                <w:color w:val="auto"/>
              </w:rPr>
            </w:pPr>
            <w:r>
              <w:rPr>
                <w:rFonts w:ascii="Arial" w:cs="Arial" w:eastAsia="Arial" w:hAnsi="Arial"/>
                <w:sz w:val="14"/>
                <w:szCs w:val="14"/>
                <w:color w:val="auto"/>
              </w:rPr>
              <w:t>Retired President of Lochridge &amp; Company, Inc</w:t>
            </w:r>
          </w:p>
        </w:tc>
        <w:tc>
          <w:tcPr>
            <w:tcW w:w="1160" w:type="dxa"/>
            <w:vAlign w:val="bottom"/>
          </w:tcPr>
          <w:p>
            <w:pPr>
              <w:jc w:val="center"/>
              <w:ind w:right="88"/>
              <w:spacing w:after="0"/>
              <w:rPr>
                <w:sz w:val="20"/>
                <w:szCs w:val="20"/>
                <w:color w:val="auto"/>
              </w:rPr>
            </w:pPr>
            <w:r>
              <w:rPr>
                <w:rFonts w:ascii="Arial" w:cs="Arial" w:eastAsia="Arial" w:hAnsi="Arial"/>
                <w:sz w:val="14"/>
                <w:szCs w:val="14"/>
                <w:color w:val="auto"/>
                <w:w w:val="99"/>
              </w:rPr>
              <w:t>Yes</w:t>
            </w:r>
          </w:p>
        </w:tc>
        <w:tc>
          <w:tcPr>
            <w:tcW w:w="1600" w:type="dxa"/>
            <w:vAlign w:val="bottom"/>
          </w:tcPr>
          <w:p>
            <w:pPr>
              <w:jc w:val="center"/>
              <w:ind w:right="48"/>
              <w:spacing w:after="0"/>
              <w:rPr>
                <w:sz w:val="20"/>
                <w:szCs w:val="20"/>
                <w:color w:val="auto"/>
              </w:rPr>
            </w:pPr>
            <w:r>
              <w:rPr>
                <w:rFonts w:ascii="Arial" w:cs="Arial" w:eastAsia="Arial" w:hAnsi="Arial"/>
                <w:sz w:val="14"/>
                <w:szCs w:val="14"/>
                <w:color w:val="auto"/>
              </w:rPr>
              <w:t>C (Chair)</w:t>
            </w:r>
          </w:p>
        </w:tc>
        <w:tc>
          <w:tcPr>
            <w:tcW w:w="54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594"/>
        </w:trPr>
        <w:tc>
          <w:tcPr>
            <w:tcW w:w="3620" w:type="dxa"/>
            <w:vAlign w:val="bottom"/>
          </w:tcPr>
          <w:p>
            <w:pPr>
              <w:spacing w:after="0"/>
              <w:rPr>
                <w:sz w:val="20"/>
                <w:szCs w:val="20"/>
                <w:color w:val="auto"/>
              </w:rPr>
            </w:pPr>
            <w:r>
              <w:rPr>
                <w:rFonts w:ascii="Arial" w:cs="Arial" w:eastAsia="Arial" w:hAnsi="Arial"/>
                <w:sz w:val="14"/>
                <w:szCs w:val="14"/>
                <w:color w:val="auto"/>
              </w:rPr>
              <w:t>Former President and CEO of Siemens USA</w:t>
            </w:r>
          </w:p>
        </w:tc>
        <w:tc>
          <w:tcPr>
            <w:tcW w:w="1160" w:type="dxa"/>
            <w:vAlign w:val="bottom"/>
          </w:tcPr>
          <w:p>
            <w:pPr>
              <w:jc w:val="center"/>
              <w:ind w:right="88"/>
              <w:spacing w:after="0"/>
              <w:rPr>
                <w:sz w:val="20"/>
                <w:szCs w:val="20"/>
                <w:color w:val="auto"/>
              </w:rPr>
            </w:pPr>
            <w:r>
              <w:rPr>
                <w:rFonts w:ascii="Arial" w:cs="Arial" w:eastAsia="Arial" w:hAnsi="Arial"/>
                <w:sz w:val="14"/>
                <w:szCs w:val="14"/>
                <w:color w:val="auto"/>
                <w:w w:val="99"/>
              </w:rPr>
              <w:t>Yes</w:t>
            </w:r>
          </w:p>
        </w:tc>
        <w:tc>
          <w:tcPr>
            <w:tcW w:w="1600" w:type="dxa"/>
            <w:vAlign w:val="bottom"/>
          </w:tcPr>
          <w:p>
            <w:pPr>
              <w:jc w:val="center"/>
              <w:ind w:right="48"/>
              <w:spacing w:after="0"/>
              <w:rPr>
                <w:sz w:val="20"/>
                <w:szCs w:val="20"/>
                <w:color w:val="auto"/>
              </w:rPr>
            </w:pPr>
            <w:r>
              <w:rPr>
                <w:rFonts w:ascii="Arial" w:cs="Arial" w:eastAsia="Arial" w:hAnsi="Arial"/>
                <w:sz w:val="14"/>
                <w:szCs w:val="14"/>
                <w:color w:val="auto"/>
                <w:w w:val="85"/>
              </w:rPr>
              <w:t>A</w:t>
            </w:r>
          </w:p>
        </w:tc>
        <w:tc>
          <w:tcPr>
            <w:tcW w:w="540" w:type="dxa"/>
            <w:vAlign w:val="bottom"/>
          </w:tcPr>
          <w:p>
            <w:pPr>
              <w:jc w:val="right"/>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367"/>
        </w:trPr>
        <w:tc>
          <w:tcPr>
            <w:tcW w:w="3620" w:type="dxa"/>
            <w:vAlign w:val="bottom"/>
          </w:tcPr>
          <w:p>
            <w:pPr>
              <w:spacing w:after="0"/>
              <w:rPr>
                <w:sz w:val="20"/>
                <w:szCs w:val="20"/>
                <w:color w:val="auto"/>
              </w:rPr>
            </w:pPr>
            <w:r>
              <w:rPr>
                <w:rFonts w:ascii="Arial" w:cs="Arial" w:eastAsia="Arial" w:hAnsi="Arial"/>
                <w:sz w:val="14"/>
                <w:szCs w:val="14"/>
                <w:color w:val="auto"/>
              </w:rPr>
              <w:t>CEO of CNH Industrial NV; Former Group Chief</w:t>
            </w:r>
          </w:p>
        </w:tc>
        <w:tc>
          <w:tcPr>
            <w:tcW w:w="1160" w:type="dxa"/>
            <w:vAlign w:val="bottom"/>
          </w:tcPr>
          <w:p>
            <w:pPr>
              <w:jc w:val="center"/>
              <w:ind w:right="68"/>
              <w:spacing w:after="0"/>
              <w:rPr>
                <w:sz w:val="20"/>
                <w:szCs w:val="20"/>
                <w:color w:val="auto"/>
              </w:rPr>
            </w:pPr>
            <w:r>
              <w:rPr>
                <w:rFonts w:ascii="Arial" w:cs="Arial" w:eastAsia="Arial" w:hAnsi="Arial"/>
                <w:sz w:val="14"/>
                <w:szCs w:val="14"/>
                <w:color w:val="auto"/>
              </w:rPr>
              <w:t>No</w:t>
            </w:r>
          </w:p>
        </w:tc>
        <w:tc>
          <w:tcPr>
            <w:tcW w:w="1600" w:type="dxa"/>
            <w:vAlign w:val="bottom"/>
          </w:tcPr>
          <w:p>
            <w:pPr>
              <w:jc w:val="center"/>
              <w:ind w:right="48"/>
              <w:spacing w:after="0"/>
              <w:rPr>
                <w:sz w:val="20"/>
                <w:szCs w:val="20"/>
                <w:color w:val="auto"/>
              </w:rPr>
            </w:pPr>
            <w:r>
              <w:rPr>
                <w:rFonts w:ascii="Arial" w:cs="Arial" w:eastAsia="Arial" w:hAnsi="Arial"/>
                <w:sz w:val="14"/>
                <w:szCs w:val="14"/>
                <w:color w:val="auto"/>
              </w:rPr>
              <w:t>C</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620" w:type="dxa"/>
            <w:vAlign w:val="bottom"/>
          </w:tcPr>
          <w:p>
            <w:pPr>
              <w:spacing w:after="0"/>
              <w:rPr>
                <w:sz w:val="20"/>
                <w:szCs w:val="20"/>
                <w:color w:val="auto"/>
              </w:rPr>
            </w:pPr>
            <w:r>
              <w:rPr>
                <w:rFonts w:ascii="Arial" w:cs="Arial" w:eastAsia="Arial" w:hAnsi="Arial"/>
                <w:sz w:val="14"/>
                <w:szCs w:val="14"/>
                <w:color w:val="auto"/>
              </w:rPr>
              <w:t>Operating Officer of Fiat Industrial S.p.A</w:t>
            </w:r>
          </w:p>
        </w:tc>
        <w:tc>
          <w:tcPr>
            <w:tcW w:w="1160" w:type="dxa"/>
            <w:vAlign w:val="bottom"/>
          </w:tcPr>
          <w:p>
            <w:pPr>
              <w:jc w:val="center"/>
              <w:ind w:right="68"/>
              <w:spacing w:after="0"/>
              <w:rPr>
                <w:sz w:val="20"/>
                <w:szCs w:val="20"/>
                <w:color w:val="auto"/>
              </w:rPr>
            </w:pPr>
            <w:r>
              <w:rPr>
                <w:rFonts w:ascii="Arial" w:cs="Arial" w:eastAsia="Arial" w:hAnsi="Arial"/>
                <w:sz w:val="14"/>
                <w:szCs w:val="14"/>
                <w:color w:val="auto"/>
              </w:rPr>
              <w:t>(incoming</w:t>
            </w:r>
          </w:p>
        </w:tc>
        <w:tc>
          <w:tcPr>
            <w:tcW w:w="1600" w:type="dxa"/>
            <w:vAlign w:val="bottom"/>
          </w:tcPr>
          <w:p>
            <w:pPr>
              <w:jc w:val="center"/>
              <w:ind w:right="48"/>
              <w:spacing w:after="0"/>
              <w:rPr>
                <w:sz w:val="20"/>
                <w:szCs w:val="20"/>
                <w:color w:val="auto"/>
              </w:rPr>
            </w:pPr>
            <w:r>
              <w:rPr>
                <w:rFonts w:ascii="Arial" w:cs="Arial" w:eastAsia="Arial" w:hAnsi="Arial"/>
                <w:sz w:val="14"/>
                <w:szCs w:val="14"/>
                <w:color w:val="auto"/>
                <w:w w:val="99"/>
              </w:rPr>
              <w:t>(through</w:t>
            </w: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91"/>
        </w:trPr>
        <w:tc>
          <w:tcPr>
            <w:tcW w:w="3620" w:type="dxa"/>
            <w:vAlign w:val="bottom"/>
          </w:tcPr>
          <w:p>
            <w:pPr>
              <w:spacing w:after="0"/>
              <w:rPr>
                <w:sz w:val="7"/>
                <w:szCs w:val="7"/>
                <w:color w:val="auto"/>
              </w:rPr>
            </w:pPr>
          </w:p>
        </w:tc>
        <w:tc>
          <w:tcPr>
            <w:tcW w:w="1160" w:type="dxa"/>
            <w:vAlign w:val="bottom"/>
            <w:vMerge w:val="restart"/>
          </w:tcPr>
          <w:p>
            <w:pPr>
              <w:jc w:val="center"/>
              <w:ind w:right="88"/>
              <w:spacing w:after="0"/>
              <w:rPr>
                <w:sz w:val="20"/>
                <w:szCs w:val="20"/>
                <w:color w:val="auto"/>
              </w:rPr>
            </w:pPr>
            <w:r>
              <w:rPr>
                <w:rFonts w:ascii="Arial" w:cs="Arial" w:eastAsia="Arial" w:hAnsi="Arial"/>
                <w:sz w:val="14"/>
                <w:szCs w:val="14"/>
                <w:color w:val="auto"/>
              </w:rPr>
              <w:t>CEO of</w:t>
            </w:r>
          </w:p>
        </w:tc>
        <w:tc>
          <w:tcPr>
            <w:tcW w:w="1600" w:type="dxa"/>
            <w:vAlign w:val="bottom"/>
            <w:vMerge w:val="restart"/>
          </w:tcPr>
          <w:p>
            <w:pPr>
              <w:jc w:val="center"/>
              <w:ind w:right="48"/>
              <w:spacing w:after="0"/>
              <w:rPr>
                <w:sz w:val="20"/>
                <w:szCs w:val="20"/>
                <w:color w:val="auto"/>
              </w:rPr>
            </w:pPr>
            <w:r>
              <w:rPr>
                <w:rFonts w:ascii="Arial" w:cs="Arial" w:eastAsia="Arial" w:hAnsi="Arial"/>
                <w:sz w:val="14"/>
                <w:szCs w:val="14"/>
                <w:color w:val="auto"/>
              </w:rPr>
              <w:t>May 1,</w:t>
            </w:r>
          </w:p>
        </w:tc>
        <w:tc>
          <w:tcPr>
            <w:tcW w:w="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362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60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3620" w:type="dxa"/>
            <w:vAlign w:val="bottom"/>
          </w:tcPr>
          <w:p>
            <w:pPr>
              <w:spacing w:after="0"/>
              <w:rPr>
                <w:sz w:val="14"/>
                <w:szCs w:val="14"/>
                <w:color w:val="auto"/>
              </w:rPr>
            </w:pPr>
          </w:p>
        </w:tc>
        <w:tc>
          <w:tcPr>
            <w:tcW w:w="1160" w:type="dxa"/>
            <w:vAlign w:val="bottom"/>
          </w:tcPr>
          <w:p>
            <w:pPr>
              <w:jc w:val="center"/>
              <w:ind w:right="88"/>
              <w:spacing w:after="0"/>
              <w:rPr>
                <w:sz w:val="20"/>
                <w:szCs w:val="20"/>
                <w:color w:val="auto"/>
              </w:rPr>
            </w:pPr>
            <w:r>
              <w:rPr>
                <w:rFonts w:ascii="Arial" w:cs="Arial" w:eastAsia="Arial" w:hAnsi="Arial"/>
                <w:sz w:val="14"/>
                <w:szCs w:val="14"/>
                <w:color w:val="auto"/>
              </w:rPr>
              <w:t>Dover)</w:t>
            </w:r>
          </w:p>
        </w:tc>
        <w:tc>
          <w:tcPr>
            <w:tcW w:w="1600" w:type="dxa"/>
            <w:vAlign w:val="bottom"/>
          </w:tcPr>
          <w:p>
            <w:pPr>
              <w:jc w:val="center"/>
              <w:ind w:right="48"/>
              <w:spacing w:after="0"/>
              <w:rPr>
                <w:sz w:val="20"/>
                <w:szCs w:val="20"/>
                <w:color w:val="auto"/>
              </w:rPr>
            </w:pPr>
            <w:r>
              <w:rPr>
                <w:rFonts w:ascii="Arial" w:cs="Arial" w:eastAsia="Arial" w:hAnsi="Arial"/>
                <w:sz w:val="14"/>
                <w:szCs w:val="14"/>
                <w:color w:val="auto"/>
              </w:rPr>
              <w:t>2018)</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620" w:type="dxa"/>
            <w:vAlign w:val="bottom"/>
          </w:tcPr>
          <w:p>
            <w:pPr>
              <w:spacing w:after="0"/>
              <w:rPr>
                <w:sz w:val="20"/>
                <w:szCs w:val="20"/>
                <w:color w:val="auto"/>
              </w:rPr>
            </w:pPr>
            <w:r>
              <w:rPr>
                <w:rFonts w:ascii="Arial" w:cs="Arial" w:eastAsia="Arial" w:hAnsi="Arial"/>
                <w:sz w:val="14"/>
                <w:szCs w:val="14"/>
                <w:color w:val="auto"/>
              </w:rPr>
              <w:t>Former Global Vice Chairman of Assurance</w:t>
            </w:r>
          </w:p>
        </w:tc>
        <w:tc>
          <w:tcPr>
            <w:tcW w:w="1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620" w:type="dxa"/>
            <w:vAlign w:val="bottom"/>
          </w:tcPr>
          <w:p>
            <w:pPr>
              <w:spacing w:after="0"/>
              <w:rPr>
                <w:sz w:val="20"/>
                <w:szCs w:val="20"/>
                <w:color w:val="auto"/>
              </w:rPr>
            </w:pPr>
            <w:r>
              <w:rPr>
                <w:rFonts w:ascii="Arial" w:cs="Arial" w:eastAsia="Arial" w:hAnsi="Arial"/>
                <w:sz w:val="14"/>
                <w:szCs w:val="14"/>
                <w:color w:val="auto"/>
              </w:rPr>
              <w:t>Professional Practice of Ernst &amp; Young Global Limited</w:t>
            </w:r>
          </w:p>
        </w:tc>
        <w:tc>
          <w:tcPr>
            <w:tcW w:w="1160" w:type="dxa"/>
            <w:vAlign w:val="bottom"/>
            <w:vMerge w:val="restart"/>
          </w:tcPr>
          <w:p>
            <w:pPr>
              <w:jc w:val="center"/>
              <w:ind w:right="88"/>
              <w:spacing w:after="0"/>
              <w:rPr>
                <w:sz w:val="20"/>
                <w:szCs w:val="20"/>
                <w:color w:val="auto"/>
              </w:rPr>
            </w:pPr>
            <w:r>
              <w:rPr>
                <w:rFonts w:ascii="Arial" w:cs="Arial" w:eastAsia="Arial" w:hAnsi="Arial"/>
                <w:sz w:val="14"/>
                <w:szCs w:val="14"/>
                <w:color w:val="auto"/>
                <w:w w:val="99"/>
              </w:rPr>
              <w:t>Yes</w:t>
            </w:r>
          </w:p>
        </w:tc>
        <w:tc>
          <w:tcPr>
            <w:tcW w:w="1600" w:type="dxa"/>
            <w:vAlign w:val="bottom"/>
            <w:vMerge w:val="restart"/>
          </w:tcPr>
          <w:p>
            <w:pPr>
              <w:jc w:val="center"/>
              <w:ind w:right="48"/>
              <w:spacing w:after="0"/>
              <w:rPr>
                <w:sz w:val="20"/>
                <w:szCs w:val="20"/>
                <w:color w:val="auto"/>
              </w:rPr>
            </w:pPr>
            <w:r>
              <w:rPr>
                <w:rFonts w:ascii="Arial" w:cs="Arial" w:eastAsia="Arial" w:hAnsi="Arial"/>
                <w:sz w:val="14"/>
                <w:szCs w:val="14"/>
                <w:color w:val="auto"/>
                <w:w w:val="85"/>
              </w:rPr>
              <w:t>A</w:t>
            </w: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81"/>
        </w:trPr>
        <w:tc>
          <w:tcPr>
            <w:tcW w:w="3620" w:type="dxa"/>
            <w:vAlign w:val="bottom"/>
          </w:tcPr>
          <w:p>
            <w:pPr>
              <w:spacing w:after="0"/>
              <w:rPr>
                <w:sz w:val="7"/>
                <w:szCs w:val="7"/>
                <w:color w:val="auto"/>
              </w:rPr>
            </w:pPr>
          </w:p>
        </w:tc>
        <w:tc>
          <w:tcPr>
            <w:tcW w:w="1160" w:type="dxa"/>
            <w:vAlign w:val="bottom"/>
            <w:vMerge w:val="continue"/>
          </w:tcPr>
          <w:p>
            <w:pPr>
              <w:spacing w:after="0"/>
              <w:rPr>
                <w:sz w:val="7"/>
                <w:szCs w:val="7"/>
                <w:color w:val="auto"/>
              </w:rPr>
            </w:pPr>
          </w:p>
        </w:tc>
        <w:tc>
          <w:tcPr>
            <w:tcW w:w="160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94"/>
        </w:trPr>
        <w:tc>
          <w:tcPr>
            <w:tcW w:w="3620" w:type="dxa"/>
            <w:vAlign w:val="bottom"/>
          </w:tcPr>
          <w:p>
            <w:pPr>
              <w:spacing w:after="0"/>
              <w:rPr>
                <w:sz w:val="20"/>
                <w:szCs w:val="20"/>
                <w:color w:val="auto"/>
              </w:rPr>
            </w:pPr>
            <w:r>
              <w:rPr>
                <w:rFonts w:ascii="Arial" w:cs="Arial" w:eastAsia="Arial" w:hAnsi="Arial"/>
                <w:sz w:val="14"/>
                <w:szCs w:val="14"/>
                <w:color w:val="auto"/>
              </w:rPr>
              <w:t>Former Senior Adviser, Center for Corporate</w:t>
            </w:r>
          </w:p>
        </w:tc>
        <w:tc>
          <w:tcPr>
            <w:tcW w:w="1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3620" w:type="dxa"/>
            <w:vAlign w:val="bottom"/>
          </w:tcPr>
          <w:p>
            <w:pPr>
              <w:spacing w:after="0"/>
              <w:rPr>
                <w:sz w:val="20"/>
                <w:szCs w:val="20"/>
                <w:color w:val="auto"/>
              </w:rPr>
            </w:pPr>
            <w:r>
              <w:rPr>
                <w:rFonts w:ascii="Arial" w:cs="Arial" w:eastAsia="Arial" w:hAnsi="Arial"/>
                <w:sz w:val="14"/>
                <w:szCs w:val="14"/>
                <w:color w:val="auto"/>
              </w:rPr>
              <w:t>Governance, Deloitte &amp; Touche LLP</w:t>
            </w:r>
          </w:p>
        </w:tc>
        <w:tc>
          <w:tcPr>
            <w:tcW w:w="1160" w:type="dxa"/>
            <w:vAlign w:val="bottom"/>
          </w:tcPr>
          <w:p>
            <w:pPr>
              <w:jc w:val="center"/>
              <w:ind w:right="88"/>
              <w:spacing w:after="0"/>
              <w:rPr>
                <w:sz w:val="20"/>
                <w:szCs w:val="20"/>
                <w:color w:val="auto"/>
              </w:rPr>
            </w:pPr>
            <w:r>
              <w:rPr>
                <w:rFonts w:ascii="Arial" w:cs="Arial" w:eastAsia="Arial" w:hAnsi="Arial"/>
                <w:sz w:val="14"/>
                <w:szCs w:val="14"/>
                <w:color w:val="auto"/>
                <w:w w:val="99"/>
              </w:rPr>
              <w:t>Yes</w:t>
            </w:r>
          </w:p>
        </w:tc>
        <w:tc>
          <w:tcPr>
            <w:tcW w:w="1600" w:type="dxa"/>
            <w:vAlign w:val="bottom"/>
          </w:tcPr>
          <w:p>
            <w:pPr>
              <w:jc w:val="center"/>
              <w:ind w:right="48"/>
              <w:spacing w:after="0"/>
              <w:rPr>
                <w:sz w:val="20"/>
                <w:szCs w:val="20"/>
                <w:color w:val="auto"/>
              </w:rPr>
            </w:pPr>
            <w:r>
              <w:rPr>
                <w:rFonts w:ascii="Arial" w:cs="Arial" w:eastAsia="Arial" w:hAnsi="Arial"/>
                <w:sz w:val="14"/>
                <w:szCs w:val="14"/>
                <w:color w:val="auto"/>
              </w:rPr>
              <w:t>A, G (Chair)</w:t>
            </w:r>
          </w:p>
        </w:tc>
        <w:tc>
          <w:tcPr>
            <w:tcW w:w="540" w:type="dxa"/>
            <w:vAlign w:val="bottom"/>
          </w:tcPr>
          <w:p>
            <w:pPr>
              <w:jc w:val="right"/>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553"/>
        </w:trPr>
        <w:tc>
          <w:tcPr>
            <w:tcW w:w="3620" w:type="dxa"/>
            <w:vAlign w:val="bottom"/>
          </w:tcPr>
          <w:p>
            <w:pPr>
              <w:spacing w:after="0"/>
              <w:rPr>
                <w:sz w:val="20"/>
                <w:szCs w:val="20"/>
                <w:color w:val="auto"/>
              </w:rPr>
            </w:pPr>
            <w:r>
              <w:rPr>
                <w:rFonts w:ascii="Arial" w:cs="Arial" w:eastAsia="Arial" w:hAnsi="Arial"/>
                <w:sz w:val="14"/>
                <w:szCs w:val="14"/>
                <w:color w:val="auto"/>
              </w:rPr>
              <w:t>Former President and CEO of Harley-Davidson, Inc.</w:t>
            </w:r>
          </w:p>
        </w:tc>
        <w:tc>
          <w:tcPr>
            <w:tcW w:w="1160" w:type="dxa"/>
            <w:vAlign w:val="bottom"/>
          </w:tcPr>
          <w:p>
            <w:pPr>
              <w:jc w:val="center"/>
              <w:ind w:right="88"/>
              <w:spacing w:after="0"/>
              <w:rPr>
                <w:sz w:val="20"/>
                <w:szCs w:val="20"/>
                <w:color w:val="auto"/>
              </w:rPr>
            </w:pPr>
            <w:r>
              <w:rPr>
                <w:rFonts w:ascii="Arial" w:cs="Arial" w:eastAsia="Arial" w:hAnsi="Arial"/>
                <w:sz w:val="14"/>
                <w:szCs w:val="14"/>
                <w:color w:val="auto"/>
                <w:w w:val="99"/>
              </w:rPr>
              <w:t>Yes</w:t>
            </w:r>
          </w:p>
        </w:tc>
        <w:tc>
          <w:tcPr>
            <w:tcW w:w="1600" w:type="dxa"/>
            <w:vAlign w:val="bottom"/>
          </w:tcPr>
          <w:p>
            <w:pPr>
              <w:jc w:val="center"/>
              <w:ind w:right="48"/>
              <w:spacing w:after="0"/>
              <w:rPr>
                <w:sz w:val="20"/>
                <w:szCs w:val="20"/>
                <w:color w:val="auto"/>
              </w:rPr>
            </w:pPr>
            <w:r>
              <w:rPr>
                <w:rFonts w:ascii="Arial" w:cs="Arial" w:eastAsia="Arial" w:hAnsi="Arial"/>
                <w:sz w:val="14"/>
                <w:szCs w:val="14"/>
                <w:color w:val="auto"/>
                <w:w w:val="97"/>
              </w:rPr>
              <w:t>C, G</w:t>
            </w:r>
          </w:p>
        </w:tc>
        <w:tc>
          <w:tcPr>
            <w:tcW w:w="54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bl>
    <w:p>
      <w:pPr>
        <w:spacing w:after="0" w:line="173" w:lineRule="exact"/>
        <w:rPr>
          <w:sz w:val="20"/>
          <w:szCs w:val="20"/>
          <w:color w:val="auto"/>
        </w:rPr>
      </w:pPr>
    </w:p>
    <w:p>
      <w:pPr>
        <w:sectPr>
          <w:pgSz w:w="11900" w:h="16838" w:orient="portrait"/>
          <w:cols w:equalWidth="0" w:num="2">
            <w:col w:w="3000" w:space="560"/>
            <w:col w:w="7660"/>
          </w:cols>
          <w:pgMar w:left="240" w:top="459" w:right="439" w:bottom="1440" w:gutter="0" w:footer="0" w:header="0"/>
          <w:type w:val="continuous"/>
        </w:sectPr>
      </w:pPr>
    </w:p>
    <w:tbl>
      <w:tblPr>
        <w:tblLayout w:type="fixed"/>
        <w:tblInd w:w="1560" w:type="dxa"/>
        <w:tblCellMar>
          <w:top w:w="0" w:type="dxa"/>
          <w:left w:w="0" w:type="dxa"/>
          <w:bottom w:w="0" w:type="dxa"/>
          <w:right w:w="0" w:type="dxa"/>
        </w:tblCellMar>
      </w:tblPr>
      <w:tr>
        <w:trPr>
          <w:trHeight w:val="180"/>
        </w:trPr>
        <w:tc>
          <w:tcPr>
            <w:tcW w:w="1640" w:type="dxa"/>
            <w:vAlign w:val="bottom"/>
          </w:tcPr>
          <w:p>
            <w:pPr>
              <w:spacing w:after="0"/>
              <w:rPr>
                <w:sz w:val="20"/>
                <w:szCs w:val="20"/>
                <w:color w:val="auto"/>
              </w:rPr>
            </w:pPr>
            <w:r>
              <w:rPr>
                <w:rFonts w:ascii="Arial" w:cs="Arial" w:eastAsia="Arial" w:hAnsi="Arial"/>
                <w:sz w:val="14"/>
                <w:szCs w:val="14"/>
                <w:b w:val="1"/>
                <w:bCs w:val="1"/>
                <w:color w:val="auto"/>
              </w:rPr>
              <w:t>Mary A. Winston</w:t>
            </w:r>
          </w:p>
        </w:tc>
        <w:tc>
          <w:tcPr>
            <w:tcW w:w="3980" w:type="dxa"/>
            <w:vAlign w:val="bottom"/>
          </w:tcPr>
          <w:p>
            <w:pPr>
              <w:ind w:left="360"/>
              <w:spacing w:after="0"/>
              <w:rPr>
                <w:sz w:val="20"/>
                <w:szCs w:val="20"/>
                <w:color w:val="auto"/>
              </w:rPr>
            </w:pPr>
            <w:r>
              <w:rPr>
                <w:rFonts w:ascii="Arial" w:cs="Arial" w:eastAsia="Arial" w:hAnsi="Arial"/>
                <w:sz w:val="14"/>
                <w:szCs w:val="14"/>
                <w:color w:val="auto"/>
              </w:rPr>
              <w:t>President of WinsCo Enterprises Inc.; Former</w:t>
            </w:r>
          </w:p>
        </w:tc>
        <w:tc>
          <w:tcPr>
            <w:tcW w:w="1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62"/>
        </w:trPr>
        <w:tc>
          <w:tcPr>
            <w:tcW w:w="1640" w:type="dxa"/>
            <w:vAlign w:val="bottom"/>
          </w:tcPr>
          <w:p>
            <w:pPr>
              <w:spacing w:after="0"/>
              <w:rPr>
                <w:sz w:val="20"/>
                <w:szCs w:val="20"/>
                <w:color w:val="auto"/>
              </w:rPr>
            </w:pPr>
            <w:r>
              <w:rPr>
                <w:rFonts w:ascii="Arial" w:cs="Arial" w:eastAsia="Arial" w:hAnsi="Arial"/>
                <w:sz w:val="14"/>
                <w:szCs w:val="14"/>
                <w:color w:val="auto"/>
              </w:rPr>
              <w:t>Age: 56</w:t>
            </w:r>
          </w:p>
        </w:tc>
        <w:tc>
          <w:tcPr>
            <w:tcW w:w="3980" w:type="dxa"/>
            <w:vAlign w:val="bottom"/>
          </w:tcPr>
          <w:p>
            <w:pPr>
              <w:ind w:left="360"/>
              <w:spacing w:after="0"/>
              <w:rPr>
                <w:sz w:val="20"/>
                <w:szCs w:val="20"/>
                <w:color w:val="auto"/>
              </w:rPr>
            </w:pPr>
            <w:r>
              <w:rPr>
                <w:rFonts w:ascii="Arial" w:cs="Arial" w:eastAsia="Arial" w:hAnsi="Arial"/>
                <w:sz w:val="14"/>
                <w:szCs w:val="14"/>
                <w:color w:val="auto"/>
              </w:rPr>
              <w:t>Executive Vice President and CFO of Family Dollar</w:t>
            </w:r>
          </w:p>
        </w:tc>
        <w:tc>
          <w:tcPr>
            <w:tcW w:w="1120" w:type="dxa"/>
            <w:vAlign w:val="bottom"/>
          </w:tcPr>
          <w:p>
            <w:pPr>
              <w:ind w:left="380"/>
              <w:spacing w:after="0"/>
              <w:rPr>
                <w:sz w:val="20"/>
                <w:szCs w:val="20"/>
                <w:color w:val="auto"/>
              </w:rPr>
            </w:pPr>
            <w:r>
              <w:rPr>
                <w:rFonts w:ascii="Arial" w:cs="Arial" w:eastAsia="Arial" w:hAnsi="Arial"/>
                <w:sz w:val="14"/>
                <w:szCs w:val="14"/>
                <w:color w:val="auto"/>
              </w:rPr>
              <w:t>Yes</w:t>
            </w:r>
          </w:p>
        </w:tc>
        <w:tc>
          <w:tcPr>
            <w:tcW w:w="1580" w:type="dxa"/>
            <w:vAlign w:val="bottom"/>
          </w:tcPr>
          <w:p>
            <w:pPr>
              <w:ind w:left="500"/>
              <w:spacing w:after="0"/>
              <w:rPr>
                <w:sz w:val="20"/>
                <w:szCs w:val="20"/>
                <w:color w:val="auto"/>
              </w:rPr>
            </w:pPr>
            <w:r>
              <w:rPr>
                <w:rFonts w:ascii="Arial" w:cs="Arial" w:eastAsia="Arial" w:hAnsi="Arial"/>
                <w:sz w:val="14"/>
                <w:szCs w:val="14"/>
                <w:color w:val="auto"/>
              </w:rPr>
              <w:t>A (Chair)</w:t>
            </w:r>
          </w:p>
        </w:tc>
        <w:tc>
          <w:tcPr>
            <w:tcW w:w="60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172"/>
        </w:trPr>
        <w:tc>
          <w:tcPr>
            <w:tcW w:w="1640" w:type="dxa"/>
            <w:vAlign w:val="bottom"/>
          </w:tcPr>
          <w:p>
            <w:pPr>
              <w:spacing w:after="0"/>
              <w:rPr>
                <w:sz w:val="20"/>
                <w:szCs w:val="20"/>
                <w:color w:val="auto"/>
              </w:rPr>
            </w:pPr>
            <w:r>
              <w:rPr>
                <w:rFonts w:ascii="Arial" w:cs="Arial" w:eastAsia="Arial" w:hAnsi="Arial"/>
                <w:sz w:val="14"/>
                <w:szCs w:val="14"/>
                <w:color w:val="auto"/>
              </w:rPr>
              <w:t>Director Since: 2005</w:t>
            </w:r>
          </w:p>
        </w:tc>
        <w:tc>
          <w:tcPr>
            <w:tcW w:w="3980" w:type="dxa"/>
            <w:vAlign w:val="bottom"/>
          </w:tcPr>
          <w:p>
            <w:pPr>
              <w:ind w:left="360"/>
              <w:spacing w:after="0"/>
              <w:rPr>
                <w:sz w:val="20"/>
                <w:szCs w:val="20"/>
                <w:color w:val="auto"/>
              </w:rPr>
            </w:pPr>
            <w:r>
              <w:rPr>
                <w:rFonts w:ascii="Arial" w:cs="Arial" w:eastAsia="Arial" w:hAnsi="Arial"/>
                <w:sz w:val="14"/>
                <w:szCs w:val="14"/>
                <w:color w:val="auto"/>
              </w:rPr>
              <w:t>Stores, Inc.</w:t>
            </w:r>
          </w:p>
        </w:tc>
        <w:tc>
          <w:tcPr>
            <w:tcW w:w="1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600" w:type="dxa"/>
            <w:vAlign w:val="bottom"/>
          </w:tcPr>
          <w:p>
            <w:pPr>
              <w:spacing w:after="0"/>
              <w:rPr>
                <w:sz w:val="14"/>
                <w:szCs w:val="14"/>
                <w:color w:val="auto"/>
              </w:rPr>
            </w:pPr>
          </w:p>
        </w:tc>
      </w:tr>
    </w:tbl>
    <w:p>
      <w:pPr>
        <w:spacing w:after="0" w:line="162"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*A= Audit Committee; C= Compensation Committee; G= Governance and Nominating Committee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7</w:t>
      </w:r>
    </w:p>
    <w:p>
      <w:pPr>
        <w:sectPr>
          <w:pgSz w:w="11900" w:h="16838" w:orient="portrait"/>
          <w:cols w:equalWidth="0" w:num="1">
            <w:col w:w="11220"/>
          </w:cols>
          <w:pgMar w:left="240" w:top="459" w:right="43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354965</wp:posOffset>
            </wp:positionV>
            <wp:extent cx="6993890" cy="69170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3890" cy="6917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80"/>
        <w:spacing w:after="0"/>
        <w:rPr>
          <w:sz w:val="20"/>
          <w:szCs w:val="20"/>
          <w:color w:val="auto"/>
        </w:rPr>
      </w:pPr>
      <w:r>
        <w:rPr>
          <w:rFonts w:ascii="Arial" w:cs="Arial" w:eastAsia="Arial" w:hAnsi="Arial"/>
          <w:sz w:val="22"/>
          <w:szCs w:val="22"/>
          <w:b w:val="1"/>
          <w:bCs w:val="1"/>
          <w:color w:val="32406B"/>
        </w:rPr>
        <w:t>Board Composition</w:t>
      </w:r>
    </w:p>
    <w:p>
      <w:pPr>
        <w:spacing w:after="0" w:line="9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Upon the retirement of Messrs. Livingston and Stubbs and Mr. Tobin’s appointment as CEO, the Board will have the following composition: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80"/>
        <w:spacing w:after="0"/>
        <w:rPr>
          <w:sz w:val="20"/>
          <w:szCs w:val="20"/>
          <w:color w:val="auto"/>
        </w:rPr>
      </w:pPr>
      <w:r>
        <w:rPr>
          <w:rFonts w:ascii="Arial" w:cs="Arial" w:eastAsia="Arial" w:hAnsi="Arial"/>
          <w:sz w:val="22"/>
          <w:szCs w:val="22"/>
          <w:b w:val="1"/>
          <w:bCs w:val="1"/>
          <w:color w:val="32406B"/>
        </w:rPr>
        <w:t>Governance Highlights</w:t>
      </w:r>
    </w:p>
    <w:p>
      <w:pPr>
        <w:spacing w:after="0" w:line="92" w:lineRule="exact"/>
        <w:rPr>
          <w:sz w:val="20"/>
          <w:szCs w:val="20"/>
          <w:color w:val="auto"/>
        </w:rPr>
      </w:pPr>
    </w:p>
    <w:p>
      <w:pPr>
        <w:ind w:left="380" w:right="620"/>
        <w:spacing w:after="0" w:line="260" w:lineRule="auto"/>
        <w:rPr>
          <w:sz w:val="20"/>
          <w:szCs w:val="20"/>
          <w:color w:val="auto"/>
        </w:rPr>
      </w:pPr>
      <w:r>
        <w:rPr>
          <w:rFonts w:ascii="Arial" w:cs="Arial" w:eastAsia="Arial" w:hAnsi="Arial"/>
          <w:sz w:val="16"/>
          <w:szCs w:val="16"/>
          <w:color w:val="auto"/>
        </w:rPr>
        <w:t>Our Board is committed to sound governance practices designed to promote the long-term interests of shareholders and strengthen Board and management accountability. Highlights include:</w:t>
      </w:r>
    </w:p>
    <w:p>
      <w:pPr>
        <w:spacing w:after="0" w:line="220" w:lineRule="exact"/>
        <w:rPr>
          <w:sz w:val="20"/>
          <w:szCs w:val="20"/>
          <w:color w:val="auto"/>
        </w:rPr>
      </w:pPr>
    </w:p>
    <w:tbl>
      <w:tblPr>
        <w:tblLayout w:type="fixed"/>
        <w:tblInd w:w="380" w:type="dxa"/>
        <w:tblCellMar>
          <w:top w:w="0" w:type="dxa"/>
          <w:left w:w="0" w:type="dxa"/>
          <w:bottom w:w="0" w:type="dxa"/>
          <w:right w:w="0" w:type="dxa"/>
        </w:tblCellMar>
      </w:tblPr>
      <w:tr>
        <w:trPr>
          <w:trHeight w:val="189"/>
        </w:trPr>
        <w:tc>
          <w:tcPr>
            <w:tcW w:w="5480" w:type="dxa"/>
            <w:vAlign w:val="bottom"/>
            <w:shd w:val="clear" w:color="auto" w:fill="505C81"/>
          </w:tcPr>
          <w:p>
            <w:pPr>
              <w:ind w:left="1740"/>
              <w:spacing w:after="0"/>
              <w:rPr>
                <w:sz w:val="20"/>
                <w:szCs w:val="20"/>
                <w:color w:val="auto"/>
              </w:rPr>
            </w:pPr>
            <w:r>
              <w:rPr>
                <w:rFonts w:ascii="Arial" w:cs="Arial" w:eastAsia="Arial" w:hAnsi="Arial"/>
                <w:sz w:val="16"/>
                <w:szCs w:val="16"/>
                <w:b w:val="1"/>
                <w:bCs w:val="1"/>
                <w:color w:val="FFFFFF"/>
              </w:rPr>
              <w:t>BOARD OF DIRECTORS</w:t>
            </w:r>
          </w:p>
        </w:tc>
        <w:tc>
          <w:tcPr>
            <w:tcW w:w="5160" w:type="dxa"/>
            <w:vAlign w:val="bottom"/>
            <w:shd w:val="clear" w:color="auto" w:fill="505C81"/>
          </w:tcPr>
          <w:p>
            <w:pPr>
              <w:ind w:left="1520"/>
              <w:spacing w:after="0"/>
              <w:rPr>
                <w:sz w:val="20"/>
                <w:szCs w:val="20"/>
                <w:color w:val="auto"/>
              </w:rPr>
            </w:pPr>
            <w:r>
              <w:rPr>
                <w:rFonts w:ascii="Arial" w:cs="Arial" w:eastAsia="Arial" w:hAnsi="Arial"/>
                <w:sz w:val="16"/>
                <w:szCs w:val="16"/>
                <w:b w:val="1"/>
                <w:bCs w:val="1"/>
                <w:color w:val="FFFFFF"/>
              </w:rPr>
              <w:t>GOVERNANCE HIGHLIGHTS</w:t>
            </w:r>
          </w:p>
        </w:tc>
        <w:tc>
          <w:tcPr>
            <w:tcW w:w="0" w:type="dxa"/>
            <w:vAlign w:val="bottom"/>
          </w:tcPr>
          <w:p>
            <w:pPr>
              <w:spacing w:after="0"/>
              <w:rPr>
                <w:sz w:val="1"/>
                <w:szCs w:val="1"/>
                <w:color w:val="auto"/>
              </w:rPr>
            </w:pPr>
          </w:p>
        </w:tc>
      </w:tr>
      <w:tr>
        <w:trPr>
          <w:trHeight w:val="318"/>
        </w:trPr>
        <w:tc>
          <w:tcPr>
            <w:tcW w:w="5480" w:type="dxa"/>
            <w:vAlign w:val="bottom"/>
            <w:shd w:val="clear" w:color="auto" w:fill="D8D8D8"/>
          </w:tcPr>
          <w:p>
            <w:pPr>
              <w:ind w:left="340"/>
              <w:spacing w:after="0"/>
              <w:rPr>
                <w:sz w:val="20"/>
                <w:szCs w:val="20"/>
                <w:color w:val="auto"/>
              </w:rPr>
            </w:pPr>
            <w:r>
              <w:rPr>
                <w:rFonts w:ascii="Arial" w:cs="Arial" w:eastAsia="Arial" w:hAnsi="Arial"/>
                <w:sz w:val="16"/>
                <w:szCs w:val="16"/>
                <w:color w:val="auto"/>
              </w:rPr>
              <w:t>•  Separate Chairman and CEO roles</w:t>
            </w:r>
          </w:p>
        </w:tc>
        <w:tc>
          <w:tcPr>
            <w:tcW w:w="5160" w:type="dxa"/>
            <w:vAlign w:val="bottom"/>
            <w:shd w:val="clear" w:color="auto" w:fill="D8D8D8"/>
          </w:tcPr>
          <w:p>
            <w:pPr>
              <w:ind w:left="380"/>
              <w:spacing w:after="0"/>
              <w:rPr>
                <w:sz w:val="20"/>
                <w:szCs w:val="20"/>
                <w:color w:val="auto"/>
              </w:rPr>
            </w:pPr>
            <w:r>
              <w:rPr>
                <w:rFonts w:ascii="Arial" w:cs="Arial" w:eastAsia="Arial" w:hAnsi="Arial"/>
                <w:sz w:val="16"/>
                <w:szCs w:val="16"/>
                <w:color w:val="auto"/>
              </w:rPr>
              <w:t>•  Establishing new Finance Committee</w:t>
            </w:r>
          </w:p>
        </w:tc>
        <w:tc>
          <w:tcPr>
            <w:tcW w:w="0" w:type="dxa"/>
            <w:vAlign w:val="bottom"/>
          </w:tcPr>
          <w:p>
            <w:pPr>
              <w:spacing w:after="0"/>
              <w:rPr>
                <w:sz w:val="1"/>
                <w:szCs w:val="1"/>
                <w:color w:val="auto"/>
              </w:rPr>
            </w:pPr>
          </w:p>
        </w:tc>
      </w:tr>
      <w:tr>
        <w:trPr>
          <w:trHeight w:val="305"/>
        </w:trPr>
        <w:tc>
          <w:tcPr>
            <w:tcW w:w="5480" w:type="dxa"/>
            <w:vAlign w:val="bottom"/>
            <w:shd w:val="clear" w:color="auto" w:fill="D8D8D8"/>
          </w:tcPr>
          <w:p>
            <w:pPr>
              <w:ind w:left="340"/>
              <w:spacing w:after="0"/>
              <w:rPr>
                <w:sz w:val="20"/>
                <w:szCs w:val="20"/>
                <w:color w:val="auto"/>
              </w:rPr>
            </w:pPr>
            <w:r>
              <w:rPr>
                <w:rFonts w:ascii="Arial" w:cs="Arial" w:eastAsia="Arial" w:hAnsi="Arial"/>
                <w:sz w:val="16"/>
                <w:szCs w:val="16"/>
                <w:color w:val="auto"/>
              </w:rPr>
              <w:t>•  All directors are independent, other than CEO</w:t>
            </w:r>
          </w:p>
        </w:tc>
        <w:tc>
          <w:tcPr>
            <w:tcW w:w="5160" w:type="dxa"/>
            <w:vAlign w:val="bottom"/>
            <w:shd w:val="clear" w:color="auto" w:fill="D8D8D8"/>
          </w:tcPr>
          <w:p>
            <w:pPr>
              <w:ind w:left="380"/>
              <w:spacing w:after="0"/>
              <w:rPr>
                <w:sz w:val="20"/>
                <w:szCs w:val="20"/>
                <w:color w:val="auto"/>
              </w:rPr>
            </w:pPr>
            <w:r>
              <w:rPr>
                <w:rFonts w:ascii="Arial" w:cs="Arial" w:eastAsia="Arial" w:hAnsi="Arial"/>
                <w:sz w:val="16"/>
                <w:szCs w:val="16"/>
                <w:color w:val="auto"/>
              </w:rPr>
              <w:t>•  Proxy access right at 3%/3 years/2 or 20% of Board/20</w:t>
            </w:r>
          </w:p>
        </w:tc>
        <w:tc>
          <w:tcPr>
            <w:tcW w:w="0" w:type="dxa"/>
            <w:vAlign w:val="bottom"/>
          </w:tcPr>
          <w:p>
            <w:pPr>
              <w:spacing w:after="0"/>
              <w:rPr>
                <w:sz w:val="1"/>
                <w:szCs w:val="1"/>
                <w:color w:val="auto"/>
              </w:rPr>
            </w:pPr>
          </w:p>
        </w:tc>
      </w:tr>
      <w:tr>
        <w:trPr>
          <w:trHeight w:val="194"/>
        </w:trPr>
        <w:tc>
          <w:tcPr>
            <w:tcW w:w="5480" w:type="dxa"/>
            <w:vAlign w:val="bottom"/>
            <w:vMerge w:val="restart"/>
            <w:shd w:val="clear" w:color="auto" w:fill="D8D8D8"/>
          </w:tcPr>
          <w:p>
            <w:pPr>
              <w:ind w:left="340"/>
              <w:spacing w:after="0"/>
              <w:rPr>
                <w:sz w:val="20"/>
                <w:szCs w:val="20"/>
                <w:color w:val="auto"/>
              </w:rPr>
            </w:pPr>
            <w:r>
              <w:rPr>
                <w:rFonts w:ascii="Arial" w:cs="Arial" w:eastAsia="Arial" w:hAnsi="Arial"/>
                <w:sz w:val="16"/>
                <w:szCs w:val="16"/>
                <w:color w:val="auto"/>
              </w:rPr>
              <w:t>•  Annual election of directors</w:t>
            </w:r>
          </w:p>
        </w:tc>
        <w:tc>
          <w:tcPr>
            <w:tcW w:w="5160" w:type="dxa"/>
            <w:vAlign w:val="bottom"/>
            <w:shd w:val="clear" w:color="auto" w:fill="D8D8D8"/>
          </w:tcPr>
          <w:p>
            <w:pPr>
              <w:ind w:left="560"/>
              <w:spacing w:after="0"/>
              <w:rPr>
                <w:sz w:val="20"/>
                <w:szCs w:val="20"/>
                <w:color w:val="auto"/>
              </w:rPr>
            </w:pPr>
            <w:r>
              <w:rPr>
                <w:rFonts w:ascii="Arial" w:cs="Arial" w:eastAsia="Arial" w:hAnsi="Arial"/>
                <w:sz w:val="16"/>
                <w:szCs w:val="16"/>
                <w:color w:val="auto"/>
              </w:rPr>
              <w:t>shareholder aggregation allowance</w:t>
            </w:r>
          </w:p>
        </w:tc>
        <w:tc>
          <w:tcPr>
            <w:tcW w:w="0" w:type="dxa"/>
            <w:vAlign w:val="bottom"/>
          </w:tcPr>
          <w:p>
            <w:pPr>
              <w:spacing w:after="0"/>
              <w:rPr>
                <w:sz w:val="1"/>
                <w:szCs w:val="1"/>
                <w:color w:val="auto"/>
              </w:rPr>
            </w:pPr>
          </w:p>
        </w:tc>
      </w:tr>
      <w:tr>
        <w:trPr>
          <w:trHeight w:val="121"/>
        </w:trPr>
        <w:tc>
          <w:tcPr>
            <w:tcW w:w="5480" w:type="dxa"/>
            <w:vAlign w:val="bottom"/>
            <w:vMerge w:val="continue"/>
            <w:shd w:val="clear" w:color="auto" w:fill="D8D8D8"/>
          </w:tcPr>
          <w:p>
            <w:pPr>
              <w:spacing w:after="0"/>
              <w:rPr>
                <w:sz w:val="10"/>
                <w:szCs w:val="10"/>
                <w:color w:val="auto"/>
              </w:rPr>
            </w:pPr>
          </w:p>
        </w:tc>
        <w:tc>
          <w:tcPr>
            <w:tcW w:w="5160" w:type="dxa"/>
            <w:vAlign w:val="bottom"/>
            <w:vMerge w:val="restart"/>
            <w:shd w:val="clear" w:color="auto" w:fill="D8D8D8"/>
          </w:tcPr>
          <w:p>
            <w:pPr>
              <w:ind w:left="380"/>
              <w:spacing w:after="0"/>
              <w:rPr>
                <w:sz w:val="20"/>
                <w:szCs w:val="20"/>
                <w:color w:val="auto"/>
              </w:rPr>
            </w:pPr>
            <w:r>
              <w:rPr>
                <w:rFonts w:ascii="Arial" w:cs="Arial" w:eastAsia="Arial" w:hAnsi="Arial"/>
                <w:sz w:val="16"/>
                <w:szCs w:val="16"/>
                <w:color w:val="auto"/>
              </w:rPr>
              <w:t>•  Strong share retention guidelines for directors and executive</w:t>
            </w:r>
          </w:p>
        </w:tc>
        <w:tc>
          <w:tcPr>
            <w:tcW w:w="0" w:type="dxa"/>
            <w:vAlign w:val="bottom"/>
          </w:tcPr>
          <w:p>
            <w:pPr>
              <w:spacing w:after="0"/>
              <w:rPr>
                <w:sz w:val="1"/>
                <w:szCs w:val="1"/>
                <w:color w:val="auto"/>
              </w:rPr>
            </w:pPr>
          </w:p>
        </w:tc>
      </w:tr>
      <w:tr>
        <w:trPr>
          <w:trHeight w:val="183"/>
        </w:trPr>
        <w:tc>
          <w:tcPr>
            <w:tcW w:w="5480" w:type="dxa"/>
            <w:vAlign w:val="bottom"/>
            <w:vMerge w:val="restart"/>
            <w:shd w:val="clear" w:color="auto" w:fill="D8D8D8"/>
          </w:tcPr>
          <w:p>
            <w:pPr>
              <w:ind w:left="340"/>
              <w:spacing w:after="0"/>
              <w:rPr>
                <w:sz w:val="20"/>
                <w:szCs w:val="20"/>
                <w:color w:val="auto"/>
              </w:rPr>
            </w:pPr>
            <w:r>
              <w:rPr>
                <w:rFonts w:ascii="Arial" w:cs="Arial" w:eastAsia="Arial" w:hAnsi="Arial"/>
                <w:sz w:val="16"/>
                <w:szCs w:val="16"/>
                <w:color w:val="auto"/>
              </w:rPr>
              <w:t>•  Majority voting for directors and director resignation policy in</w:t>
            </w:r>
          </w:p>
        </w:tc>
        <w:tc>
          <w:tcPr>
            <w:tcW w:w="5160" w:type="dxa"/>
            <w:vAlign w:val="bottom"/>
            <w:vMerge w:val="continue"/>
            <w:shd w:val="clear" w:color="auto" w:fill="D8D8D8"/>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5480" w:type="dxa"/>
            <w:vAlign w:val="bottom"/>
            <w:vMerge w:val="continue"/>
            <w:shd w:val="clear" w:color="auto" w:fill="D8D8D8"/>
          </w:tcPr>
          <w:p>
            <w:pPr>
              <w:spacing w:after="0"/>
              <w:rPr>
                <w:sz w:val="10"/>
                <w:szCs w:val="10"/>
                <w:color w:val="auto"/>
              </w:rPr>
            </w:pPr>
          </w:p>
        </w:tc>
        <w:tc>
          <w:tcPr>
            <w:tcW w:w="5160" w:type="dxa"/>
            <w:vAlign w:val="bottom"/>
            <w:vMerge w:val="restart"/>
            <w:shd w:val="clear" w:color="auto" w:fill="D8D8D8"/>
          </w:tcPr>
          <w:p>
            <w:pPr>
              <w:ind w:left="560"/>
              <w:spacing w:after="0"/>
              <w:rPr>
                <w:sz w:val="20"/>
                <w:szCs w:val="20"/>
                <w:color w:val="auto"/>
              </w:rPr>
            </w:pPr>
            <w:r>
              <w:rPr>
                <w:rFonts w:ascii="Arial" w:cs="Arial" w:eastAsia="Arial" w:hAnsi="Arial"/>
                <w:sz w:val="16"/>
                <w:szCs w:val="16"/>
                <w:color w:val="auto"/>
              </w:rPr>
              <w:t>officers</w:t>
            </w:r>
          </w:p>
        </w:tc>
        <w:tc>
          <w:tcPr>
            <w:tcW w:w="0" w:type="dxa"/>
            <w:vAlign w:val="bottom"/>
          </w:tcPr>
          <w:p>
            <w:pPr>
              <w:spacing w:after="0"/>
              <w:rPr>
                <w:sz w:val="1"/>
                <w:szCs w:val="1"/>
                <w:color w:val="auto"/>
              </w:rPr>
            </w:pPr>
          </w:p>
        </w:tc>
      </w:tr>
      <w:tr>
        <w:trPr>
          <w:trHeight w:val="73"/>
        </w:trPr>
        <w:tc>
          <w:tcPr>
            <w:tcW w:w="5480" w:type="dxa"/>
            <w:vAlign w:val="bottom"/>
            <w:vMerge w:val="restart"/>
            <w:shd w:val="clear" w:color="auto" w:fill="D8D8D8"/>
          </w:tcPr>
          <w:p>
            <w:pPr>
              <w:ind w:left="520"/>
              <w:spacing w:after="0"/>
              <w:rPr>
                <w:sz w:val="20"/>
                <w:szCs w:val="20"/>
                <w:color w:val="auto"/>
              </w:rPr>
            </w:pPr>
            <w:r>
              <w:rPr>
                <w:rFonts w:ascii="Arial" w:cs="Arial" w:eastAsia="Arial" w:hAnsi="Arial"/>
                <w:sz w:val="16"/>
                <w:szCs w:val="16"/>
                <w:color w:val="auto"/>
              </w:rPr>
              <w:t>uncontested elections</w:t>
            </w:r>
          </w:p>
        </w:tc>
        <w:tc>
          <w:tcPr>
            <w:tcW w:w="5160" w:type="dxa"/>
            <w:vAlign w:val="bottom"/>
            <w:vMerge w:val="continue"/>
            <w:shd w:val="clear" w:color="auto" w:fill="D8D8D8"/>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5480" w:type="dxa"/>
            <w:vAlign w:val="bottom"/>
            <w:vMerge w:val="continue"/>
            <w:shd w:val="clear" w:color="auto" w:fill="D8D8D8"/>
          </w:tcPr>
          <w:p>
            <w:pPr>
              <w:spacing w:after="0"/>
              <w:rPr>
                <w:sz w:val="10"/>
                <w:szCs w:val="10"/>
                <w:color w:val="auto"/>
              </w:rPr>
            </w:pPr>
          </w:p>
        </w:tc>
        <w:tc>
          <w:tcPr>
            <w:tcW w:w="5160" w:type="dxa"/>
            <w:vAlign w:val="bottom"/>
            <w:vMerge w:val="restart"/>
            <w:shd w:val="clear" w:color="auto" w:fill="D8D8D8"/>
          </w:tcPr>
          <w:p>
            <w:pPr>
              <w:ind w:left="380"/>
              <w:spacing w:after="0"/>
              <w:rPr>
                <w:sz w:val="20"/>
                <w:szCs w:val="20"/>
                <w:color w:val="auto"/>
              </w:rPr>
            </w:pPr>
            <w:r>
              <w:rPr>
                <w:rFonts w:ascii="Arial" w:cs="Arial" w:eastAsia="Arial" w:hAnsi="Arial"/>
                <w:sz w:val="16"/>
                <w:szCs w:val="16"/>
                <w:color w:val="auto"/>
              </w:rPr>
              <w:t>•  Executive compensation driven by pay-for-performance</w:t>
            </w:r>
          </w:p>
        </w:tc>
        <w:tc>
          <w:tcPr>
            <w:tcW w:w="0" w:type="dxa"/>
            <w:vAlign w:val="bottom"/>
          </w:tcPr>
          <w:p>
            <w:pPr>
              <w:spacing w:after="0"/>
              <w:rPr>
                <w:sz w:val="1"/>
                <w:szCs w:val="1"/>
                <w:color w:val="auto"/>
              </w:rPr>
            </w:pPr>
          </w:p>
        </w:tc>
      </w:tr>
      <w:tr>
        <w:trPr>
          <w:trHeight w:val="183"/>
        </w:trPr>
        <w:tc>
          <w:tcPr>
            <w:tcW w:w="5480" w:type="dxa"/>
            <w:vAlign w:val="bottom"/>
            <w:vMerge w:val="restart"/>
            <w:shd w:val="clear" w:color="auto" w:fill="D8D8D8"/>
          </w:tcPr>
          <w:p>
            <w:pPr>
              <w:ind w:left="340"/>
              <w:spacing w:after="0"/>
              <w:rPr>
                <w:sz w:val="20"/>
                <w:szCs w:val="20"/>
                <w:color w:val="auto"/>
              </w:rPr>
            </w:pPr>
            <w:r>
              <w:rPr>
                <w:rFonts w:ascii="Arial" w:cs="Arial" w:eastAsia="Arial" w:hAnsi="Arial"/>
                <w:sz w:val="16"/>
                <w:szCs w:val="16"/>
                <w:color w:val="auto"/>
              </w:rPr>
              <w:t>•  Comprehensive annual individual evaluations of one-third of the</w:t>
            </w:r>
          </w:p>
        </w:tc>
        <w:tc>
          <w:tcPr>
            <w:tcW w:w="5160" w:type="dxa"/>
            <w:vAlign w:val="bottom"/>
            <w:vMerge w:val="continue"/>
            <w:shd w:val="clear" w:color="auto" w:fill="D8D8D8"/>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5480" w:type="dxa"/>
            <w:vAlign w:val="bottom"/>
            <w:vMerge w:val="continue"/>
            <w:shd w:val="clear" w:color="auto" w:fill="D8D8D8"/>
          </w:tcPr>
          <w:p>
            <w:pPr>
              <w:spacing w:after="0"/>
              <w:rPr>
                <w:sz w:val="10"/>
                <w:szCs w:val="10"/>
                <w:color w:val="auto"/>
              </w:rPr>
            </w:pPr>
          </w:p>
        </w:tc>
        <w:tc>
          <w:tcPr>
            <w:tcW w:w="5160" w:type="dxa"/>
            <w:vAlign w:val="bottom"/>
            <w:vMerge w:val="restart"/>
            <w:shd w:val="clear" w:color="auto" w:fill="D8D8D8"/>
          </w:tcPr>
          <w:p>
            <w:pPr>
              <w:ind w:left="560"/>
              <w:spacing w:after="0"/>
              <w:rPr>
                <w:sz w:val="20"/>
                <w:szCs w:val="20"/>
                <w:color w:val="auto"/>
              </w:rPr>
            </w:pPr>
            <w:r>
              <w:rPr>
                <w:rFonts w:ascii="Arial" w:cs="Arial" w:eastAsia="Arial" w:hAnsi="Arial"/>
                <w:sz w:val="16"/>
                <w:szCs w:val="16"/>
                <w:color w:val="auto"/>
              </w:rPr>
              <w:t>philosophy</w:t>
            </w:r>
          </w:p>
        </w:tc>
        <w:tc>
          <w:tcPr>
            <w:tcW w:w="0" w:type="dxa"/>
            <w:vAlign w:val="bottom"/>
          </w:tcPr>
          <w:p>
            <w:pPr>
              <w:spacing w:after="0"/>
              <w:rPr>
                <w:sz w:val="1"/>
                <w:szCs w:val="1"/>
                <w:color w:val="auto"/>
              </w:rPr>
            </w:pPr>
          </w:p>
        </w:tc>
      </w:tr>
      <w:tr>
        <w:trPr>
          <w:trHeight w:val="73"/>
        </w:trPr>
        <w:tc>
          <w:tcPr>
            <w:tcW w:w="5480" w:type="dxa"/>
            <w:vAlign w:val="bottom"/>
            <w:vMerge w:val="restart"/>
            <w:shd w:val="clear" w:color="auto" w:fill="D8D8D8"/>
          </w:tcPr>
          <w:p>
            <w:pPr>
              <w:ind w:left="520"/>
              <w:spacing w:after="0"/>
              <w:rPr>
                <w:sz w:val="20"/>
                <w:szCs w:val="20"/>
                <w:color w:val="auto"/>
              </w:rPr>
            </w:pPr>
            <w:r>
              <w:rPr>
                <w:rFonts w:ascii="Arial" w:cs="Arial" w:eastAsia="Arial" w:hAnsi="Arial"/>
                <w:sz w:val="16"/>
                <w:szCs w:val="16"/>
                <w:color w:val="auto"/>
              </w:rPr>
              <w:t>directors</w:t>
            </w:r>
          </w:p>
        </w:tc>
        <w:tc>
          <w:tcPr>
            <w:tcW w:w="5160" w:type="dxa"/>
            <w:vAlign w:val="bottom"/>
            <w:vMerge w:val="continue"/>
            <w:shd w:val="clear" w:color="auto" w:fill="D8D8D8"/>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5480" w:type="dxa"/>
            <w:vAlign w:val="bottom"/>
            <w:vMerge w:val="continue"/>
            <w:shd w:val="clear" w:color="auto" w:fill="D8D8D8"/>
          </w:tcPr>
          <w:p>
            <w:pPr>
              <w:spacing w:after="0"/>
              <w:rPr>
                <w:sz w:val="10"/>
                <w:szCs w:val="10"/>
                <w:color w:val="auto"/>
              </w:rPr>
            </w:pPr>
          </w:p>
        </w:tc>
        <w:tc>
          <w:tcPr>
            <w:tcW w:w="5160" w:type="dxa"/>
            <w:vAlign w:val="bottom"/>
            <w:vMerge w:val="restart"/>
            <w:shd w:val="clear" w:color="auto" w:fill="D8D8D8"/>
          </w:tcPr>
          <w:p>
            <w:pPr>
              <w:ind w:left="380"/>
              <w:spacing w:after="0"/>
              <w:rPr>
                <w:sz w:val="20"/>
                <w:szCs w:val="20"/>
                <w:color w:val="auto"/>
              </w:rPr>
            </w:pPr>
            <w:r>
              <w:rPr>
                <w:rFonts w:ascii="Arial" w:cs="Arial" w:eastAsia="Arial" w:hAnsi="Arial"/>
                <w:sz w:val="16"/>
                <w:szCs w:val="16"/>
                <w:color w:val="auto"/>
              </w:rPr>
              <w:t>•  Executive officers not permitted to hedge or pledge company</w:t>
            </w:r>
          </w:p>
        </w:tc>
        <w:tc>
          <w:tcPr>
            <w:tcW w:w="0" w:type="dxa"/>
            <w:vAlign w:val="bottom"/>
          </w:tcPr>
          <w:p>
            <w:pPr>
              <w:spacing w:after="0"/>
              <w:rPr>
                <w:sz w:val="1"/>
                <w:szCs w:val="1"/>
                <w:color w:val="auto"/>
              </w:rPr>
            </w:pPr>
          </w:p>
        </w:tc>
      </w:tr>
      <w:tr>
        <w:trPr>
          <w:trHeight w:val="183"/>
        </w:trPr>
        <w:tc>
          <w:tcPr>
            <w:tcW w:w="5480" w:type="dxa"/>
            <w:vAlign w:val="bottom"/>
            <w:vMerge w:val="restart"/>
            <w:shd w:val="clear" w:color="auto" w:fill="D8D8D8"/>
          </w:tcPr>
          <w:p>
            <w:pPr>
              <w:ind w:left="340"/>
              <w:spacing w:after="0"/>
              <w:rPr>
                <w:sz w:val="20"/>
                <w:szCs w:val="20"/>
                <w:color w:val="auto"/>
              </w:rPr>
            </w:pPr>
            <w:r>
              <w:rPr>
                <w:rFonts w:ascii="Arial" w:cs="Arial" w:eastAsia="Arial" w:hAnsi="Arial"/>
                <w:sz w:val="16"/>
                <w:szCs w:val="16"/>
                <w:color w:val="auto"/>
              </w:rPr>
              <w:t>•  Regular executive sessions of independent directors</w:t>
            </w:r>
          </w:p>
        </w:tc>
        <w:tc>
          <w:tcPr>
            <w:tcW w:w="5160" w:type="dxa"/>
            <w:vAlign w:val="bottom"/>
            <w:vMerge w:val="continue"/>
            <w:shd w:val="clear" w:color="auto" w:fill="D8D8D8"/>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5480" w:type="dxa"/>
            <w:vAlign w:val="bottom"/>
            <w:vMerge w:val="continue"/>
            <w:shd w:val="clear" w:color="auto" w:fill="D8D8D8"/>
          </w:tcPr>
          <w:p>
            <w:pPr>
              <w:spacing w:after="0"/>
              <w:rPr>
                <w:sz w:val="11"/>
                <w:szCs w:val="11"/>
                <w:color w:val="auto"/>
              </w:rPr>
            </w:pPr>
          </w:p>
        </w:tc>
        <w:tc>
          <w:tcPr>
            <w:tcW w:w="5160" w:type="dxa"/>
            <w:vAlign w:val="bottom"/>
            <w:vMerge w:val="restart"/>
            <w:shd w:val="clear" w:color="auto" w:fill="D8D8D8"/>
          </w:tcPr>
          <w:p>
            <w:pPr>
              <w:ind w:left="560"/>
              <w:spacing w:after="0"/>
              <w:rPr>
                <w:sz w:val="20"/>
                <w:szCs w:val="20"/>
                <w:color w:val="auto"/>
              </w:rPr>
            </w:pPr>
            <w:r>
              <w:rPr>
                <w:rFonts w:ascii="Arial" w:cs="Arial" w:eastAsia="Arial" w:hAnsi="Arial"/>
                <w:sz w:val="16"/>
                <w:szCs w:val="16"/>
                <w:color w:val="auto"/>
              </w:rPr>
              <w:t>shares</w:t>
            </w:r>
          </w:p>
        </w:tc>
        <w:tc>
          <w:tcPr>
            <w:tcW w:w="0" w:type="dxa"/>
            <w:vAlign w:val="bottom"/>
          </w:tcPr>
          <w:p>
            <w:pPr>
              <w:spacing w:after="0"/>
              <w:rPr>
                <w:sz w:val="1"/>
                <w:szCs w:val="1"/>
                <w:color w:val="auto"/>
              </w:rPr>
            </w:pPr>
          </w:p>
        </w:tc>
      </w:tr>
      <w:tr>
        <w:trPr>
          <w:trHeight w:val="67"/>
        </w:trPr>
        <w:tc>
          <w:tcPr>
            <w:tcW w:w="5480" w:type="dxa"/>
            <w:vAlign w:val="bottom"/>
            <w:shd w:val="clear" w:color="auto" w:fill="D8D8D8"/>
          </w:tcPr>
          <w:p>
            <w:pPr>
              <w:spacing w:after="0"/>
              <w:rPr>
                <w:sz w:val="5"/>
                <w:szCs w:val="5"/>
                <w:color w:val="auto"/>
              </w:rPr>
            </w:pPr>
          </w:p>
        </w:tc>
        <w:tc>
          <w:tcPr>
            <w:tcW w:w="5160" w:type="dxa"/>
            <w:vAlign w:val="bottom"/>
            <w:vMerge w:val="continue"/>
            <w:shd w:val="clear" w:color="auto" w:fill="D8D8D8"/>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5480" w:type="dxa"/>
            <w:vAlign w:val="bottom"/>
            <w:shd w:val="clear" w:color="auto" w:fill="D8D8D8"/>
          </w:tcPr>
          <w:p>
            <w:pPr>
              <w:ind w:left="340"/>
              <w:spacing w:after="0"/>
              <w:rPr>
                <w:sz w:val="20"/>
                <w:szCs w:val="20"/>
                <w:color w:val="auto"/>
              </w:rPr>
            </w:pPr>
            <w:r>
              <w:rPr>
                <w:rFonts w:ascii="Arial" w:cs="Arial" w:eastAsia="Arial" w:hAnsi="Arial"/>
                <w:sz w:val="16"/>
                <w:szCs w:val="16"/>
                <w:color w:val="auto"/>
              </w:rPr>
              <w:t>•  Robust succession planning</w:t>
            </w:r>
          </w:p>
        </w:tc>
        <w:tc>
          <w:tcPr>
            <w:tcW w:w="5160" w:type="dxa"/>
            <w:vAlign w:val="bottom"/>
            <w:vMerge w:val="restart"/>
            <w:shd w:val="clear" w:color="auto" w:fill="D8D8D8"/>
          </w:tcPr>
          <w:p>
            <w:pPr>
              <w:ind w:left="380"/>
              <w:spacing w:after="0"/>
              <w:rPr>
                <w:sz w:val="20"/>
                <w:szCs w:val="20"/>
                <w:color w:val="auto"/>
              </w:rPr>
            </w:pPr>
            <w:r>
              <w:rPr>
                <w:rFonts w:ascii="Arial" w:cs="Arial" w:eastAsia="Arial" w:hAnsi="Arial"/>
                <w:sz w:val="16"/>
                <w:szCs w:val="16"/>
                <w:color w:val="auto"/>
              </w:rPr>
              <w:t>•  Shareholder right to call special meetings at 25%</w:t>
            </w:r>
          </w:p>
        </w:tc>
        <w:tc>
          <w:tcPr>
            <w:tcW w:w="0" w:type="dxa"/>
            <w:vAlign w:val="bottom"/>
          </w:tcPr>
          <w:p>
            <w:pPr>
              <w:spacing w:after="0"/>
              <w:rPr>
                <w:sz w:val="1"/>
                <w:szCs w:val="1"/>
                <w:color w:val="auto"/>
              </w:rPr>
            </w:pPr>
          </w:p>
        </w:tc>
      </w:tr>
      <w:tr>
        <w:trPr>
          <w:trHeight w:val="67"/>
        </w:trPr>
        <w:tc>
          <w:tcPr>
            <w:tcW w:w="5480" w:type="dxa"/>
            <w:vAlign w:val="bottom"/>
            <w:shd w:val="clear" w:color="auto" w:fill="D8D8D8"/>
          </w:tcPr>
          <w:p>
            <w:pPr>
              <w:spacing w:after="0"/>
              <w:rPr>
                <w:sz w:val="5"/>
                <w:szCs w:val="5"/>
                <w:color w:val="auto"/>
              </w:rPr>
            </w:pPr>
          </w:p>
        </w:tc>
        <w:tc>
          <w:tcPr>
            <w:tcW w:w="5160" w:type="dxa"/>
            <w:vAlign w:val="bottom"/>
            <w:vMerge w:val="continue"/>
            <w:shd w:val="clear" w:color="auto" w:fill="D8D8D8"/>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5480" w:type="dxa"/>
            <w:vAlign w:val="bottom"/>
            <w:shd w:val="clear" w:color="auto" w:fill="D8D8D8"/>
          </w:tcPr>
          <w:p>
            <w:pPr>
              <w:spacing w:after="0"/>
              <w:rPr>
                <w:sz w:val="24"/>
                <w:szCs w:val="24"/>
                <w:color w:val="auto"/>
              </w:rPr>
            </w:pPr>
          </w:p>
        </w:tc>
        <w:tc>
          <w:tcPr>
            <w:tcW w:w="5160" w:type="dxa"/>
            <w:vAlign w:val="bottom"/>
            <w:shd w:val="clear" w:color="auto" w:fill="D8D8D8"/>
          </w:tcPr>
          <w:p>
            <w:pPr>
              <w:ind w:left="380"/>
              <w:spacing w:after="0"/>
              <w:rPr>
                <w:sz w:val="20"/>
                <w:szCs w:val="20"/>
                <w:color w:val="auto"/>
              </w:rPr>
            </w:pPr>
            <w:r>
              <w:rPr>
                <w:rFonts w:ascii="Arial" w:cs="Arial" w:eastAsia="Arial" w:hAnsi="Arial"/>
                <w:sz w:val="16"/>
                <w:szCs w:val="16"/>
                <w:color w:val="auto"/>
              </w:rPr>
              <w:t>•  No super-majority vote required for business combinations</w:t>
            </w:r>
          </w:p>
        </w:tc>
        <w:tc>
          <w:tcPr>
            <w:tcW w:w="0" w:type="dxa"/>
            <w:vAlign w:val="bottom"/>
          </w:tcPr>
          <w:p>
            <w:pPr>
              <w:spacing w:after="0"/>
              <w:rPr>
                <w:sz w:val="1"/>
                <w:szCs w:val="1"/>
                <w:color w:val="auto"/>
              </w:rPr>
            </w:pPr>
          </w:p>
        </w:tc>
      </w:tr>
      <w:tr>
        <w:trPr>
          <w:trHeight w:val="249"/>
        </w:trPr>
        <w:tc>
          <w:tcPr>
            <w:tcW w:w="5480" w:type="dxa"/>
            <w:vAlign w:val="bottom"/>
            <w:shd w:val="clear" w:color="auto" w:fill="D8D8D8"/>
          </w:tcPr>
          <w:p>
            <w:pPr>
              <w:spacing w:after="0"/>
              <w:rPr>
                <w:sz w:val="21"/>
                <w:szCs w:val="21"/>
                <w:color w:val="auto"/>
              </w:rPr>
            </w:pPr>
          </w:p>
        </w:tc>
        <w:tc>
          <w:tcPr>
            <w:tcW w:w="5160" w:type="dxa"/>
            <w:vAlign w:val="bottom"/>
            <w:shd w:val="clear" w:color="auto" w:fill="D8D8D8"/>
          </w:tcPr>
          <w:p>
            <w:pPr>
              <w:spacing w:after="0"/>
              <w:rPr>
                <w:sz w:val="21"/>
                <w:szCs w:val="21"/>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tbl>
      <w:tblPr>
        <w:tblLayout w:type="fixed"/>
        <w:tblInd w:w="200" w:type="dxa"/>
        <w:tblCellMar>
          <w:top w:w="0" w:type="dxa"/>
          <w:left w:w="0" w:type="dxa"/>
          <w:bottom w:w="0" w:type="dxa"/>
          <w:right w:w="0" w:type="dxa"/>
        </w:tblCellMar>
      </w:tblPr>
      <w:tr>
        <w:trPr>
          <w:trHeight w:val="184"/>
        </w:trPr>
        <w:tc>
          <w:tcPr>
            <w:tcW w:w="180" w:type="dxa"/>
            <w:vAlign w:val="bottom"/>
          </w:tcPr>
          <w:p>
            <w:pPr>
              <w:spacing w:after="0"/>
              <w:rPr>
                <w:sz w:val="16"/>
                <w:szCs w:val="16"/>
                <w:color w:val="auto"/>
              </w:rPr>
            </w:pPr>
          </w:p>
        </w:tc>
        <w:tc>
          <w:tcPr>
            <w:tcW w:w="4860" w:type="dxa"/>
            <w:vAlign w:val="bottom"/>
            <w:shd w:val="clear" w:color="auto" w:fill="505C81"/>
          </w:tcPr>
          <w:p>
            <w:pPr>
              <w:ind w:left="1480"/>
              <w:spacing w:after="0"/>
              <w:rPr>
                <w:sz w:val="20"/>
                <w:szCs w:val="20"/>
                <w:color w:val="auto"/>
              </w:rPr>
            </w:pPr>
            <w:r>
              <w:rPr>
                <w:rFonts w:ascii="Arial" w:cs="Arial" w:eastAsia="Arial" w:hAnsi="Arial"/>
                <w:sz w:val="16"/>
                <w:szCs w:val="16"/>
                <w:b w:val="1"/>
                <w:bCs w:val="1"/>
                <w:color w:val="FFFFFF"/>
              </w:rPr>
              <w:t>COMMITTEES &amp; ATTENDANCE</w:t>
            </w:r>
          </w:p>
        </w:tc>
        <w:tc>
          <w:tcPr>
            <w:tcW w:w="1100" w:type="dxa"/>
            <w:vAlign w:val="bottom"/>
            <w:shd w:val="clear" w:color="auto" w:fill="505C81"/>
          </w:tcPr>
          <w:p>
            <w:pPr>
              <w:spacing w:after="0"/>
              <w:rPr>
                <w:sz w:val="16"/>
                <w:szCs w:val="16"/>
                <w:color w:val="auto"/>
              </w:rPr>
            </w:pPr>
          </w:p>
        </w:tc>
        <w:tc>
          <w:tcPr>
            <w:tcW w:w="4680" w:type="dxa"/>
            <w:vAlign w:val="bottom"/>
            <w:shd w:val="clear" w:color="auto" w:fill="505C81"/>
          </w:tcPr>
          <w:p>
            <w:pPr>
              <w:ind w:left="920"/>
              <w:spacing w:after="0"/>
              <w:rPr>
                <w:sz w:val="20"/>
                <w:szCs w:val="20"/>
                <w:color w:val="auto"/>
              </w:rPr>
            </w:pPr>
            <w:r>
              <w:rPr>
                <w:rFonts w:ascii="Arial" w:cs="Arial" w:eastAsia="Arial" w:hAnsi="Arial"/>
                <w:sz w:val="16"/>
                <w:szCs w:val="16"/>
                <w:b w:val="1"/>
                <w:bCs w:val="1"/>
                <w:color w:val="FFFFFF"/>
              </w:rPr>
              <w:t>SHAREHOLDER ENGAGEMENT</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2"/>
        </w:trPr>
        <w:tc>
          <w:tcPr>
            <w:tcW w:w="180" w:type="dxa"/>
            <w:vAlign w:val="bottom"/>
          </w:tcPr>
          <w:p>
            <w:pPr>
              <w:spacing w:after="0"/>
              <w:rPr>
                <w:sz w:val="24"/>
                <w:szCs w:val="24"/>
                <w:color w:val="auto"/>
              </w:rPr>
            </w:pPr>
          </w:p>
        </w:tc>
        <w:tc>
          <w:tcPr>
            <w:tcW w:w="4860" w:type="dxa"/>
            <w:vAlign w:val="bottom"/>
            <w:shd w:val="clear" w:color="auto" w:fill="D8D8D8"/>
          </w:tcPr>
          <w:p>
            <w:pPr>
              <w:ind w:left="340"/>
              <w:spacing w:after="0"/>
              <w:rPr>
                <w:sz w:val="20"/>
                <w:szCs w:val="20"/>
                <w:color w:val="auto"/>
              </w:rPr>
            </w:pPr>
            <w:r>
              <w:rPr>
                <w:rFonts w:ascii="Arial" w:cs="Arial" w:eastAsia="Arial" w:hAnsi="Arial"/>
                <w:sz w:val="16"/>
                <w:szCs w:val="16"/>
                <w:color w:val="auto"/>
              </w:rPr>
              <w:t>•  Average Board attendance of 96% in 2017</w:t>
            </w:r>
          </w:p>
        </w:tc>
        <w:tc>
          <w:tcPr>
            <w:tcW w:w="1100" w:type="dxa"/>
            <w:vAlign w:val="bottom"/>
            <w:shd w:val="clear" w:color="auto" w:fill="D8D8D8"/>
          </w:tcPr>
          <w:p>
            <w:pPr>
              <w:ind w:left="1000"/>
              <w:spacing w:after="0"/>
              <w:rPr>
                <w:sz w:val="20"/>
                <w:szCs w:val="20"/>
                <w:color w:val="auto"/>
              </w:rPr>
            </w:pPr>
            <w:r>
              <w:rPr>
                <w:rFonts w:ascii="Arial" w:cs="Arial" w:eastAsia="Arial" w:hAnsi="Arial"/>
                <w:sz w:val="16"/>
                <w:szCs w:val="16"/>
                <w:color w:val="auto"/>
              </w:rPr>
              <w:t>•</w:t>
            </w:r>
          </w:p>
        </w:tc>
        <w:tc>
          <w:tcPr>
            <w:tcW w:w="4680" w:type="dxa"/>
            <w:vAlign w:val="bottom"/>
            <w:shd w:val="clear" w:color="auto" w:fill="D8D8D8"/>
          </w:tcPr>
          <w:p>
            <w:pPr>
              <w:ind w:left="80"/>
              <w:spacing w:after="0"/>
              <w:rPr>
                <w:sz w:val="20"/>
                <w:szCs w:val="20"/>
                <w:color w:val="auto"/>
              </w:rPr>
            </w:pPr>
            <w:r>
              <w:rPr>
                <w:rFonts w:ascii="Arial" w:cs="Arial" w:eastAsia="Arial" w:hAnsi="Arial"/>
                <w:sz w:val="16"/>
                <w:szCs w:val="16"/>
                <w:color w:val="auto"/>
              </w:rPr>
              <w:t>In 2017, reached out to holders of over 53% of outstanding</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80" w:type="dxa"/>
            <w:vAlign w:val="bottom"/>
          </w:tcPr>
          <w:p>
            <w:pPr>
              <w:spacing w:after="0"/>
              <w:rPr>
                <w:sz w:val="16"/>
                <w:szCs w:val="16"/>
                <w:color w:val="auto"/>
              </w:rPr>
            </w:pPr>
          </w:p>
        </w:tc>
        <w:tc>
          <w:tcPr>
            <w:tcW w:w="4860" w:type="dxa"/>
            <w:vAlign w:val="bottom"/>
            <w:vMerge w:val="restart"/>
            <w:shd w:val="clear" w:color="auto" w:fill="D8D8D8"/>
          </w:tcPr>
          <w:p>
            <w:pPr>
              <w:ind w:left="340"/>
              <w:spacing w:after="0"/>
              <w:rPr>
                <w:sz w:val="20"/>
                <w:szCs w:val="20"/>
                <w:color w:val="auto"/>
              </w:rPr>
            </w:pPr>
            <w:r>
              <w:rPr>
                <w:rFonts w:ascii="Arial" w:cs="Arial" w:eastAsia="Arial" w:hAnsi="Arial"/>
                <w:sz w:val="16"/>
                <w:szCs w:val="16"/>
                <w:color w:val="auto"/>
              </w:rPr>
              <w:t>•  Annual Board and committee evaluations</w:t>
            </w:r>
          </w:p>
        </w:tc>
        <w:tc>
          <w:tcPr>
            <w:tcW w:w="1100" w:type="dxa"/>
            <w:vAlign w:val="bottom"/>
            <w:shd w:val="clear" w:color="auto" w:fill="D8D8D8"/>
          </w:tcPr>
          <w:p>
            <w:pPr>
              <w:spacing w:after="0"/>
              <w:rPr>
                <w:sz w:val="16"/>
                <w:szCs w:val="16"/>
                <w:color w:val="auto"/>
              </w:rPr>
            </w:pPr>
          </w:p>
        </w:tc>
        <w:tc>
          <w:tcPr>
            <w:tcW w:w="4680" w:type="dxa"/>
            <w:vAlign w:val="bottom"/>
            <w:shd w:val="clear" w:color="auto" w:fill="D8D8D8"/>
          </w:tcPr>
          <w:p>
            <w:pPr>
              <w:ind w:left="80"/>
              <w:spacing w:after="0"/>
              <w:rPr>
                <w:sz w:val="20"/>
                <w:szCs w:val="20"/>
                <w:color w:val="auto"/>
              </w:rPr>
            </w:pPr>
            <w:r>
              <w:rPr>
                <w:rFonts w:ascii="Arial" w:cs="Arial" w:eastAsia="Arial" w:hAnsi="Arial"/>
                <w:sz w:val="16"/>
                <w:szCs w:val="16"/>
                <w:color w:val="auto"/>
              </w:rPr>
              <w:t>shares</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180" w:type="dxa"/>
            <w:vAlign w:val="bottom"/>
          </w:tcPr>
          <w:p>
            <w:pPr>
              <w:spacing w:after="0"/>
              <w:rPr>
                <w:sz w:val="10"/>
                <w:szCs w:val="10"/>
                <w:color w:val="auto"/>
              </w:rPr>
            </w:pPr>
          </w:p>
        </w:tc>
        <w:tc>
          <w:tcPr>
            <w:tcW w:w="4860" w:type="dxa"/>
            <w:vAlign w:val="bottom"/>
            <w:vMerge w:val="continue"/>
            <w:shd w:val="clear" w:color="auto" w:fill="D8D8D8"/>
          </w:tcPr>
          <w:p>
            <w:pPr>
              <w:spacing w:after="0"/>
              <w:rPr>
                <w:sz w:val="10"/>
                <w:szCs w:val="10"/>
                <w:color w:val="auto"/>
              </w:rPr>
            </w:pPr>
          </w:p>
        </w:tc>
        <w:tc>
          <w:tcPr>
            <w:tcW w:w="5780" w:type="dxa"/>
            <w:vAlign w:val="bottom"/>
            <w:gridSpan w:val="2"/>
            <w:vMerge w:val="restart"/>
            <w:shd w:val="clear" w:color="auto" w:fill="D8D8D8"/>
          </w:tcPr>
          <w:p>
            <w:pPr>
              <w:ind w:left="1000"/>
              <w:spacing w:after="0"/>
              <w:rPr>
                <w:sz w:val="20"/>
                <w:szCs w:val="20"/>
                <w:color w:val="auto"/>
              </w:rPr>
            </w:pPr>
            <w:r>
              <w:rPr>
                <w:rFonts w:ascii="Arial" w:cs="Arial" w:eastAsia="Arial" w:hAnsi="Arial"/>
                <w:sz w:val="16"/>
                <w:szCs w:val="16"/>
                <w:color w:val="auto"/>
              </w:rPr>
              <w:t>•  Engaged with holders of 33% of outstanding shares</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80" w:type="dxa"/>
            <w:vAlign w:val="bottom"/>
          </w:tcPr>
          <w:p>
            <w:pPr>
              <w:spacing w:after="0"/>
              <w:rPr>
                <w:sz w:val="16"/>
                <w:szCs w:val="16"/>
                <w:color w:val="auto"/>
              </w:rPr>
            </w:pPr>
          </w:p>
        </w:tc>
        <w:tc>
          <w:tcPr>
            <w:tcW w:w="4860" w:type="dxa"/>
            <w:vAlign w:val="bottom"/>
            <w:shd w:val="clear" w:color="auto" w:fill="D8D8D8"/>
          </w:tcPr>
          <w:p>
            <w:pPr>
              <w:spacing w:after="0"/>
              <w:rPr>
                <w:sz w:val="16"/>
                <w:szCs w:val="16"/>
                <w:color w:val="auto"/>
              </w:rPr>
            </w:pPr>
          </w:p>
        </w:tc>
        <w:tc>
          <w:tcPr>
            <w:tcW w:w="5780" w:type="dxa"/>
            <w:vAlign w:val="bottom"/>
            <w:gridSpan w:val="2"/>
            <w:vMerge w:val="continue"/>
            <w:shd w:val="clear" w:color="auto" w:fill="D8D8D8"/>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5"/>
        </w:trPr>
        <w:tc>
          <w:tcPr>
            <w:tcW w:w="180" w:type="dxa"/>
            <w:vAlign w:val="bottom"/>
          </w:tcPr>
          <w:p>
            <w:pPr>
              <w:spacing w:after="0"/>
              <w:rPr>
                <w:sz w:val="24"/>
                <w:szCs w:val="24"/>
                <w:color w:val="auto"/>
              </w:rPr>
            </w:pPr>
          </w:p>
        </w:tc>
        <w:tc>
          <w:tcPr>
            <w:tcW w:w="4860" w:type="dxa"/>
            <w:vAlign w:val="bottom"/>
            <w:shd w:val="clear" w:color="auto" w:fill="D8D8D8"/>
          </w:tcPr>
          <w:p>
            <w:pPr>
              <w:spacing w:after="0"/>
              <w:rPr>
                <w:sz w:val="24"/>
                <w:szCs w:val="24"/>
                <w:color w:val="auto"/>
              </w:rPr>
            </w:pPr>
          </w:p>
        </w:tc>
        <w:tc>
          <w:tcPr>
            <w:tcW w:w="5780" w:type="dxa"/>
            <w:vAlign w:val="bottom"/>
            <w:gridSpan w:val="2"/>
            <w:shd w:val="clear" w:color="auto" w:fill="D8D8D8"/>
          </w:tcPr>
          <w:p>
            <w:pPr>
              <w:ind w:left="1000"/>
              <w:spacing w:after="0"/>
              <w:rPr>
                <w:sz w:val="20"/>
                <w:szCs w:val="20"/>
                <w:color w:val="auto"/>
              </w:rPr>
            </w:pPr>
            <w:r>
              <w:rPr>
                <w:rFonts w:ascii="Arial" w:cs="Arial" w:eastAsia="Arial" w:hAnsi="Arial"/>
                <w:sz w:val="16"/>
                <w:szCs w:val="16"/>
                <w:color w:val="auto"/>
              </w:rPr>
              <w:t>•  Topics included Board oversight of our long-term business</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80" w:type="dxa"/>
            <w:vAlign w:val="bottom"/>
          </w:tcPr>
          <w:p>
            <w:pPr>
              <w:spacing w:after="0"/>
              <w:rPr>
                <w:sz w:val="16"/>
                <w:szCs w:val="16"/>
                <w:color w:val="auto"/>
              </w:rPr>
            </w:pPr>
          </w:p>
        </w:tc>
        <w:tc>
          <w:tcPr>
            <w:tcW w:w="4860" w:type="dxa"/>
            <w:vAlign w:val="bottom"/>
            <w:shd w:val="clear" w:color="auto" w:fill="D8D8D8"/>
          </w:tcPr>
          <w:p>
            <w:pPr>
              <w:spacing w:after="0"/>
              <w:rPr>
                <w:sz w:val="16"/>
                <w:szCs w:val="16"/>
                <w:color w:val="auto"/>
              </w:rPr>
            </w:pPr>
          </w:p>
        </w:tc>
        <w:tc>
          <w:tcPr>
            <w:tcW w:w="1100" w:type="dxa"/>
            <w:vAlign w:val="bottom"/>
            <w:shd w:val="clear" w:color="auto" w:fill="D8D8D8"/>
          </w:tcPr>
          <w:p>
            <w:pPr>
              <w:spacing w:after="0"/>
              <w:rPr>
                <w:sz w:val="16"/>
                <w:szCs w:val="16"/>
                <w:color w:val="auto"/>
              </w:rPr>
            </w:pPr>
          </w:p>
        </w:tc>
        <w:tc>
          <w:tcPr>
            <w:tcW w:w="4680" w:type="dxa"/>
            <w:vAlign w:val="bottom"/>
            <w:shd w:val="clear" w:color="auto" w:fill="D8D8D8"/>
          </w:tcPr>
          <w:p>
            <w:pPr>
              <w:ind w:left="80"/>
              <w:spacing w:after="0"/>
              <w:rPr>
                <w:sz w:val="20"/>
                <w:szCs w:val="20"/>
                <w:color w:val="auto"/>
              </w:rPr>
            </w:pPr>
            <w:r>
              <w:rPr>
                <w:rFonts w:ascii="Arial" w:cs="Arial" w:eastAsia="Arial" w:hAnsi="Arial"/>
                <w:sz w:val="16"/>
                <w:szCs w:val="16"/>
                <w:color w:val="auto"/>
              </w:rPr>
              <w:t>strategy, key governance and compensation practices, and our</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80" w:type="dxa"/>
            <w:vAlign w:val="bottom"/>
          </w:tcPr>
          <w:p>
            <w:pPr>
              <w:spacing w:after="0"/>
              <w:rPr>
                <w:sz w:val="16"/>
                <w:szCs w:val="16"/>
                <w:color w:val="auto"/>
              </w:rPr>
            </w:pPr>
          </w:p>
        </w:tc>
        <w:tc>
          <w:tcPr>
            <w:tcW w:w="4860" w:type="dxa"/>
            <w:vAlign w:val="bottom"/>
            <w:shd w:val="clear" w:color="auto" w:fill="D8D8D8"/>
          </w:tcPr>
          <w:p>
            <w:pPr>
              <w:spacing w:after="0"/>
              <w:rPr>
                <w:sz w:val="16"/>
                <w:szCs w:val="16"/>
                <w:color w:val="auto"/>
              </w:rPr>
            </w:pPr>
          </w:p>
        </w:tc>
        <w:tc>
          <w:tcPr>
            <w:tcW w:w="1100" w:type="dxa"/>
            <w:vAlign w:val="bottom"/>
            <w:shd w:val="clear" w:color="auto" w:fill="D8D8D8"/>
          </w:tcPr>
          <w:p>
            <w:pPr>
              <w:spacing w:after="0"/>
              <w:rPr>
                <w:sz w:val="16"/>
                <w:szCs w:val="16"/>
                <w:color w:val="auto"/>
              </w:rPr>
            </w:pPr>
          </w:p>
        </w:tc>
        <w:tc>
          <w:tcPr>
            <w:tcW w:w="4680" w:type="dxa"/>
            <w:vAlign w:val="bottom"/>
            <w:shd w:val="clear" w:color="auto" w:fill="D8D8D8"/>
          </w:tcPr>
          <w:p>
            <w:pPr>
              <w:ind w:left="80"/>
              <w:spacing w:after="0"/>
              <w:rPr>
                <w:sz w:val="20"/>
                <w:szCs w:val="20"/>
                <w:color w:val="auto"/>
              </w:rPr>
            </w:pPr>
            <w:r>
              <w:rPr>
                <w:rFonts w:ascii="Arial" w:cs="Arial" w:eastAsia="Arial" w:hAnsi="Arial"/>
                <w:sz w:val="16"/>
                <w:szCs w:val="16"/>
                <w:color w:val="auto"/>
              </w:rPr>
              <w:t>Board refreshment practices</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5"/>
        </w:trPr>
        <w:tc>
          <w:tcPr>
            <w:tcW w:w="180" w:type="dxa"/>
            <w:vAlign w:val="bottom"/>
          </w:tcPr>
          <w:p>
            <w:pPr>
              <w:spacing w:after="0"/>
              <w:rPr>
                <w:sz w:val="24"/>
                <w:szCs w:val="24"/>
                <w:color w:val="auto"/>
              </w:rPr>
            </w:pPr>
          </w:p>
        </w:tc>
        <w:tc>
          <w:tcPr>
            <w:tcW w:w="4860" w:type="dxa"/>
            <w:vAlign w:val="bottom"/>
            <w:shd w:val="clear" w:color="auto" w:fill="D8D8D8"/>
          </w:tcPr>
          <w:p>
            <w:pPr>
              <w:spacing w:after="0"/>
              <w:rPr>
                <w:sz w:val="24"/>
                <w:szCs w:val="24"/>
                <w:color w:val="auto"/>
              </w:rPr>
            </w:pPr>
          </w:p>
        </w:tc>
        <w:tc>
          <w:tcPr>
            <w:tcW w:w="1100" w:type="dxa"/>
            <w:vAlign w:val="bottom"/>
            <w:shd w:val="clear" w:color="auto" w:fill="D8D8D8"/>
          </w:tcPr>
          <w:p>
            <w:pPr>
              <w:ind w:left="1000"/>
              <w:spacing w:after="0"/>
              <w:rPr>
                <w:sz w:val="20"/>
                <w:szCs w:val="20"/>
                <w:color w:val="auto"/>
              </w:rPr>
            </w:pPr>
            <w:r>
              <w:rPr>
                <w:rFonts w:ascii="Arial" w:cs="Arial" w:eastAsia="Arial" w:hAnsi="Arial"/>
                <w:sz w:val="16"/>
                <w:szCs w:val="16"/>
                <w:color w:val="auto"/>
              </w:rPr>
              <w:t>•</w:t>
            </w:r>
          </w:p>
        </w:tc>
        <w:tc>
          <w:tcPr>
            <w:tcW w:w="4680" w:type="dxa"/>
            <w:vAlign w:val="bottom"/>
            <w:shd w:val="clear" w:color="auto" w:fill="D8D8D8"/>
          </w:tcPr>
          <w:p>
            <w:pPr>
              <w:ind w:left="60"/>
              <w:spacing w:after="0"/>
              <w:rPr>
                <w:sz w:val="20"/>
                <w:szCs w:val="20"/>
                <w:color w:val="auto"/>
              </w:rPr>
            </w:pPr>
            <w:r>
              <w:rPr>
                <w:rFonts w:ascii="Arial" w:cs="Arial" w:eastAsia="Arial" w:hAnsi="Arial"/>
                <w:sz w:val="16"/>
                <w:szCs w:val="16"/>
                <w:color w:val="auto"/>
              </w:rPr>
              <w:t>Shareholder feedback informs Board decision-making, including</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80" w:type="dxa"/>
            <w:vAlign w:val="bottom"/>
          </w:tcPr>
          <w:p>
            <w:pPr>
              <w:spacing w:after="0"/>
              <w:rPr>
                <w:sz w:val="16"/>
                <w:szCs w:val="16"/>
                <w:color w:val="auto"/>
              </w:rPr>
            </w:pPr>
          </w:p>
        </w:tc>
        <w:tc>
          <w:tcPr>
            <w:tcW w:w="4860" w:type="dxa"/>
            <w:vAlign w:val="bottom"/>
            <w:shd w:val="clear" w:color="auto" w:fill="D8D8D8"/>
          </w:tcPr>
          <w:p>
            <w:pPr>
              <w:spacing w:after="0"/>
              <w:rPr>
                <w:sz w:val="16"/>
                <w:szCs w:val="16"/>
                <w:color w:val="auto"/>
              </w:rPr>
            </w:pPr>
          </w:p>
        </w:tc>
        <w:tc>
          <w:tcPr>
            <w:tcW w:w="1100" w:type="dxa"/>
            <w:vAlign w:val="bottom"/>
            <w:shd w:val="clear" w:color="auto" w:fill="D8D8D8"/>
          </w:tcPr>
          <w:p>
            <w:pPr>
              <w:spacing w:after="0"/>
              <w:rPr>
                <w:sz w:val="16"/>
                <w:szCs w:val="16"/>
                <w:color w:val="auto"/>
              </w:rPr>
            </w:pPr>
          </w:p>
        </w:tc>
        <w:tc>
          <w:tcPr>
            <w:tcW w:w="4680" w:type="dxa"/>
            <w:vAlign w:val="bottom"/>
            <w:shd w:val="clear" w:color="auto" w:fill="D8D8D8"/>
          </w:tcPr>
          <w:p>
            <w:pPr>
              <w:ind w:left="80"/>
              <w:spacing w:after="0"/>
              <w:rPr>
                <w:sz w:val="20"/>
                <w:szCs w:val="20"/>
                <w:color w:val="auto"/>
              </w:rPr>
            </w:pPr>
            <w:r>
              <w:rPr>
                <w:rFonts w:ascii="Arial" w:cs="Arial" w:eastAsia="Arial" w:hAnsi="Arial"/>
                <w:sz w:val="16"/>
                <w:szCs w:val="16"/>
                <w:color w:val="auto"/>
              </w:rPr>
              <w:t>re-inclusion of management proposals to eliminate super-</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80" w:type="dxa"/>
            <w:vAlign w:val="bottom"/>
          </w:tcPr>
          <w:p>
            <w:pPr>
              <w:spacing w:after="0"/>
              <w:rPr>
                <w:sz w:val="16"/>
                <w:szCs w:val="16"/>
                <w:color w:val="auto"/>
              </w:rPr>
            </w:pPr>
          </w:p>
        </w:tc>
        <w:tc>
          <w:tcPr>
            <w:tcW w:w="4860" w:type="dxa"/>
            <w:vAlign w:val="bottom"/>
            <w:shd w:val="clear" w:color="auto" w:fill="D8D8D8"/>
          </w:tcPr>
          <w:p>
            <w:pPr>
              <w:spacing w:after="0"/>
              <w:rPr>
                <w:sz w:val="16"/>
                <w:szCs w:val="16"/>
                <w:color w:val="auto"/>
              </w:rPr>
            </w:pPr>
          </w:p>
        </w:tc>
        <w:tc>
          <w:tcPr>
            <w:tcW w:w="1100" w:type="dxa"/>
            <w:vAlign w:val="bottom"/>
            <w:shd w:val="clear" w:color="auto" w:fill="D8D8D8"/>
          </w:tcPr>
          <w:p>
            <w:pPr>
              <w:spacing w:after="0"/>
              <w:rPr>
                <w:sz w:val="16"/>
                <w:szCs w:val="16"/>
                <w:color w:val="auto"/>
              </w:rPr>
            </w:pPr>
          </w:p>
        </w:tc>
        <w:tc>
          <w:tcPr>
            <w:tcW w:w="4680" w:type="dxa"/>
            <w:vAlign w:val="bottom"/>
            <w:shd w:val="clear" w:color="auto" w:fill="D8D8D8"/>
          </w:tcPr>
          <w:p>
            <w:pPr>
              <w:ind w:left="80"/>
              <w:spacing w:after="0"/>
              <w:rPr>
                <w:sz w:val="20"/>
                <w:szCs w:val="20"/>
                <w:color w:val="auto"/>
              </w:rPr>
            </w:pPr>
            <w:r>
              <w:rPr>
                <w:rFonts w:ascii="Arial" w:cs="Arial" w:eastAsia="Arial" w:hAnsi="Arial"/>
                <w:sz w:val="16"/>
                <w:szCs w:val="16"/>
                <w:color w:val="auto"/>
              </w:rPr>
              <w:t>majority vote provisions</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180" w:type="dxa"/>
            <w:vAlign w:val="bottom"/>
          </w:tcPr>
          <w:p>
            <w:pPr>
              <w:spacing w:after="0"/>
              <w:rPr>
                <w:sz w:val="21"/>
                <w:szCs w:val="21"/>
                <w:color w:val="auto"/>
              </w:rPr>
            </w:pPr>
          </w:p>
        </w:tc>
        <w:tc>
          <w:tcPr>
            <w:tcW w:w="4860" w:type="dxa"/>
            <w:vAlign w:val="bottom"/>
            <w:shd w:val="clear" w:color="auto" w:fill="D8D8D8"/>
          </w:tcPr>
          <w:p>
            <w:pPr>
              <w:spacing w:after="0"/>
              <w:rPr>
                <w:sz w:val="21"/>
                <w:szCs w:val="21"/>
                <w:color w:val="auto"/>
              </w:rPr>
            </w:pPr>
          </w:p>
        </w:tc>
        <w:tc>
          <w:tcPr>
            <w:tcW w:w="1100" w:type="dxa"/>
            <w:vAlign w:val="bottom"/>
            <w:shd w:val="clear" w:color="auto" w:fill="D8D8D8"/>
          </w:tcPr>
          <w:p>
            <w:pPr>
              <w:spacing w:after="0"/>
              <w:rPr>
                <w:sz w:val="21"/>
                <w:szCs w:val="21"/>
                <w:color w:val="auto"/>
              </w:rPr>
            </w:pPr>
          </w:p>
        </w:tc>
        <w:tc>
          <w:tcPr>
            <w:tcW w:w="4680" w:type="dxa"/>
            <w:vAlign w:val="bottom"/>
            <w:shd w:val="clear" w:color="auto" w:fill="D8D8D8"/>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180" w:type="dxa"/>
            <w:vAlign w:val="bottom"/>
            <w:tcBorders>
              <w:bottom w:val="single" w:sz="8" w:color="auto"/>
            </w:tcBorders>
          </w:tcPr>
          <w:p>
            <w:pPr>
              <w:spacing w:after="0"/>
              <w:rPr>
                <w:sz w:val="20"/>
                <w:szCs w:val="20"/>
                <w:color w:val="auto"/>
              </w:rPr>
            </w:pPr>
          </w:p>
        </w:tc>
        <w:tc>
          <w:tcPr>
            <w:tcW w:w="48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46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84"/>
        </w:trPr>
        <w:tc>
          <w:tcPr>
            <w:tcW w:w="18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80" w:type="dxa"/>
            <w:vAlign w:val="bottom"/>
            <w:gridSpan w:val="2"/>
          </w:tcPr>
          <w:p>
            <w:pPr>
              <w:ind w:left="1140"/>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8</w:t>
            </w:r>
          </w:p>
        </w:tc>
        <w:tc>
          <w:tcPr>
            <w:tcW w:w="0" w:type="dxa"/>
            <w:vAlign w:val="bottom"/>
          </w:tcPr>
          <w:p>
            <w:pPr>
              <w:spacing w:after="0"/>
              <w:rPr>
                <w:sz w:val="1"/>
                <w:szCs w:val="1"/>
                <w:color w:val="auto"/>
              </w:rPr>
            </w:pPr>
          </w:p>
        </w:tc>
      </w:tr>
    </w:tbl>
    <w:p>
      <w:pPr>
        <w:sectPr>
          <w:pgSz w:w="11900" w:h="16838" w:orient="portrait"/>
          <w:cols w:equalWidth="0" w:num="1">
            <w:col w:w="11220"/>
          </w:cols>
          <w:pgMar w:left="240" w:top="459" w:right="4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76" w:lineRule="exact"/>
        <w:rPr>
          <w:sz w:val="20"/>
          <w:szCs w:val="20"/>
          <w:color w:val="auto"/>
        </w:rPr>
      </w:pPr>
    </w:p>
    <w:p>
      <w:pPr>
        <w:ind w:left="220"/>
        <w:spacing w:after="0"/>
        <w:rPr>
          <w:sz w:val="20"/>
          <w:szCs w:val="20"/>
          <w:color w:val="auto"/>
        </w:rPr>
      </w:pPr>
      <w:r>
        <w:rPr>
          <w:rFonts w:ascii="Arial" w:cs="Arial" w:eastAsia="Arial" w:hAnsi="Arial"/>
          <w:sz w:val="36"/>
          <w:szCs w:val="36"/>
          <w:b w:val="1"/>
          <w:bCs w:val="1"/>
          <w:color w:val="32406B"/>
        </w:rPr>
        <w:t>Proposal 1 — Election of Directors</w:t>
      </w:r>
    </w:p>
    <w:p>
      <w:pPr>
        <w:spacing w:after="0" w:line="235"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32406B"/>
        </w:rPr>
        <w:t>Criteria for Director Nominees</w:t>
      </w:r>
    </w:p>
    <w:p>
      <w:pPr>
        <w:spacing w:after="0" w:line="105" w:lineRule="exact"/>
        <w:rPr>
          <w:sz w:val="20"/>
          <w:szCs w:val="20"/>
          <w:color w:val="auto"/>
        </w:rPr>
      </w:pPr>
    </w:p>
    <w:p>
      <w:pPr>
        <w:ind w:left="220" w:right="200"/>
        <w:spacing w:after="0" w:line="250" w:lineRule="auto"/>
        <w:rPr>
          <w:sz w:val="20"/>
          <w:szCs w:val="20"/>
          <w:color w:val="auto"/>
        </w:rPr>
      </w:pPr>
      <w:r>
        <w:rPr>
          <w:rFonts w:ascii="Arial" w:cs="Arial" w:eastAsia="Arial" w:hAnsi="Arial"/>
          <w:sz w:val="16"/>
          <w:szCs w:val="16"/>
          <w:color w:val="auto"/>
        </w:rPr>
        <w:t>The Board, in part through its delegation to the Governance and Nominating Committee, seeks to recommend qualified individuals to become members of the Board. The Board selects individuals as director nominees who, in the opinion of the Board, demonstrate the highest personal and professional integrity as well as exceptional ability and judgment, who can serve as a sounding board for our CEO on planning and policy, and who will be most effective, in connection with the other nominees to the Board, in collectively serving the long-term interests of all our shareholders.</w:t>
      </w:r>
    </w:p>
    <w:p>
      <w:pPr>
        <w:spacing w:after="0" w:line="185"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Key areas of expertise for director nominees, which are reflected in our current director nominees, include:</w:t>
      </w:r>
    </w:p>
    <w:p>
      <w:pPr>
        <w:spacing w:after="0" w:line="219" w:lineRule="exact"/>
        <w:rPr>
          <w:sz w:val="20"/>
          <w:szCs w:val="20"/>
          <w:color w:val="auto"/>
        </w:rPr>
      </w:pPr>
    </w:p>
    <w:tbl>
      <w:tblPr>
        <w:tblLayout w:type="fixed"/>
        <w:tblInd w:w="230" w:type="dxa"/>
        <w:tblCellMar>
          <w:top w:w="0" w:type="dxa"/>
          <w:left w:w="0" w:type="dxa"/>
          <w:bottom w:w="0" w:type="dxa"/>
          <w:right w:w="0" w:type="dxa"/>
        </w:tblCellMar>
      </w:tblPr>
      <w:tr>
        <w:trPr>
          <w:trHeight w:val="285"/>
        </w:trPr>
        <w:tc>
          <w:tcPr>
            <w:tcW w:w="4740" w:type="dxa"/>
            <w:vAlign w:val="bottom"/>
            <w:tcBorders>
              <w:top w:val="single" w:sz="8" w:color="auto"/>
              <w:left w:val="single" w:sz="8" w:color="auto"/>
              <w:right w:val="single" w:sz="8" w:color="auto"/>
            </w:tcBorders>
            <w:shd w:val="clear" w:color="auto" w:fill="32406B"/>
          </w:tcPr>
          <w:p>
            <w:pPr>
              <w:ind w:left="240"/>
              <w:spacing w:after="0" w:line="184" w:lineRule="exact"/>
              <w:rPr>
                <w:sz w:val="20"/>
                <w:szCs w:val="20"/>
                <w:color w:val="auto"/>
              </w:rPr>
            </w:pPr>
            <w:r>
              <w:rPr>
                <w:rFonts w:ascii="MS PGothic" w:cs="MS PGothic" w:eastAsia="MS PGothic" w:hAnsi="MS PGothic"/>
                <w:sz w:val="16"/>
                <w:szCs w:val="16"/>
                <w:color w:val="FFFFFF"/>
              </w:rPr>
              <w:t>✓</w:t>
            </w:r>
            <w:r>
              <w:rPr>
                <w:rFonts w:ascii="Arial" w:cs="Arial" w:eastAsia="Arial" w:hAnsi="Arial"/>
                <w:sz w:val="16"/>
                <w:szCs w:val="16"/>
                <w:b w:val="1"/>
                <w:bCs w:val="1"/>
                <w:color w:val="FFFFFF"/>
              </w:rPr>
              <w:t xml:space="preserve"> Strategic M&amp;A</w:t>
            </w:r>
          </w:p>
        </w:tc>
        <w:tc>
          <w:tcPr>
            <w:tcW w:w="628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  Experience with international acquisitions, post-merger integration, and portfolio</w:t>
            </w:r>
          </w:p>
        </w:tc>
      </w:tr>
      <w:tr>
        <w:trPr>
          <w:trHeight w:val="194"/>
        </w:trPr>
        <w:tc>
          <w:tcPr>
            <w:tcW w:w="4740" w:type="dxa"/>
            <w:vAlign w:val="bottom"/>
            <w:tcBorders>
              <w:left w:val="single" w:sz="8" w:color="auto"/>
              <w:right w:val="single" w:sz="8" w:color="auto"/>
            </w:tcBorders>
            <w:shd w:val="clear" w:color="auto" w:fill="32406B"/>
          </w:tcPr>
          <w:p>
            <w:pPr>
              <w:spacing w:after="0"/>
              <w:rPr>
                <w:sz w:val="16"/>
                <w:szCs w:val="16"/>
                <w:color w:val="auto"/>
              </w:rPr>
            </w:pPr>
          </w:p>
        </w:tc>
        <w:tc>
          <w:tcPr>
            <w:tcW w:w="6280" w:type="dxa"/>
            <w:vAlign w:val="bottom"/>
            <w:tcBorders>
              <w:right w:val="single" w:sz="8" w:color="auto"/>
            </w:tcBorders>
          </w:tcPr>
          <w:p>
            <w:pPr>
              <w:ind w:left="260"/>
              <w:spacing w:after="0"/>
              <w:rPr>
                <w:sz w:val="20"/>
                <w:szCs w:val="20"/>
                <w:color w:val="auto"/>
              </w:rPr>
            </w:pPr>
            <w:r>
              <w:rPr>
                <w:rFonts w:ascii="Arial" w:cs="Arial" w:eastAsia="Arial" w:hAnsi="Arial"/>
                <w:sz w:val="16"/>
                <w:szCs w:val="16"/>
                <w:color w:val="auto"/>
              </w:rPr>
              <w:t>restructuring</w:t>
            </w:r>
          </w:p>
        </w:tc>
      </w:tr>
      <w:tr>
        <w:trPr>
          <w:trHeight w:val="264"/>
        </w:trPr>
        <w:tc>
          <w:tcPr>
            <w:tcW w:w="4740" w:type="dxa"/>
            <w:vAlign w:val="bottom"/>
            <w:tcBorders>
              <w:left w:val="single" w:sz="8" w:color="auto"/>
              <w:right w:val="single" w:sz="8" w:color="auto"/>
            </w:tcBorders>
            <w:shd w:val="clear" w:color="auto" w:fill="32406B"/>
          </w:tcPr>
          <w:p>
            <w:pPr>
              <w:ind w:left="240"/>
              <w:spacing w:after="0" w:line="184" w:lineRule="exact"/>
              <w:rPr>
                <w:sz w:val="20"/>
                <w:szCs w:val="20"/>
                <w:color w:val="auto"/>
              </w:rPr>
            </w:pPr>
            <w:r>
              <w:rPr>
                <w:rFonts w:ascii="MS PGothic" w:cs="MS PGothic" w:eastAsia="MS PGothic" w:hAnsi="MS PGothic"/>
                <w:sz w:val="16"/>
                <w:szCs w:val="16"/>
                <w:color w:val="FFFFFF"/>
              </w:rPr>
              <w:t>✓</w:t>
            </w:r>
            <w:r>
              <w:rPr>
                <w:rFonts w:ascii="Arial" w:cs="Arial" w:eastAsia="Arial" w:hAnsi="Arial"/>
                <w:sz w:val="16"/>
                <w:szCs w:val="16"/>
                <w:b w:val="1"/>
                <w:bCs w:val="1"/>
                <w:color w:val="FFFFFF"/>
              </w:rPr>
              <w:t xml:space="preserve"> Global Operations and Management</w:t>
            </w:r>
          </w:p>
        </w:tc>
        <w:tc>
          <w:tcPr>
            <w:tcW w:w="628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  Experience with cross-border transactions, global market entry and expansion, and</w:t>
            </w:r>
          </w:p>
        </w:tc>
      </w:tr>
      <w:tr>
        <w:trPr>
          <w:trHeight w:val="194"/>
        </w:trPr>
        <w:tc>
          <w:tcPr>
            <w:tcW w:w="4740" w:type="dxa"/>
            <w:vAlign w:val="bottom"/>
            <w:tcBorders>
              <w:left w:val="single" w:sz="8" w:color="auto"/>
              <w:right w:val="single" w:sz="8" w:color="auto"/>
            </w:tcBorders>
            <w:shd w:val="clear" w:color="auto" w:fill="32406B"/>
          </w:tcPr>
          <w:p>
            <w:pPr>
              <w:spacing w:after="0"/>
              <w:rPr>
                <w:sz w:val="16"/>
                <w:szCs w:val="16"/>
                <w:color w:val="auto"/>
              </w:rPr>
            </w:pPr>
          </w:p>
        </w:tc>
        <w:tc>
          <w:tcPr>
            <w:tcW w:w="6280" w:type="dxa"/>
            <w:vAlign w:val="bottom"/>
            <w:tcBorders>
              <w:right w:val="single" w:sz="8" w:color="auto"/>
            </w:tcBorders>
          </w:tcPr>
          <w:p>
            <w:pPr>
              <w:ind w:left="260"/>
              <w:spacing w:after="0"/>
              <w:rPr>
                <w:sz w:val="20"/>
                <w:szCs w:val="20"/>
                <w:color w:val="auto"/>
              </w:rPr>
            </w:pPr>
            <w:r>
              <w:rPr>
                <w:rFonts w:ascii="Arial" w:cs="Arial" w:eastAsia="Arial" w:hAnsi="Arial"/>
                <w:sz w:val="16"/>
                <w:szCs w:val="16"/>
                <w:color w:val="auto"/>
              </w:rPr>
              <w:t>implementation of operational efficiency</w:t>
            </w:r>
          </w:p>
        </w:tc>
      </w:tr>
      <w:tr>
        <w:trPr>
          <w:trHeight w:val="288"/>
        </w:trPr>
        <w:tc>
          <w:tcPr>
            <w:tcW w:w="4740" w:type="dxa"/>
            <w:vAlign w:val="bottom"/>
            <w:tcBorders>
              <w:left w:val="single" w:sz="8" w:color="auto"/>
              <w:right w:val="single" w:sz="8" w:color="auto"/>
            </w:tcBorders>
            <w:shd w:val="clear" w:color="auto" w:fill="32406B"/>
          </w:tcPr>
          <w:p>
            <w:pPr>
              <w:ind w:left="240"/>
              <w:spacing w:after="0" w:line="184" w:lineRule="exact"/>
              <w:rPr>
                <w:sz w:val="20"/>
                <w:szCs w:val="20"/>
                <w:color w:val="auto"/>
              </w:rPr>
            </w:pPr>
            <w:r>
              <w:rPr>
                <w:rFonts w:ascii="MS PGothic" w:cs="MS PGothic" w:eastAsia="MS PGothic" w:hAnsi="MS PGothic"/>
                <w:sz w:val="16"/>
                <w:szCs w:val="16"/>
                <w:color w:val="FFFFFF"/>
              </w:rPr>
              <w:t>✓</w:t>
            </w:r>
            <w:r>
              <w:rPr>
                <w:rFonts w:ascii="Arial" w:cs="Arial" w:eastAsia="Arial" w:hAnsi="Arial"/>
                <w:sz w:val="16"/>
                <w:szCs w:val="16"/>
                <w:b w:val="1"/>
                <w:bCs w:val="1"/>
                <w:color w:val="FFFFFF"/>
              </w:rPr>
              <w:t xml:space="preserve"> Strategy Development and Execution</w:t>
            </w:r>
          </w:p>
        </w:tc>
        <w:tc>
          <w:tcPr>
            <w:tcW w:w="628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  Capital allocation and strategic planning expertise</w:t>
            </w:r>
          </w:p>
        </w:tc>
      </w:tr>
      <w:tr>
        <w:trPr>
          <w:trHeight w:val="283"/>
        </w:trPr>
        <w:tc>
          <w:tcPr>
            <w:tcW w:w="4740" w:type="dxa"/>
            <w:vAlign w:val="bottom"/>
            <w:tcBorders>
              <w:left w:val="single" w:sz="8" w:color="auto"/>
              <w:right w:val="single" w:sz="8" w:color="auto"/>
            </w:tcBorders>
            <w:shd w:val="clear" w:color="auto" w:fill="32406B"/>
          </w:tcPr>
          <w:p>
            <w:pPr>
              <w:ind w:left="240"/>
              <w:spacing w:after="0" w:line="184" w:lineRule="exact"/>
              <w:rPr>
                <w:sz w:val="20"/>
                <w:szCs w:val="20"/>
                <w:color w:val="auto"/>
              </w:rPr>
            </w:pPr>
            <w:r>
              <w:rPr>
                <w:rFonts w:ascii="MS PGothic" w:cs="MS PGothic" w:eastAsia="MS PGothic" w:hAnsi="MS PGothic"/>
                <w:sz w:val="16"/>
                <w:szCs w:val="16"/>
                <w:color w:val="FFFFFF"/>
              </w:rPr>
              <w:t>✓</w:t>
            </w:r>
            <w:r>
              <w:rPr>
                <w:rFonts w:ascii="Arial" w:cs="Arial" w:eastAsia="Arial" w:hAnsi="Arial"/>
                <w:sz w:val="16"/>
                <w:szCs w:val="16"/>
                <w:b w:val="1"/>
                <w:bCs w:val="1"/>
                <w:color w:val="FFFFFF"/>
              </w:rPr>
              <w:t xml:space="preserve"> Capital Markets Expertise</w:t>
            </w:r>
          </w:p>
        </w:tc>
        <w:tc>
          <w:tcPr>
            <w:tcW w:w="628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  Experience with capital markets and complex financing transactions</w:t>
            </w:r>
          </w:p>
        </w:tc>
      </w:tr>
      <w:tr>
        <w:trPr>
          <w:trHeight w:val="260"/>
        </w:trPr>
        <w:tc>
          <w:tcPr>
            <w:tcW w:w="4740" w:type="dxa"/>
            <w:vAlign w:val="bottom"/>
            <w:tcBorders>
              <w:left w:val="single" w:sz="8" w:color="auto"/>
              <w:right w:val="single" w:sz="8" w:color="auto"/>
            </w:tcBorders>
            <w:shd w:val="clear" w:color="auto" w:fill="32406B"/>
          </w:tcPr>
          <w:p>
            <w:pPr>
              <w:ind w:left="240"/>
              <w:spacing w:after="0" w:line="184" w:lineRule="exact"/>
              <w:rPr>
                <w:sz w:val="20"/>
                <w:szCs w:val="20"/>
                <w:color w:val="auto"/>
              </w:rPr>
            </w:pPr>
            <w:r>
              <w:rPr>
                <w:rFonts w:ascii="MS PGothic" w:cs="MS PGothic" w:eastAsia="MS PGothic" w:hAnsi="MS PGothic"/>
                <w:sz w:val="16"/>
                <w:szCs w:val="16"/>
                <w:color w:val="FFFFFF"/>
              </w:rPr>
              <w:t>✓</w:t>
            </w:r>
            <w:r>
              <w:rPr>
                <w:rFonts w:ascii="Arial" w:cs="Arial" w:eastAsia="Arial" w:hAnsi="Arial"/>
                <w:sz w:val="16"/>
                <w:szCs w:val="16"/>
                <w:b w:val="1"/>
                <w:bCs w:val="1"/>
                <w:color w:val="FFFFFF"/>
              </w:rPr>
              <w:t xml:space="preserve"> Deep and Diverse Industry Knowledge</w:t>
            </w:r>
          </w:p>
        </w:tc>
        <w:tc>
          <w:tcPr>
            <w:tcW w:w="628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  Experience with diversified manufacturing in many of the markets and product</w:t>
            </w:r>
          </w:p>
        </w:tc>
      </w:tr>
      <w:tr>
        <w:trPr>
          <w:trHeight w:val="194"/>
        </w:trPr>
        <w:tc>
          <w:tcPr>
            <w:tcW w:w="4740" w:type="dxa"/>
            <w:vAlign w:val="bottom"/>
            <w:tcBorders>
              <w:left w:val="single" w:sz="8" w:color="auto"/>
              <w:right w:val="single" w:sz="8" w:color="auto"/>
            </w:tcBorders>
            <w:shd w:val="clear" w:color="auto" w:fill="32406B"/>
          </w:tcPr>
          <w:p>
            <w:pPr>
              <w:spacing w:after="0"/>
              <w:rPr>
                <w:sz w:val="16"/>
                <w:szCs w:val="16"/>
                <w:color w:val="auto"/>
              </w:rPr>
            </w:pPr>
          </w:p>
        </w:tc>
        <w:tc>
          <w:tcPr>
            <w:tcW w:w="6280" w:type="dxa"/>
            <w:vAlign w:val="bottom"/>
            <w:tcBorders>
              <w:right w:val="single" w:sz="8" w:color="auto"/>
            </w:tcBorders>
          </w:tcPr>
          <w:p>
            <w:pPr>
              <w:ind w:left="260"/>
              <w:spacing w:after="0"/>
              <w:rPr>
                <w:sz w:val="20"/>
                <w:szCs w:val="20"/>
                <w:color w:val="auto"/>
              </w:rPr>
            </w:pPr>
            <w:r>
              <w:rPr>
                <w:rFonts w:ascii="Arial" w:cs="Arial" w:eastAsia="Arial" w:hAnsi="Arial"/>
                <w:sz w:val="16"/>
                <w:szCs w:val="16"/>
                <w:color w:val="auto"/>
              </w:rPr>
              <w:t>areas relevant to Dover’s businesses.</w:t>
            </w:r>
          </w:p>
        </w:tc>
      </w:tr>
      <w:tr>
        <w:trPr>
          <w:trHeight w:val="288"/>
        </w:trPr>
        <w:tc>
          <w:tcPr>
            <w:tcW w:w="4740" w:type="dxa"/>
            <w:vAlign w:val="bottom"/>
            <w:tcBorders>
              <w:left w:val="single" w:sz="8" w:color="auto"/>
              <w:right w:val="single" w:sz="8" w:color="auto"/>
            </w:tcBorders>
            <w:shd w:val="clear" w:color="auto" w:fill="32406B"/>
          </w:tcPr>
          <w:p>
            <w:pPr>
              <w:ind w:left="240"/>
              <w:spacing w:after="0" w:line="184" w:lineRule="exact"/>
              <w:rPr>
                <w:sz w:val="20"/>
                <w:szCs w:val="20"/>
                <w:color w:val="auto"/>
              </w:rPr>
            </w:pPr>
            <w:r>
              <w:rPr>
                <w:rFonts w:ascii="MS PGothic" w:cs="MS PGothic" w:eastAsia="MS PGothic" w:hAnsi="MS PGothic"/>
                <w:sz w:val="16"/>
                <w:szCs w:val="16"/>
                <w:color w:val="FFFFFF"/>
              </w:rPr>
              <w:t>✓</w:t>
            </w:r>
            <w:r>
              <w:rPr>
                <w:rFonts w:ascii="Arial" w:cs="Arial" w:eastAsia="Arial" w:hAnsi="Arial"/>
                <w:sz w:val="16"/>
                <w:szCs w:val="16"/>
                <w:b w:val="1"/>
                <w:bCs w:val="1"/>
                <w:color w:val="FFFFFF"/>
              </w:rPr>
              <w:t xml:space="preserve"> Audit and Corporate Governance Matters</w:t>
            </w:r>
          </w:p>
        </w:tc>
        <w:tc>
          <w:tcPr>
            <w:tcW w:w="628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  Experience with assurance and audit, regulation, and financial reporting</w:t>
            </w:r>
          </w:p>
        </w:tc>
      </w:tr>
      <w:tr>
        <w:trPr>
          <w:trHeight w:val="305"/>
        </w:trPr>
        <w:tc>
          <w:tcPr>
            <w:tcW w:w="4740" w:type="dxa"/>
            <w:vAlign w:val="bottom"/>
            <w:tcBorders>
              <w:left w:val="single" w:sz="8" w:color="auto"/>
              <w:bottom w:val="single" w:sz="8" w:color="32406B"/>
              <w:right w:val="single" w:sz="8" w:color="auto"/>
            </w:tcBorders>
            <w:shd w:val="clear" w:color="auto" w:fill="32406B"/>
          </w:tcPr>
          <w:p>
            <w:pPr>
              <w:ind w:left="240"/>
              <w:spacing w:after="0" w:line="184" w:lineRule="exact"/>
              <w:rPr>
                <w:sz w:val="20"/>
                <w:szCs w:val="20"/>
                <w:color w:val="auto"/>
              </w:rPr>
            </w:pPr>
            <w:r>
              <w:rPr>
                <w:rFonts w:ascii="MS PGothic" w:cs="MS PGothic" w:eastAsia="MS PGothic" w:hAnsi="MS PGothic"/>
                <w:sz w:val="16"/>
                <w:szCs w:val="16"/>
                <w:color w:val="FFFFFF"/>
              </w:rPr>
              <w:t>✓</w:t>
            </w:r>
            <w:r>
              <w:rPr>
                <w:rFonts w:ascii="Arial" w:cs="Arial" w:eastAsia="Arial" w:hAnsi="Arial"/>
                <w:sz w:val="16"/>
                <w:szCs w:val="16"/>
                <w:b w:val="1"/>
                <w:bCs w:val="1"/>
                <w:color w:val="FFFFFF"/>
              </w:rPr>
              <w:t xml:space="preserve"> Executive Leadership Experience</w:t>
            </w:r>
          </w:p>
        </w:tc>
        <w:tc>
          <w:tcPr>
            <w:tcW w:w="628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  Leadership experience as former CEOs and CFOs of global public companies</w:t>
            </w:r>
          </w:p>
        </w:tc>
      </w:tr>
      <w:tr>
        <w:trPr>
          <w:trHeight w:val="20"/>
        </w:trPr>
        <w:tc>
          <w:tcPr>
            <w:tcW w:w="47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6280" w:type="dxa"/>
            <w:vAlign w:val="bottom"/>
            <w:tcBorders>
              <w:right w:val="single" w:sz="8" w:color="auto"/>
            </w:tcBorders>
            <w:shd w:val="clear" w:color="auto" w:fill="000000"/>
          </w:tcPr>
          <w:p>
            <w:pPr>
              <w:spacing w:after="0" w:line="20" w:lineRule="exact"/>
              <w:rPr>
                <w:sz w:val="1"/>
                <w:szCs w:val="1"/>
                <w:color w:val="auto"/>
              </w:rPr>
            </w:pPr>
          </w:p>
        </w:tc>
      </w:tr>
    </w:tbl>
    <w:p>
      <w:pPr>
        <w:spacing w:after="0" w:line="177" w:lineRule="exact"/>
        <w:rPr>
          <w:sz w:val="20"/>
          <w:szCs w:val="20"/>
          <w:color w:val="auto"/>
        </w:rPr>
      </w:pPr>
    </w:p>
    <w:p>
      <w:pPr>
        <w:ind w:left="220" w:right="140"/>
        <w:spacing w:after="0" w:line="253" w:lineRule="auto"/>
        <w:rPr>
          <w:sz w:val="20"/>
          <w:szCs w:val="20"/>
          <w:color w:val="auto"/>
        </w:rPr>
      </w:pPr>
      <w:r>
        <w:rPr>
          <w:rFonts w:ascii="Arial" w:cs="Arial" w:eastAsia="Arial" w:hAnsi="Arial"/>
          <w:sz w:val="16"/>
          <w:szCs w:val="16"/>
          <w:color w:val="auto"/>
        </w:rPr>
        <w:t>In considering diversity in selecting director nominees, the Governance and Nominating Committee gives weight to the extent to which candidates would increase the effectiveness of the Board by broadening the mix of experience, knowledge, backgrounds, skills, ages and tenures represented among its members.</w:t>
      </w:r>
    </w:p>
    <w:p>
      <w:pPr>
        <w:spacing w:after="0" w:line="160" w:lineRule="exact"/>
        <w:rPr>
          <w:sz w:val="20"/>
          <w:szCs w:val="20"/>
          <w:color w:val="auto"/>
        </w:rPr>
      </w:pPr>
    </w:p>
    <w:p>
      <w:pPr>
        <w:ind w:left="220" w:right="120"/>
        <w:spacing w:after="0" w:line="253" w:lineRule="auto"/>
        <w:rPr>
          <w:sz w:val="20"/>
          <w:szCs w:val="20"/>
          <w:color w:val="auto"/>
        </w:rPr>
      </w:pPr>
      <w:r>
        <w:rPr>
          <w:rFonts w:ascii="Arial" w:cs="Arial" w:eastAsia="Arial" w:hAnsi="Arial"/>
          <w:sz w:val="16"/>
          <w:szCs w:val="16"/>
          <w:color w:val="auto"/>
        </w:rPr>
        <w:t>The Governance and Nominating Committee also considers our current Board composition and the projected retirement date of current directors, as well as such other factors it may deem to be in the best interests of Dover and its shareholders, including a director nominee’s leadership and operating experience (particularly as a CEO), financial and investment expertise and strategic planning experience.</w:t>
      </w:r>
    </w:p>
    <w:p>
      <w:pPr>
        <w:spacing w:after="0" w:line="174" w:lineRule="exact"/>
        <w:rPr>
          <w:sz w:val="20"/>
          <w:szCs w:val="20"/>
          <w:color w:val="auto"/>
        </w:rPr>
      </w:pPr>
    </w:p>
    <w:p>
      <w:pPr>
        <w:ind w:left="220" w:right="120"/>
        <w:spacing w:after="0" w:line="253" w:lineRule="auto"/>
        <w:rPr>
          <w:sz w:val="20"/>
          <w:szCs w:val="20"/>
          <w:color w:val="auto"/>
        </w:rPr>
      </w:pPr>
      <w:r>
        <w:rPr>
          <w:rFonts w:ascii="Arial" w:cs="Arial" w:eastAsia="Arial" w:hAnsi="Arial"/>
          <w:sz w:val="16"/>
          <w:szCs w:val="16"/>
          <w:color w:val="auto"/>
        </w:rPr>
        <w:t>The Board prefers nominees to be independent, but believes it is desirable to have our CEO on the Board as a representative of current management. Given the global reach and broad array of the types of businesses operated by Dover, the Governance and Nominating Committee highly values director nominees with multi-industry and multi-geographic experience.</w:t>
      </w:r>
    </w:p>
    <w:p>
      <w:pPr>
        <w:spacing w:after="0" w:line="166"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32406B"/>
        </w:rPr>
        <w:t>Director Nomination Process</w:t>
      </w:r>
    </w:p>
    <w:p>
      <w:pPr>
        <w:spacing w:after="0" w:line="92" w:lineRule="exact"/>
        <w:rPr>
          <w:sz w:val="20"/>
          <w:szCs w:val="20"/>
          <w:color w:val="auto"/>
        </w:rPr>
      </w:pPr>
    </w:p>
    <w:p>
      <w:pPr>
        <w:ind w:left="220" w:right="60"/>
        <w:spacing w:after="0" w:line="253" w:lineRule="auto"/>
        <w:rPr>
          <w:sz w:val="20"/>
          <w:szCs w:val="20"/>
          <w:color w:val="auto"/>
        </w:rPr>
      </w:pPr>
      <w:r>
        <w:rPr>
          <w:rFonts w:ascii="Arial" w:cs="Arial" w:eastAsia="Arial" w:hAnsi="Arial"/>
          <w:sz w:val="16"/>
          <w:szCs w:val="16"/>
          <w:color w:val="auto"/>
        </w:rPr>
        <w:t>Whenever the Governance and Nominating Committee concludes that a new nominee to our Board is required or advisable, it will consider recommendations from directors, management, shareholders and, if it deems appropriate, consultants retained for that purpose. In such circumstances, it will evaluate individuals recommended by shareholders in the same manner as nominees recommended from other sources.</w:t>
      </w:r>
    </w:p>
    <w:p>
      <w:pPr>
        <w:spacing w:after="0" w:line="113" w:lineRule="exact"/>
        <w:rPr>
          <w:sz w:val="20"/>
          <w:szCs w:val="20"/>
          <w:color w:val="auto"/>
        </w:rPr>
      </w:pPr>
    </w:p>
    <w:p>
      <w:pPr>
        <w:ind w:left="7480"/>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9</w:t>
      </w:r>
    </w:p>
    <w:p>
      <w:pPr>
        <w:sectPr>
          <w:pgSz w:w="11900" w:h="16838" w:orient="portrait"/>
          <w:cols w:equalWidth="0" w:num="1">
            <w:col w:w="11240"/>
          </w:cols>
          <w:pgMar w:left="240" w:top="459" w:right="4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PROPOSAL 1 — ELECTION OF DIRECTORS</w:t>
      </w:r>
    </w:p>
    <w:p>
      <w:pPr>
        <w:spacing w:after="0" w:line="157" w:lineRule="exact"/>
        <w:rPr>
          <w:sz w:val="20"/>
          <w:szCs w:val="20"/>
          <w:color w:val="auto"/>
        </w:rPr>
      </w:pPr>
    </w:p>
    <w:p>
      <w:pPr>
        <w:ind w:left="220"/>
        <w:spacing w:after="0"/>
        <w:rPr>
          <w:sz w:val="20"/>
          <w:szCs w:val="20"/>
          <w:color w:val="auto"/>
        </w:rPr>
      </w:pPr>
      <w:r>
        <w:rPr>
          <w:rFonts w:ascii="Arial" w:cs="Arial" w:eastAsia="Arial" w:hAnsi="Arial"/>
          <w:sz w:val="16"/>
          <w:szCs w:val="16"/>
          <w:i w:val="1"/>
          <w:iCs w:val="1"/>
          <w:color w:val="32406B"/>
        </w:rPr>
        <w:t>Shareholder Nominations for Director</w:t>
      </w:r>
    </w:p>
    <w:p>
      <w:pPr>
        <w:spacing w:after="0" w:line="102" w:lineRule="exact"/>
        <w:rPr>
          <w:sz w:val="20"/>
          <w:szCs w:val="20"/>
          <w:color w:val="auto"/>
        </w:rPr>
      </w:pPr>
    </w:p>
    <w:p>
      <w:pPr>
        <w:ind w:left="220" w:right="120"/>
        <w:spacing w:after="0" w:line="249" w:lineRule="auto"/>
        <w:rPr>
          <w:sz w:val="20"/>
          <w:szCs w:val="20"/>
          <w:color w:val="auto"/>
        </w:rPr>
      </w:pPr>
      <w:r>
        <w:rPr>
          <w:rFonts w:ascii="Arial" w:cs="Arial" w:eastAsia="Arial" w:hAnsi="Arial"/>
          <w:sz w:val="16"/>
          <w:szCs w:val="16"/>
          <w:color w:val="auto"/>
        </w:rPr>
        <w:t xml:space="preserve">Shareholders who wish to recommend an individual for nomination should send that person’s name and supporting information to the Governance and Nominating Committee, care of the Corporate Secretary at our principal executive offices, 3005 Highland Parkway, Downers Grove, Illinois, 60515, or through our communications coordinator. Shareholders who wish to directly nominate an individual for election as a director, without going through the Governance and Nominating Committee, must comply with the procedures in our by-laws. Please see </w:t>
      </w:r>
      <w:r>
        <w:rPr>
          <w:rFonts w:ascii="Arial" w:cs="Arial" w:eastAsia="Arial" w:hAnsi="Arial"/>
          <w:sz w:val="16"/>
          <w:szCs w:val="16"/>
          <w:i w:val="1"/>
          <w:iCs w:val="1"/>
          <w:color w:val="auto"/>
        </w:rPr>
        <w:t>General Information About the Annual Meeting</w:t>
      </w:r>
      <w:r>
        <w:rPr>
          <w:rFonts w:ascii="Arial" w:cs="Arial" w:eastAsia="Arial" w:hAnsi="Arial"/>
          <w:sz w:val="16"/>
          <w:szCs w:val="16"/>
          <w:color w:val="auto"/>
        </w:rPr>
        <w:t xml:space="preserve"> for nomination deadlines.</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6"/>
          <w:szCs w:val="16"/>
          <w:i w:val="1"/>
          <w:iCs w:val="1"/>
          <w:color w:val="32406B"/>
        </w:rPr>
        <w:t>Proxy Access Shareholder Right</w:t>
      </w:r>
    </w:p>
    <w:p>
      <w:pPr>
        <w:spacing w:after="0" w:line="88" w:lineRule="exact"/>
        <w:rPr>
          <w:sz w:val="20"/>
          <w:szCs w:val="20"/>
          <w:color w:val="auto"/>
        </w:rPr>
      </w:pPr>
    </w:p>
    <w:p>
      <w:pPr>
        <w:jc w:val="both"/>
        <w:ind w:left="220" w:right="20"/>
        <w:spacing w:after="0" w:line="253" w:lineRule="auto"/>
        <w:rPr>
          <w:sz w:val="20"/>
          <w:szCs w:val="20"/>
          <w:color w:val="auto"/>
        </w:rPr>
      </w:pPr>
      <w:r>
        <w:rPr>
          <w:rFonts w:ascii="Arial" w:cs="Arial" w:eastAsia="Arial" w:hAnsi="Arial"/>
          <w:sz w:val="16"/>
          <w:szCs w:val="16"/>
          <w:color w:val="auto"/>
        </w:rPr>
        <w:t>Following extensive engagement with our shareholders, our Board determined to adopt proxy access in February 2016, permitting a shareholder or group of up to 20 shareholders holding 3% of our outstanding shares of common stock for at least three years to nominate a number of directors constituting the greater of two directors or 20% of the number of directors on our Board, as set forth in detail in our by-laws.</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10</w:t>
      </w:r>
    </w:p>
    <w:p>
      <w:pPr>
        <w:sectPr>
          <w:pgSz w:w="11900" w:h="16838" w:orient="portrait"/>
          <w:cols w:equalWidth="0" w:num="1">
            <w:col w:w="11220"/>
          </w:cols>
          <w:pgMar w:left="240" w:top="459"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PROPOSAL 1 — ELECTION OF DIRECTORS</w:t>
      </w:r>
    </w:p>
    <w:p>
      <w:pPr>
        <w:spacing w:after="0" w:line="139"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32406B"/>
        </w:rPr>
        <w:t>2018 Director Nominees</w:t>
      </w:r>
    </w:p>
    <w:p>
      <w:pPr>
        <w:spacing w:after="0" w:line="105" w:lineRule="exact"/>
        <w:rPr>
          <w:sz w:val="20"/>
          <w:szCs w:val="20"/>
          <w:color w:val="auto"/>
        </w:rPr>
      </w:pPr>
    </w:p>
    <w:p>
      <w:pPr>
        <w:ind w:left="220" w:right="140"/>
        <w:spacing w:after="0" w:line="260" w:lineRule="auto"/>
        <w:rPr>
          <w:sz w:val="20"/>
          <w:szCs w:val="20"/>
          <w:color w:val="auto"/>
        </w:rPr>
      </w:pPr>
      <w:r>
        <w:rPr>
          <w:rFonts w:ascii="Arial" w:cs="Arial" w:eastAsia="Arial" w:hAnsi="Arial"/>
          <w:sz w:val="16"/>
          <w:szCs w:val="16"/>
          <w:color w:val="auto"/>
        </w:rPr>
        <w:t>There are ten nominees for election to our Board at this Annual Meeting, each to serve until the next annual meeting of shareholders or his or her earlier removal, resignation or retirement. All of the nominees currently serve on our Board and are being proposed for re-election by our Board.</w:t>
      </w:r>
    </w:p>
    <w:p>
      <w:pPr>
        <w:spacing w:after="0" w:line="154" w:lineRule="exact"/>
        <w:rPr>
          <w:sz w:val="20"/>
          <w:szCs w:val="20"/>
          <w:color w:val="auto"/>
        </w:rPr>
      </w:pPr>
    </w:p>
    <w:p>
      <w:pPr>
        <w:ind w:left="220" w:right="80"/>
        <w:spacing w:after="0" w:line="260" w:lineRule="auto"/>
        <w:rPr>
          <w:sz w:val="20"/>
          <w:szCs w:val="20"/>
          <w:color w:val="auto"/>
        </w:rPr>
      </w:pPr>
      <w:r>
        <w:rPr>
          <w:rFonts w:ascii="Arial" w:cs="Arial" w:eastAsia="Arial" w:hAnsi="Arial"/>
          <w:sz w:val="16"/>
          <w:szCs w:val="16"/>
          <w:color w:val="auto"/>
        </w:rPr>
        <w:t>Current director Michael B. Stubbs is not standing for re-election and will retire from the Board effective as of the Annual Meeting. Current director Robert A. Livingston will retire from the Board effective as of April 30, 2018 concurrent with his retirement as President and CEO.</w:t>
      </w:r>
    </w:p>
    <w:p>
      <w:pPr>
        <w:spacing w:after="0" w:line="154" w:lineRule="exact"/>
        <w:rPr>
          <w:sz w:val="20"/>
          <w:szCs w:val="20"/>
          <w:color w:val="auto"/>
        </w:rPr>
      </w:pPr>
    </w:p>
    <w:p>
      <w:pPr>
        <w:ind w:left="220" w:right="160"/>
        <w:spacing w:after="0" w:line="253" w:lineRule="auto"/>
        <w:rPr>
          <w:sz w:val="20"/>
          <w:szCs w:val="20"/>
          <w:color w:val="auto"/>
        </w:rPr>
      </w:pPr>
      <w:r>
        <w:rPr>
          <w:rFonts w:ascii="Arial" w:cs="Arial" w:eastAsia="Arial" w:hAnsi="Arial"/>
          <w:sz w:val="16"/>
          <w:szCs w:val="16"/>
          <w:color w:val="auto"/>
        </w:rPr>
        <w:t>If any nominee for election becomes unavailable or unwilling for good cause to serve as a director before the Annual Meeting, an event which we do not anticipate, the persons named as proxies will vote for a substitute nominee or nominees as may be designated by our Board, or the Board may reduce the number of directors. Directors will be elected by a majority of the votes cast in connection with their election.</w:t>
      </w:r>
    </w:p>
    <w:p>
      <w:pPr>
        <w:spacing w:after="0" w:line="203" w:lineRule="exact"/>
        <w:rPr>
          <w:sz w:val="20"/>
          <w:szCs w:val="20"/>
          <w:color w:val="auto"/>
        </w:rPr>
      </w:pPr>
    </w:p>
    <w:p>
      <w:pPr>
        <w:ind w:left="1640"/>
        <w:spacing w:after="0"/>
        <w:rPr>
          <w:sz w:val="20"/>
          <w:szCs w:val="20"/>
          <w:color w:val="auto"/>
        </w:rPr>
      </w:pPr>
      <w:r>
        <w:rPr>
          <w:rFonts w:ascii="Arial" w:cs="Arial" w:eastAsia="Arial" w:hAnsi="Arial"/>
          <w:sz w:val="18"/>
          <w:szCs w:val="18"/>
          <w:b w:val="1"/>
          <w:bCs w:val="1"/>
          <w:i w:val="1"/>
          <w:iCs w:val="1"/>
          <w:color w:val="32406B"/>
        </w:rPr>
        <w:t>Peter T.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1041400</wp:posOffset>
            </wp:positionH>
            <wp:positionV relativeFrom="paragraph">
              <wp:posOffset>140335</wp:posOffset>
            </wp:positionV>
            <wp:extent cx="608203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82030" cy="8255"/>
                    </a:xfrm>
                    <a:prstGeom prst="rect">
                      <a:avLst/>
                    </a:prstGeom>
                    <a:noFill/>
                  </pic:spPr>
                </pic:pic>
              </a:graphicData>
            </a:graphic>
          </wp:anchor>
        </w:drawing>
      </w:r>
    </w:p>
    <w:p>
      <w:pPr>
        <w:spacing w:after="0" w:line="331" w:lineRule="exact"/>
        <w:rPr>
          <w:sz w:val="20"/>
          <w:szCs w:val="20"/>
          <w:color w:val="auto"/>
        </w:rPr>
      </w:pPr>
    </w:p>
    <w:p>
      <w:pPr>
        <w:ind w:left="1640"/>
        <w:spacing w:after="0"/>
        <w:rPr>
          <w:sz w:val="20"/>
          <w:szCs w:val="20"/>
          <w:color w:val="auto"/>
        </w:rPr>
      </w:pPr>
      <w:r>
        <w:rPr>
          <w:rFonts w:ascii="Arial" w:cs="Arial" w:eastAsia="Arial" w:hAnsi="Arial"/>
          <w:sz w:val="16"/>
          <w:szCs w:val="16"/>
          <w:b w:val="1"/>
          <w:bCs w:val="1"/>
          <w:color w:val="auto"/>
        </w:rPr>
        <w:t>Independent Director Nominee</w:t>
      </w:r>
    </w:p>
    <w:p>
      <w:pPr>
        <w:spacing w:after="0" w:line="25" w:lineRule="exact"/>
        <w:rPr>
          <w:sz w:val="20"/>
          <w:szCs w:val="20"/>
          <w:color w:val="auto"/>
        </w:rPr>
      </w:pPr>
    </w:p>
    <w:p>
      <w:pPr>
        <w:ind w:left="1640"/>
        <w:spacing w:after="0"/>
        <w:rPr>
          <w:sz w:val="20"/>
          <w:szCs w:val="20"/>
          <w:color w:val="auto"/>
        </w:rPr>
      </w:pPr>
      <w:r>
        <w:rPr>
          <w:rFonts w:ascii="Arial" w:cs="Arial" w:eastAsia="Arial" w:hAnsi="Arial"/>
          <w:sz w:val="16"/>
          <w:szCs w:val="16"/>
          <w:b w:val="1"/>
          <w:bCs w:val="1"/>
          <w:color w:val="auto"/>
        </w:rPr>
        <w:t>Age: 65</w:t>
      </w:r>
    </w:p>
    <w:p>
      <w:pPr>
        <w:spacing w:after="0" w:line="5" w:lineRule="exact"/>
        <w:rPr>
          <w:sz w:val="20"/>
          <w:szCs w:val="20"/>
          <w:color w:val="auto"/>
        </w:rPr>
      </w:pPr>
    </w:p>
    <w:p>
      <w:pPr>
        <w:ind w:left="1640"/>
        <w:spacing w:after="0"/>
        <w:rPr>
          <w:sz w:val="20"/>
          <w:szCs w:val="20"/>
          <w:color w:val="auto"/>
        </w:rPr>
      </w:pPr>
      <w:r>
        <w:rPr>
          <w:rFonts w:ascii="Arial" w:cs="Arial" w:eastAsia="Arial" w:hAnsi="Arial"/>
          <w:sz w:val="16"/>
          <w:szCs w:val="16"/>
          <w:b w:val="1"/>
          <w:bCs w:val="1"/>
          <w:color w:val="auto"/>
        </w:rPr>
        <w:t>Director since 2007</w:t>
      </w:r>
    </w:p>
    <w:p>
      <w:pPr>
        <w:spacing w:after="0" w:line="66" w:lineRule="exact"/>
        <w:rPr>
          <w:sz w:val="20"/>
          <w:szCs w:val="20"/>
          <w:color w:val="auto"/>
        </w:rPr>
      </w:pPr>
    </w:p>
    <w:p>
      <w:pPr>
        <w:ind w:left="1640"/>
        <w:spacing w:after="0"/>
        <w:tabs>
          <w:tab w:leader="none" w:pos="3280" w:val="left"/>
        </w:tabs>
        <w:rPr>
          <w:sz w:val="20"/>
          <w:szCs w:val="20"/>
          <w:color w:val="auto"/>
        </w:rPr>
      </w:pPr>
      <w:r>
        <w:rPr>
          <w:rFonts w:ascii="Arial" w:cs="Arial" w:eastAsia="Arial" w:hAnsi="Arial"/>
          <w:sz w:val="16"/>
          <w:szCs w:val="16"/>
          <w:b w:val="1"/>
          <w:bCs w:val="1"/>
          <w:color w:val="auto"/>
        </w:rPr>
        <w:t>Committee Served:</w:t>
        <w:tab/>
        <w:t>Compensation</w:t>
      </w:r>
    </w:p>
    <w:p>
      <w:pPr>
        <w:spacing w:after="0" w:line="200" w:lineRule="exact"/>
        <w:rPr>
          <w:sz w:val="20"/>
          <w:szCs w:val="20"/>
          <w:color w:val="auto"/>
        </w:rPr>
      </w:pPr>
    </w:p>
    <w:p>
      <w:pPr>
        <w:spacing w:after="0" w:line="277" w:lineRule="exact"/>
        <w:rPr>
          <w:sz w:val="20"/>
          <w:szCs w:val="20"/>
          <w:color w:val="auto"/>
        </w:rPr>
      </w:pPr>
    </w:p>
    <w:p>
      <w:pPr>
        <w:ind w:left="220" w:right="40"/>
        <w:spacing w:after="0" w:line="266" w:lineRule="auto"/>
        <w:rPr>
          <w:sz w:val="20"/>
          <w:szCs w:val="20"/>
          <w:color w:val="auto"/>
        </w:rPr>
      </w:pPr>
      <w:r>
        <w:rPr>
          <w:rFonts w:ascii="Arial" w:cs="Arial" w:eastAsia="Arial" w:hAnsi="Arial"/>
          <w:sz w:val="16"/>
          <w:szCs w:val="16"/>
          <w:b w:val="1"/>
          <w:bCs w:val="1"/>
          <w:i w:val="1"/>
          <w:iCs w:val="1"/>
          <w:color w:val="auto"/>
        </w:rPr>
        <w:t>Business Experience</w:t>
      </w:r>
      <w:r>
        <w:rPr>
          <w:rFonts w:ascii="Arial" w:cs="Arial" w:eastAsia="Arial" w:hAnsi="Arial"/>
          <w:sz w:val="16"/>
          <w:szCs w:val="16"/>
          <w:color w:val="auto"/>
        </w:rPr>
        <w:t>: Former President and CEO of J.M. Huber Corporation, a privately-held, diversified company focused on engineered materials,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natural resources and technology-based services (from 1994 to 2009); Managing Member of Mukilteo Investment Management Company, responsible for investments in gas royalty and real estate partnerships, private equity funds, leveraged buyouts and stock portfolios (since 2011).</w:t>
      </w:r>
    </w:p>
    <w:p>
      <w:pPr>
        <w:spacing w:after="0" w:line="22"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auto"/>
        </w:rPr>
        <w:t>Other Board Experience</w:t>
      </w:r>
      <w:r>
        <w:rPr>
          <w:rFonts w:ascii="Arial" w:cs="Arial" w:eastAsia="Arial" w:hAnsi="Arial"/>
          <w:sz w:val="16"/>
          <w:szCs w:val="16"/>
          <w:color w:val="auto"/>
        </w:rPr>
        <w:t>: Former Chairman and Director J.M. Huber Corporation.</w:t>
      </w:r>
    </w:p>
    <w:p>
      <w:pPr>
        <w:spacing w:after="0" w:line="72"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auto"/>
        </w:rPr>
        <w:t>Skills and Qualifications</w:t>
      </w:r>
      <w:r>
        <w:rPr>
          <w:rFonts w:ascii="Arial" w:cs="Arial" w:eastAsia="Arial" w:hAnsi="Arial"/>
          <w:sz w:val="16"/>
          <w:szCs w:val="16"/>
          <w:color w:val="auto"/>
        </w:rPr>
        <w:t>:</w:t>
      </w:r>
    </w:p>
    <w:p>
      <w:pPr>
        <w:spacing w:after="0" w:line="106" w:lineRule="exact"/>
        <w:rPr>
          <w:sz w:val="20"/>
          <w:szCs w:val="20"/>
          <w:color w:val="auto"/>
        </w:rPr>
      </w:pPr>
    </w:p>
    <w:p>
      <w:pPr>
        <w:ind w:left="420" w:right="140" w:hanging="210"/>
        <w:spacing w:after="0" w:line="260" w:lineRule="auto"/>
        <w:tabs>
          <w:tab w:leader="none" w:pos="4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Mr. Francis brings to the Board extensive business experience and strategic leadership as a CEO, international business experience and expertise in investment management.</w:t>
      </w:r>
    </w:p>
    <w:p>
      <w:pPr>
        <w:spacing w:after="0" w:line="60" w:lineRule="exact"/>
        <w:rPr>
          <w:rFonts w:ascii="Arial" w:cs="Arial" w:eastAsia="Arial" w:hAnsi="Arial"/>
          <w:sz w:val="16"/>
          <w:szCs w:val="16"/>
          <w:color w:val="auto"/>
        </w:rPr>
      </w:pPr>
    </w:p>
    <w:p>
      <w:pPr>
        <w:ind w:left="420" w:right="160" w:hanging="210"/>
        <w:spacing w:after="0" w:line="260" w:lineRule="auto"/>
        <w:tabs>
          <w:tab w:leader="none" w:pos="4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He also contributes valuable perspectives on governance practices and change management informed in part by his role as a Faculty member at the Stanford University Graduate School of Business, where he teaches courses on business transition planning.</w:t>
      </w:r>
    </w:p>
    <w:p>
      <w:pPr>
        <w:spacing w:after="0" w:line="60" w:lineRule="exact"/>
        <w:rPr>
          <w:rFonts w:ascii="Arial" w:cs="Arial" w:eastAsia="Arial" w:hAnsi="Arial"/>
          <w:sz w:val="16"/>
          <w:szCs w:val="16"/>
          <w:color w:val="auto"/>
        </w:rPr>
      </w:pPr>
    </w:p>
    <w:p>
      <w:pPr>
        <w:ind w:left="420" w:right="120" w:hanging="210"/>
        <w:spacing w:after="0" w:line="250" w:lineRule="auto"/>
        <w:tabs>
          <w:tab w:leader="none" w:pos="4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His experience as Chairman, President and CEO for over 16 years of an international manufacturing conglomerate with locations in over 25 countries enables him to provide valuable input to the Board and our CEO on matters relating to portfolio structuring, industrial operations, capital allocation, financial matters, mergers &amp; acquisitions, manufacturing, management oversight, executive compensation, performance evaluation, succession planning and Board governance and composition.</w:t>
      </w:r>
    </w:p>
    <w:p>
      <w:pPr>
        <w:spacing w:after="0" w:line="69" w:lineRule="exact"/>
        <w:rPr>
          <w:rFonts w:ascii="Arial" w:cs="Arial" w:eastAsia="Arial" w:hAnsi="Arial"/>
          <w:sz w:val="16"/>
          <w:szCs w:val="16"/>
          <w:color w:val="auto"/>
        </w:rPr>
      </w:pPr>
    </w:p>
    <w:p>
      <w:pPr>
        <w:ind w:left="420" w:right="140" w:hanging="210"/>
        <w:spacing w:after="0" w:line="250" w:lineRule="auto"/>
        <w:tabs>
          <w:tab w:leader="none" w:pos="4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As Chairman of the Board of J.M. Huber Corporation (1994 to 2008), Mr. Francis led the design of board processes, the implementation of individual board member evaluations, and the development of the audit, nominating, management and compensation, environmental and finance committee charters. As President and CEO, Mr. Francis entirely redesigned J.M. Huber’s strategy and restructured its portfolio with over 25 divestitures and 100 acquisitions.</w:t>
      </w:r>
    </w:p>
    <w:p>
      <w:pPr>
        <w:spacing w:after="0" w:line="69" w:lineRule="exact"/>
        <w:rPr>
          <w:rFonts w:ascii="Arial" w:cs="Arial" w:eastAsia="Arial" w:hAnsi="Arial"/>
          <w:sz w:val="16"/>
          <w:szCs w:val="16"/>
          <w:color w:val="auto"/>
        </w:rPr>
      </w:pPr>
    </w:p>
    <w:p>
      <w:pPr>
        <w:ind w:left="420" w:right="720" w:hanging="210"/>
        <w:spacing w:after="0" w:line="260" w:lineRule="auto"/>
        <w:tabs>
          <w:tab w:leader="none" w:pos="4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Mr. Francis has also lived or worked outside the United States for more than eight years and brings an international perspective to the Board. Mr. Francis has an MBA from Stanford University.</w:t>
      </w:r>
    </w:p>
    <w:p>
      <w:pPr>
        <w:spacing w:after="0" w:line="10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11</w:t>
      </w:r>
    </w:p>
    <w:p>
      <w:pPr>
        <w:sectPr>
          <w:pgSz w:w="11900" w:h="16838" w:orient="portrait"/>
          <w:cols w:equalWidth="0" w:num="1">
            <w:col w:w="11220"/>
          </w:cols>
          <w:pgMar w:left="240" w:top="459"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PROPOSAL 1 — ELECTION OF DIRECTORS</w:t>
      </w:r>
    </w:p>
    <w:p>
      <w:pPr>
        <w:spacing w:after="0" w:line="149" w:lineRule="exact"/>
        <w:rPr>
          <w:sz w:val="20"/>
          <w:szCs w:val="20"/>
          <w:color w:val="auto"/>
        </w:rPr>
      </w:pPr>
    </w:p>
    <w:p>
      <w:pPr>
        <w:ind w:left="1580"/>
        <w:spacing w:after="0"/>
        <w:rPr>
          <w:sz w:val="20"/>
          <w:szCs w:val="20"/>
          <w:color w:val="auto"/>
        </w:rPr>
      </w:pPr>
      <w:r>
        <w:rPr>
          <w:rFonts w:ascii="Arial" w:cs="Arial" w:eastAsia="Arial" w:hAnsi="Arial"/>
          <w:sz w:val="18"/>
          <w:szCs w:val="18"/>
          <w:b w:val="1"/>
          <w:bCs w:val="1"/>
          <w:i w:val="1"/>
          <w:iCs w:val="1"/>
          <w:color w:val="32406B"/>
        </w:rPr>
        <w:t>Kristiane C.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-116205</wp:posOffset>
            </wp:positionV>
            <wp:extent cx="6989445" cy="10020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89445" cy="1002030"/>
                    </a:xfrm>
                    <a:prstGeom prst="rect">
                      <a:avLst/>
                    </a:prstGeom>
                    <a:noFill/>
                  </pic:spPr>
                </pic:pic>
              </a:graphicData>
            </a:graphic>
          </wp:anchor>
        </w:drawing>
      </w:r>
    </w:p>
    <w:p>
      <w:pPr>
        <w:spacing w:after="0" w:line="331" w:lineRule="exact"/>
        <w:rPr>
          <w:sz w:val="20"/>
          <w:szCs w:val="20"/>
          <w:color w:val="auto"/>
        </w:rPr>
      </w:pPr>
    </w:p>
    <w:p>
      <w:pPr>
        <w:ind w:left="1580"/>
        <w:spacing w:after="0"/>
        <w:rPr>
          <w:sz w:val="20"/>
          <w:szCs w:val="20"/>
          <w:color w:val="auto"/>
        </w:rPr>
      </w:pPr>
      <w:r>
        <w:rPr>
          <w:rFonts w:ascii="Arial" w:cs="Arial" w:eastAsia="Arial" w:hAnsi="Arial"/>
          <w:sz w:val="16"/>
          <w:szCs w:val="16"/>
          <w:b w:val="1"/>
          <w:bCs w:val="1"/>
          <w:color w:val="auto"/>
        </w:rPr>
        <w:t>Independent Director Nominee</w:t>
      </w:r>
    </w:p>
    <w:p>
      <w:pPr>
        <w:spacing w:after="0" w:line="25" w:lineRule="exact"/>
        <w:rPr>
          <w:sz w:val="20"/>
          <w:szCs w:val="20"/>
          <w:color w:val="auto"/>
        </w:rPr>
      </w:pPr>
    </w:p>
    <w:p>
      <w:pPr>
        <w:ind w:left="1580"/>
        <w:spacing w:after="0"/>
        <w:rPr>
          <w:sz w:val="20"/>
          <w:szCs w:val="20"/>
          <w:color w:val="auto"/>
        </w:rPr>
      </w:pPr>
      <w:r>
        <w:rPr>
          <w:rFonts w:ascii="Arial" w:cs="Arial" w:eastAsia="Arial" w:hAnsi="Arial"/>
          <w:sz w:val="16"/>
          <w:szCs w:val="16"/>
          <w:b w:val="1"/>
          <w:bCs w:val="1"/>
          <w:color w:val="auto"/>
        </w:rPr>
        <w:t>Age: 60</w:t>
      </w:r>
    </w:p>
    <w:p>
      <w:pPr>
        <w:spacing w:after="0" w:line="5" w:lineRule="exact"/>
        <w:rPr>
          <w:sz w:val="20"/>
          <w:szCs w:val="20"/>
          <w:color w:val="auto"/>
        </w:rPr>
      </w:pPr>
    </w:p>
    <w:p>
      <w:pPr>
        <w:ind w:left="1580"/>
        <w:spacing w:after="0"/>
        <w:rPr>
          <w:sz w:val="20"/>
          <w:szCs w:val="20"/>
          <w:color w:val="auto"/>
        </w:rPr>
      </w:pPr>
      <w:r>
        <w:rPr>
          <w:rFonts w:ascii="Arial" w:cs="Arial" w:eastAsia="Arial" w:hAnsi="Arial"/>
          <w:sz w:val="16"/>
          <w:szCs w:val="16"/>
          <w:b w:val="1"/>
          <w:bCs w:val="1"/>
          <w:color w:val="auto"/>
        </w:rPr>
        <w:t>Director since 1999</w:t>
      </w:r>
    </w:p>
    <w:p>
      <w:pPr>
        <w:spacing w:after="0" w:line="66" w:lineRule="exact"/>
        <w:rPr>
          <w:sz w:val="20"/>
          <w:szCs w:val="20"/>
          <w:color w:val="auto"/>
        </w:rPr>
      </w:pPr>
    </w:p>
    <w:p>
      <w:pPr>
        <w:ind w:left="1580"/>
        <w:spacing w:after="0"/>
        <w:tabs>
          <w:tab w:leader="none" w:pos="3320" w:val="left"/>
        </w:tabs>
        <w:rPr>
          <w:sz w:val="20"/>
          <w:szCs w:val="20"/>
          <w:color w:val="auto"/>
        </w:rPr>
      </w:pPr>
      <w:r>
        <w:rPr>
          <w:rFonts w:ascii="Arial" w:cs="Arial" w:eastAsia="Arial" w:hAnsi="Arial"/>
          <w:sz w:val="16"/>
          <w:szCs w:val="16"/>
          <w:b w:val="1"/>
          <w:bCs w:val="1"/>
          <w:color w:val="auto"/>
        </w:rPr>
        <w:t>Committees Served:</w:t>
        <w:tab/>
        <w:t>Compensation, Governance and Nominating</w:t>
      </w:r>
    </w:p>
    <w:p>
      <w:pPr>
        <w:spacing w:after="0" w:line="342"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auto"/>
        </w:rPr>
        <w:t>Business Experience</w:t>
      </w:r>
      <w:r>
        <w:rPr>
          <w:rFonts w:ascii="Arial" w:cs="Arial" w:eastAsia="Arial" w:hAnsi="Arial"/>
          <w:sz w:val="16"/>
          <w:szCs w:val="16"/>
          <w:color w:val="auto"/>
        </w:rPr>
        <w:t>: Private Investor.</w:t>
      </w:r>
    </w:p>
    <w:p>
      <w:pPr>
        <w:spacing w:after="0" w:line="72"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auto"/>
        </w:rPr>
        <w:t>Skills and Qualifications</w:t>
      </w:r>
      <w:r>
        <w:rPr>
          <w:rFonts w:ascii="Arial" w:cs="Arial" w:eastAsia="Arial" w:hAnsi="Arial"/>
          <w:sz w:val="16"/>
          <w:szCs w:val="16"/>
          <w:color w:val="auto"/>
        </w:rPr>
        <w:t>:</w:t>
      </w:r>
    </w:p>
    <w:p>
      <w:pPr>
        <w:spacing w:after="0" w:line="106" w:lineRule="exact"/>
        <w:rPr>
          <w:sz w:val="20"/>
          <w:szCs w:val="20"/>
          <w:color w:val="auto"/>
        </w:rPr>
      </w:pPr>
    </w:p>
    <w:p>
      <w:pPr>
        <w:ind w:left="420" w:right="180" w:hanging="210"/>
        <w:spacing w:after="0" w:line="260" w:lineRule="auto"/>
        <w:tabs>
          <w:tab w:leader="none" w:pos="4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Ms. Graham’s experience as a private investor with substantial holdings of Dover stock and her shared interests in Dover, including interests through charitable organizations of which she is a director, makes her a good surrogate for our individual and retail investors.</w:t>
      </w:r>
    </w:p>
    <w:p>
      <w:pPr>
        <w:spacing w:after="0" w:line="60" w:lineRule="exact"/>
        <w:rPr>
          <w:rFonts w:ascii="Arial" w:cs="Arial" w:eastAsia="Arial" w:hAnsi="Arial"/>
          <w:sz w:val="16"/>
          <w:szCs w:val="16"/>
          <w:color w:val="auto"/>
        </w:rPr>
      </w:pPr>
    </w:p>
    <w:p>
      <w:pPr>
        <w:ind w:left="420" w:right="420" w:hanging="210"/>
        <w:spacing w:after="0" w:line="260" w:lineRule="auto"/>
        <w:tabs>
          <w:tab w:leader="none" w:pos="4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Ms. Graham also has past experience with a commercial bank, primarily as a loan officer. She founded and operated an advisory company and a publication regarding international thoroughbred racing and now co-manages her family’s investments.</w:t>
      </w:r>
    </w:p>
    <w:p>
      <w:pPr>
        <w:spacing w:after="0" w:line="60" w:lineRule="exact"/>
        <w:rPr>
          <w:rFonts w:ascii="Arial" w:cs="Arial" w:eastAsia="Arial" w:hAnsi="Arial"/>
          <w:sz w:val="16"/>
          <w:szCs w:val="16"/>
          <w:color w:val="auto"/>
        </w:rPr>
      </w:pPr>
    </w:p>
    <w:p>
      <w:pPr>
        <w:ind w:left="420" w:right="240" w:hanging="210"/>
        <w:spacing w:after="0" w:line="260" w:lineRule="auto"/>
        <w:tabs>
          <w:tab w:leader="none" w:pos="4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During her time on the Board, she has devoted substantial time to monitoring the development of Dover operating company leaders, enabling her to provide the Board valuable insights regarding management succession.</w:t>
      </w:r>
    </w:p>
    <w:p>
      <w:pPr>
        <w:spacing w:after="0" w:line="60" w:lineRule="exact"/>
        <w:rPr>
          <w:rFonts w:ascii="Arial" w:cs="Arial" w:eastAsia="Arial" w:hAnsi="Arial"/>
          <w:sz w:val="16"/>
          <w:szCs w:val="16"/>
          <w:color w:val="auto"/>
        </w:rPr>
      </w:pPr>
    </w:p>
    <w:p>
      <w:pPr>
        <w:ind w:left="420" w:right="120" w:hanging="210"/>
        <w:spacing w:after="0" w:line="260" w:lineRule="auto"/>
        <w:tabs>
          <w:tab w:leader="none" w:pos="4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As a member of one of the founding families of Dover, Ms. Graham also brings to the Board a sense of Dover’s historical values, culture and strategic vision which the Board believes is beneficial as it considers various strategic planning alternatives for shaping Dover’s future.</w:t>
      </w:r>
    </w:p>
    <w:p>
      <w:pPr>
        <w:spacing w:after="0" w:line="319" w:lineRule="exact"/>
        <w:rPr>
          <w:sz w:val="20"/>
          <w:szCs w:val="20"/>
          <w:color w:val="auto"/>
        </w:rPr>
      </w:pPr>
    </w:p>
    <w:p>
      <w:pPr>
        <w:ind w:left="1580"/>
        <w:spacing w:after="0"/>
        <w:rPr>
          <w:sz w:val="20"/>
          <w:szCs w:val="20"/>
          <w:color w:val="auto"/>
        </w:rPr>
      </w:pPr>
      <w:r>
        <w:rPr>
          <w:rFonts w:ascii="Arial" w:cs="Arial" w:eastAsia="Arial" w:hAnsi="Arial"/>
          <w:sz w:val="18"/>
          <w:szCs w:val="18"/>
          <w:b w:val="1"/>
          <w:bCs w:val="1"/>
          <w:i w:val="1"/>
          <w:iCs w:val="1"/>
          <w:color w:val="32406B"/>
        </w:rPr>
        <w:t>Michael F. Johnston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-116205</wp:posOffset>
            </wp:positionV>
            <wp:extent cx="6989445" cy="10020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89445" cy="1002030"/>
                    </a:xfrm>
                    <a:prstGeom prst="rect">
                      <a:avLst/>
                    </a:prstGeom>
                    <a:noFill/>
                  </pic:spPr>
                </pic:pic>
              </a:graphicData>
            </a:graphic>
          </wp:anchor>
        </w:drawing>
      </w:r>
    </w:p>
    <w:p>
      <w:pPr>
        <w:spacing w:after="0" w:line="331" w:lineRule="exact"/>
        <w:rPr>
          <w:sz w:val="20"/>
          <w:szCs w:val="20"/>
          <w:color w:val="auto"/>
        </w:rPr>
      </w:pPr>
    </w:p>
    <w:p>
      <w:pPr>
        <w:ind w:left="1580"/>
        <w:spacing w:after="0"/>
        <w:rPr>
          <w:sz w:val="20"/>
          <w:szCs w:val="20"/>
          <w:color w:val="auto"/>
        </w:rPr>
      </w:pPr>
      <w:r>
        <w:rPr>
          <w:rFonts w:ascii="Arial" w:cs="Arial" w:eastAsia="Arial" w:hAnsi="Arial"/>
          <w:sz w:val="16"/>
          <w:szCs w:val="16"/>
          <w:b w:val="1"/>
          <w:bCs w:val="1"/>
          <w:color w:val="auto"/>
        </w:rPr>
        <w:t>Independent Board Chairman; Independent Director Nominee</w:t>
      </w:r>
    </w:p>
    <w:p>
      <w:pPr>
        <w:spacing w:after="0" w:line="25" w:lineRule="exact"/>
        <w:rPr>
          <w:sz w:val="20"/>
          <w:szCs w:val="20"/>
          <w:color w:val="auto"/>
        </w:rPr>
      </w:pPr>
    </w:p>
    <w:p>
      <w:pPr>
        <w:ind w:left="1580"/>
        <w:spacing w:after="0"/>
        <w:rPr>
          <w:sz w:val="20"/>
          <w:szCs w:val="20"/>
          <w:color w:val="auto"/>
        </w:rPr>
      </w:pPr>
      <w:r>
        <w:rPr>
          <w:rFonts w:ascii="Arial" w:cs="Arial" w:eastAsia="Arial" w:hAnsi="Arial"/>
          <w:sz w:val="16"/>
          <w:szCs w:val="16"/>
          <w:b w:val="1"/>
          <w:bCs w:val="1"/>
          <w:color w:val="auto"/>
        </w:rPr>
        <w:t>Age: 70</w:t>
      </w:r>
    </w:p>
    <w:p>
      <w:pPr>
        <w:spacing w:after="0" w:line="5" w:lineRule="exact"/>
        <w:rPr>
          <w:sz w:val="20"/>
          <w:szCs w:val="20"/>
          <w:color w:val="auto"/>
        </w:rPr>
      </w:pPr>
    </w:p>
    <w:p>
      <w:pPr>
        <w:ind w:left="1580"/>
        <w:spacing w:after="0"/>
        <w:rPr>
          <w:sz w:val="20"/>
          <w:szCs w:val="20"/>
          <w:color w:val="auto"/>
        </w:rPr>
      </w:pPr>
      <w:r>
        <w:rPr>
          <w:rFonts w:ascii="Arial" w:cs="Arial" w:eastAsia="Arial" w:hAnsi="Arial"/>
          <w:sz w:val="16"/>
          <w:szCs w:val="16"/>
          <w:b w:val="1"/>
          <w:bCs w:val="1"/>
          <w:color w:val="auto"/>
        </w:rPr>
        <w:t>Director since 2013</w:t>
      </w:r>
    </w:p>
    <w:p>
      <w:pPr>
        <w:spacing w:after="0" w:line="66" w:lineRule="exact"/>
        <w:rPr>
          <w:sz w:val="20"/>
          <w:szCs w:val="20"/>
          <w:color w:val="auto"/>
        </w:rPr>
      </w:pPr>
    </w:p>
    <w:p>
      <w:pPr>
        <w:ind w:left="1580"/>
        <w:spacing w:after="0"/>
        <w:tabs>
          <w:tab w:leader="none" w:pos="3300" w:val="left"/>
        </w:tabs>
        <w:rPr>
          <w:sz w:val="20"/>
          <w:szCs w:val="20"/>
          <w:color w:val="auto"/>
        </w:rPr>
      </w:pPr>
      <w:r>
        <w:rPr>
          <w:rFonts w:ascii="Arial" w:cs="Arial" w:eastAsia="Arial" w:hAnsi="Arial"/>
          <w:sz w:val="16"/>
          <w:szCs w:val="16"/>
          <w:b w:val="1"/>
          <w:bCs w:val="1"/>
          <w:color w:val="auto"/>
        </w:rPr>
        <w:t>Committees Served:</w:t>
        <w:tab/>
        <w:t>Compensation, Governance and Nominating</w:t>
      </w:r>
    </w:p>
    <w:p>
      <w:pPr>
        <w:spacing w:after="0" w:line="329" w:lineRule="exact"/>
        <w:rPr>
          <w:sz w:val="20"/>
          <w:szCs w:val="20"/>
          <w:color w:val="auto"/>
        </w:rPr>
      </w:pPr>
    </w:p>
    <w:p>
      <w:pPr>
        <w:ind w:left="220" w:right="60"/>
        <w:spacing w:after="0" w:line="259" w:lineRule="auto"/>
        <w:rPr>
          <w:sz w:val="20"/>
          <w:szCs w:val="20"/>
          <w:color w:val="auto"/>
        </w:rPr>
      </w:pPr>
      <w:r>
        <w:rPr>
          <w:rFonts w:ascii="Arial" w:cs="Arial" w:eastAsia="Arial" w:hAnsi="Arial"/>
          <w:sz w:val="16"/>
          <w:szCs w:val="16"/>
          <w:b w:val="1"/>
          <w:bCs w:val="1"/>
          <w:i w:val="1"/>
          <w:iCs w:val="1"/>
          <w:color w:val="auto"/>
        </w:rPr>
        <w:t>Business Experience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Former CEO (from 2004 to 2008) and President and Chief Operating Officer (“COO”) (from 2000 to 2004) of Visteon Corporation,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 automotive components supplier; former President of North America/Asia Pacific, Automotive Systems Group (from 1999 to 2000), President of Americas Automotive Group (from 1997 to 1999), and other senior management positions at Johnson Controls, Inc., an automotive and building services company. In May 2009, Visteon filed for voluntary reorganization under Chapter 11 of the U.S. Bankruptcy Code.</w:t>
      </w:r>
    </w:p>
    <w:p>
      <w:pPr>
        <w:spacing w:after="0" w:line="42" w:lineRule="exact"/>
        <w:rPr>
          <w:sz w:val="20"/>
          <w:szCs w:val="20"/>
          <w:color w:val="auto"/>
        </w:rPr>
      </w:pPr>
    </w:p>
    <w:p>
      <w:pPr>
        <w:ind w:left="220" w:right="80"/>
        <w:spacing w:after="0" w:line="286" w:lineRule="auto"/>
        <w:rPr>
          <w:sz w:val="20"/>
          <w:szCs w:val="20"/>
          <w:color w:val="auto"/>
        </w:rPr>
      </w:pPr>
      <w:r>
        <w:rPr>
          <w:rFonts w:ascii="Arial" w:cs="Arial" w:eastAsia="Arial" w:hAnsi="Arial"/>
          <w:sz w:val="16"/>
          <w:szCs w:val="16"/>
          <w:b w:val="1"/>
          <w:bCs w:val="1"/>
          <w:i w:val="1"/>
          <w:iCs w:val="1"/>
          <w:color w:val="auto"/>
        </w:rPr>
        <w:t>Other Board Experience</w:t>
      </w:r>
      <w:r>
        <w:rPr>
          <w:rFonts w:ascii="Arial" w:cs="Arial" w:eastAsia="Arial" w:hAnsi="Arial"/>
          <w:sz w:val="16"/>
          <w:szCs w:val="16"/>
          <w:color w:val="auto"/>
        </w:rPr>
        <w:t>: Director of Armstrong Flooring, Inc. and Whirlpool Corporation. Former Chairman and Director of Visteon Corporation. Former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Director of Armstrong World Industries and Flowserve Corporation.</w:t>
      </w:r>
    </w:p>
    <w:p>
      <w:pPr>
        <w:spacing w:after="0" w:line="7"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auto"/>
        </w:rPr>
        <w:t>Skills and Qualifications</w:t>
      </w:r>
      <w:r>
        <w:rPr>
          <w:rFonts w:ascii="Arial" w:cs="Arial" w:eastAsia="Arial" w:hAnsi="Arial"/>
          <w:sz w:val="16"/>
          <w:szCs w:val="16"/>
          <w:color w:val="auto"/>
        </w:rPr>
        <w:t>:</w:t>
      </w:r>
    </w:p>
    <w:p>
      <w:pPr>
        <w:spacing w:after="0" w:line="106" w:lineRule="exact"/>
        <w:rPr>
          <w:sz w:val="20"/>
          <w:szCs w:val="20"/>
          <w:color w:val="auto"/>
        </w:rPr>
      </w:pPr>
    </w:p>
    <w:p>
      <w:pPr>
        <w:ind w:left="420" w:right="320" w:hanging="210"/>
        <w:spacing w:after="0" w:line="260" w:lineRule="auto"/>
        <w:tabs>
          <w:tab w:leader="none" w:pos="4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Mr. Johnston brings to the Board industry insight, financial expertise and leadership experience garnered from his 17 years on the boards of global companies.</w:t>
      </w:r>
    </w:p>
    <w:p>
      <w:pPr>
        <w:spacing w:after="0" w:line="60" w:lineRule="exact"/>
        <w:rPr>
          <w:rFonts w:ascii="Arial" w:cs="Arial" w:eastAsia="Arial" w:hAnsi="Arial"/>
          <w:sz w:val="16"/>
          <w:szCs w:val="16"/>
          <w:color w:val="auto"/>
        </w:rPr>
      </w:pPr>
    </w:p>
    <w:p>
      <w:pPr>
        <w:ind w:left="420" w:right="460" w:hanging="210"/>
        <w:spacing w:after="0" w:line="260" w:lineRule="auto"/>
        <w:tabs>
          <w:tab w:leader="none" w:pos="4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During his career, he has served as CEO of an $18 billion global manufacturer, and has been a lead Director and Chairman of other major public companies.</w:t>
      </w:r>
    </w:p>
    <w:p>
      <w:pPr>
        <w:spacing w:after="0" w:line="60" w:lineRule="exact"/>
        <w:rPr>
          <w:rFonts w:ascii="Arial" w:cs="Arial" w:eastAsia="Arial" w:hAnsi="Arial"/>
          <w:sz w:val="16"/>
          <w:szCs w:val="16"/>
          <w:color w:val="auto"/>
        </w:rPr>
      </w:pPr>
    </w:p>
    <w:p>
      <w:pPr>
        <w:ind w:left="420" w:right="320" w:hanging="210"/>
        <w:spacing w:after="0" w:line="260" w:lineRule="auto"/>
        <w:tabs>
          <w:tab w:leader="none" w:pos="4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Mr. Johnston also brings valuable corporate governance perspectives from his prior board service, while his operations experience has helped him gain knowledge and a deep understanding in manufacturing, design, innovation, engineering, accounting and finance and capital structure.</w:t>
      </w:r>
    </w:p>
    <w:p>
      <w:pPr>
        <w:spacing w:after="0" w:line="60" w:lineRule="exact"/>
        <w:rPr>
          <w:rFonts w:ascii="Arial" w:cs="Arial" w:eastAsia="Arial" w:hAnsi="Arial"/>
          <w:sz w:val="16"/>
          <w:szCs w:val="16"/>
          <w:color w:val="auto"/>
        </w:rPr>
      </w:pPr>
    </w:p>
    <w:p>
      <w:pPr>
        <w:ind w:left="420" w:right="180" w:hanging="210"/>
        <w:spacing w:after="0" w:line="260" w:lineRule="auto"/>
        <w:tabs>
          <w:tab w:leader="none" w:pos="4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 addition, he has nearly 20 years of experience in building businesses in emerging economies. Mr. Johnston holds a bachelor’s degree in industrial management from the University of Massachusetts and an MBA from Michigan State University.</w:t>
      </w:r>
    </w:p>
    <w:p>
      <w:pPr>
        <w:spacing w:after="0" w:line="10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12</w:t>
      </w:r>
    </w:p>
    <w:p>
      <w:pPr>
        <w:sectPr>
          <w:pgSz w:w="11900" w:h="16838" w:orient="portrait"/>
          <w:cols w:equalWidth="0" w:num="1">
            <w:col w:w="11220"/>
          </w:cols>
          <w:pgMar w:left="24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PROPOSAL 1 — ELECTION OF DIRECTORS</w:t>
      </w:r>
    </w:p>
    <w:p>
      <w:pPr>
        <w:spacing w:after="0" w:line="149" w:lineRule="exact"/>
        <w:rPr>
          <w:sz w:val="20"/>
          <w:szCs w:val="20"/>
          <w:color w:val="auto"/>
        </w:rPr>
      </w:pPr>
    </w:p>
    <w:p>
      <w:pPr>
        <w:ind w:left="1660"/>
        <w:spacing w:after="0"/>
        <w:rPr>
          <w:sz w:val="20"/>
          <w:szCs w:val="20"/>
          <w:color w:val="auto"/>
        </w:rPr>
      </w:pPr>
      <w:r>
        <w:rPr>
          <w:rFonts w:ascii="Arial" w:cs="Arial" w:eastAsia="Arial" w:hAnsi="Arial"/>
          <w:sz w:val="18"/>
          <w:szCs w:val="18"/>
          <w:b w:val="1"/>
          <w:bCs w:val="1"/>
          <w:i w:val="1"/>
          <w:iCs w:val="1"/>
          <w:color w:val="32406B"/>
        </w:rPr>
        <w:t>Richard K. Lochridge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-116205</wp:posOffset>
            </wp:positionV>
            <wp:extent cx="6989445" cy="10706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89445" cy="1070610"/>
                    </a:xfrm>
                    <a:prstGeom prst="rect">
                      <a:avLst/>
                    </a:prstGeom>
                    <a:noFill/>
                  </pic:spPr>
                </pic:pic>
              </a:graphicData>
            </a:graphic>
          </wp:anchor>
        </w:drawing>
      </w:r>
    </w:p>
    <w:p>
      <w:pPr>
        <w:spacing w:after="0" w:line="331" w:lineRule="exact"/>
        <w:rPr>
          <w:sz w:val="20"/>
          <w:szCs w:val="20"/>
          <w:color w:val="auto"/>
        </w:rPr>
      </w:pPr>
    </w:p>
    <w:p>
      <w:pPr>
        <w:ind w:left="1660"/>
        <w:spacing w:after="0"/>
        <w:rPr>
          <w:sz w:val="20"/>
          <w:szCs w:val="20"/>
          <w:color w:val="auto"/>
        </w:rPr>
      </w:pPr>
      <w:r>
        <w:rPr>
          <w:rFonts w:ascii="Arial" w:cs="Arial" w:eastAsia="Arial" w:hAnsi="Arial"/>
          <w:sz w:val="16"/>
          <w:szCs w:val="16"/>
          <w:b w:val="1"/>
          <w:bCs w:val="1"/>
          <w:color w:val="auto"/>
        </w:rPr>
        <w:t>Independent Director Nominee</w:t>
      </w:r>
    </w:p>
    <w:p>
      <w:pPr>
        <w:spacing w:after="0" w:line="25" w:lineRule="exact"/>
        <w:rPr>
          <w:sz w:val="20"/>
          <w:szCs w:val="20"/>
          <w:color w:val="auto"/>
        </w:rPr>
      </w:pPr>
    </w:p>
    <w:p>
      <w:pPr>
        <w:ind w:left="1660"/>
        <w:spacing w:after="0"/>
        <w:rPr>
          <w:sz w:val="20"/>
          <w:szCs w:val="20"/>
          <w:color w:val="auto"/>
        </w:rPr>
      </w:pPr>
      <w:r>
        <w:rPr>
          <w:rFonts w:ascii="Arial" w:cs="Arial" w:eastAsia="Arial" w:hAnsi="Arial"/>
          <w:sz w:val="16"/>
          <w:szCs w:val="16"/>
          <w:b w:val="1"/>
          <w:bCs w:val="1"/>
          <w:color w:val="auto"/>
        </w:rPr>
        <w:t>Age: 74</w:t>
      </w:r>
    </w:p>
    <w:p>
      <w:pPr>
        <w:spacing w:after="0" w:line="5" w:lineRule="exact"/>
        <w:rPr>
          <w:sz w:val="20"/>
          <w:szCs w:val="20"/>
          <w:color w:val="auto"/>
        </w:rPr>
      </w:pPr>
    </w:p>
    <w:p>
      <w:pPr>
        <w:ind w:left="1660"/>
        <w:spacing w:after="0"/>
        <w:rPr>
          <w:sz w:val="20"/>
          <w:szCs w:val="20"/>
          <w:color w:val="auto"/>
        </w:rPr>
      </w:pPr>
      <w:r>
        <w:rPr>
          <w:rFonts w:ascii="Arial" w:cs="Arial" w:eastAsia="Arial" w:hAnsi="Arial"/>
          <w:sz w:val="16"/>
          <w:szCs w:val="16"/>
          <w:b w:val="1"/>
          <w:bCs w:val="1"/>
          <w:color w:val="auto"/>
        </w:rPr>
        <w:t>Director since 1999</w:t>
      </w:r>
    </w:p>
    <w:p>
      <w:pPr>
        <w:spacing w:after="0" w:line="66" w:lineRule="exact"/>
        <w:rPr>
          <w:sz w:val="20"/>
          <w:szCs w:val="20"/>
          <w:color w:val="auto"/>
        </w:rPr>
      </w:pPr>
    </w:p>
    <w:p>
      <w:pPr>
        <w:ind w:left="1660"/>
        <w:spacing w:after="0"/>
        <w:tabs>
          <w:tab w:leader="none" w:pos="3300" w:val="left"/>
        </w:tabs>
        <w:rPr>
          <w:sz w:val="20"/>
          <w:szCs w:val="20"/>
          <w:color w:val="auto"/>
        </w:rPr>
      </w:pPr>
      <w:r>
        <w:rPr>
          <w:rFonts w:ascii="Arial" w:cs="Arial" w:eastAsia="Arial" w:hAnsi="Arial"/>
          <w:sz w:val="16"/>
          <w:szCs w:val="16"/>
          <w:b w:val="1"/>
          <w:bCs w:val="1"/>
          <w:color w:val="auto"/>
        </w:rPr>
        <w:t>Committee Served:</w:t>
        <w:tab/>
        <w:t xml:space="preserve">Compensation </w:t>
      </w:r>
      <w:r>
        <w:rPr>
          <w:rFonts w:ascii="Arial" w:cs="Arial" w:eastAsia="Arial" w:hAnsi="Arial"/>
          <w:sz w:val="16"/>
          <w:szCs w:val="16"/>
          <w:b w:val="1"/>
          <w:bCs w:val="1"/>
          <w:i w:val="1"/>
          <w:iCs w:val="1"/>
          <w:color w:val="auto"/>
        </w:rPr>
        <w:t>(Chair)</w:t>
      </w:r>
    </w:p>
    <w:p>
      <w:pPr>
        <w:spacing w:after="0" w:line="200" w:lineRule="exact"/>
        <w:rPr>
          <w:sz w:val="20"/>
          <w:szCs w:val="20"/>
          <w:color w:val="auto"/>
        </w:rPr>
      </w:pPr>
    </w:p>
    <w:p>
      <w:pPr>
        <w:spacing w:after="0" w:line="277"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auto"/>
        </w:rPr>
        <w:t>Business Experience</w:t>
      </w:r>
      <w:r>
        <w:rPr>
          <w:rFonts w:ascii="Arial" w:cs="Arial" w:eastAsia="Arial" w:hAnsi="Arial"/>
          <w:sz w:val="16"/>
          <w:szCs w:val="16"/>
          <w:color w:val="auto"/>
        </w:rPr>
        <w:t>: Retired President of Lochridge &amp; Company, Inc., a management consulting firm.</w:t>
      </w:r>
    </w:p>
    <w:p>
      <w:pPr>
        <w:spacing w:after="0" w:line="72"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auto"/>
        </w:rPr>
        <w:t>Other Board Experience</w:t>
      </w:r>
      <w:r>
        <w:rPr>
          <w:rFonts w:ascii="Arial" w:cs="Arial" w:eastAsia="Arial" w:hAnsi="Arial"/>
          <w:sz w:val="16"/>
          <w:szCs w:val="16"/>
          <w:color w:val="auto"/>
        </w:rPr>
        <w:t>: Director of Knowles Corporation. Former Director of The Lowe’s Company, Inc. and PETsMART Inc.</w:t>
      </w:r>
    </w:p>
    <w:p>
      <w:pPr>
        <w:spacing w:after="0" w:line="72"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auto"/>
        </w:rPr>
        <w:t>Skills and Qualifications</w:t>
      </w:r>
      <w:r>
        <w:rPr>
          <w:rFonts w:ascii="Arial" w:cs="Arial" w:eastAsia="Arial" w:hAnsi="Arial"/>
          <w:sz w:val="16"/>
          <w:szCs w:val="16"/>
          <w:color w:val="auto"/>
        </w:rPr>
        <w:t>:</w:t>
      </w:r>
    </w:p>
    <w:p>
      <w:pPr>
        <w:spacing w:after="0" w:line="106" w:lineRule="exact"/>
        <w:rPr>
          <w:sz w:val="20"/>
          <w:szCs w:val="20"/>
          <w:color w:val="auto"/>
        </w:rPr>
      </w:pPr>
    </w:p>
    <w:p>
      <w:pPr>
        <w:ind w:left="420" w:right="200" w:hanging="210"/>
        <w:spacing w:after="0" w:line="260" w:lineRule="auto"/>
        <w:tabs>
          <w:tab w:leader="none" w:pos="4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Mr. Lochridge’s experience in management consulting makes him a valuable contributor to the Board and advisor to our CEO on matters of strategy, organizational processes, global operations, leadership development, succession planning and risk-management.</w:t>
      </w:r>
    </w:p>
    <w:p>
      <w:pPr>
        <w:spacing w:after="0" w:line="60" w:lineRule="exact"/>
        <w:rPr>
          <w:rFonts w:ascii="Arial" w:cs="Arial" w:eastAsia="Arial" w:hAnsi="Arial"/>
          <w:sz w:val="16"/>
          <w:szCs w:val="16"/>
          <w:color w:val="auto"/>
        </w:rPr>
      </w:pPr>
    </w:p>
    <w:p>
      <w:pPr>
        <w:ind w:left="420" w:right="260" w:hanging="210"/>
        <w:spacing w:after="0" w:line="260" w:lineRule="auto"/>
        <w:tabs>
          <w:tab w:leader="none" w:pos="4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His extensive background in management consulting includes many years with a major consulting company where a majority of his experience was with non-U.S. companies or covering international or global markets, and where he was for a time in charge of all international offices.</w:t>
      </w:r>
    </w:p>
    <w:p>
      <w:pPr>
        <w:spacing w:after="0" w:line="60" w:lineRule="exact"/>
        <w:rPr>
          <w:rFonts w:ascii="Arial" w:cs="Arial" w:eastAsia="Arial" w:hAnsi="Arial"/>
          <w:sz w:val="16"/>
          <w:szCs w:val="16"/>
          <w:color w:val="auto"/>
        </w:rPr>
      </w:pPr>
    </w:p>
    <w:p>
      <w:pPr>
        <w:ind w:left="420" w:right="220" w:hanging="210"/>
        <w:spacing w:after="0" w:line="253" w:lineRule="auto"/>
        <w:tabs>
          <w:tab w:leader="none" w:pos="4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 addition to Dover, over a period of 29 years, Mr. Lochridge has served on the boards of seven other public companies, including the one on which he currently serves. On these boards, he has at various times served as non-executive chair and chair of the audit, finance and compensation committees.</w:t>
      </w:r>
    </w:p>
    <w:p>
      <w:pPr>
        <w:spacing w:after="0" w:line="65" w:lineRule="exact"/>
        <w:rPr>
          <w:rFonts w:ascii="Arial" w:cs="Arial" w:eastAsia="Arial" w:hAnsi="Arial"/>
          <w:sz w:val="16"/>
          <w:szCs w:val="16"/>
          <w:color w:val="auto"/>
        </w:rPr>
      </w:pPr>
    </w:p>
    <w:p>
      <w:pPr>
        <w:ind w:left="420" w:right="300" w:hanging="210"/>
        <w:spacing w:after="0" w:line="260" w:lineRule="auto"/>
        <w:tabs>
          <w:tab w:leader="none" w:pos="4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His consulting work has enabled him to work closely with the boards and senior management of many public companies on complex and important transactions and projects in global arenas, giving him experience and insight that are beneficial to Dover.</w:t>
      </w:r>
    </w:p>
    <w:p>
      <w:pPr>
        <w:spacing w:after="0" w:line="10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13</w:t>
      </w:r>
    </w:p>
    <w:p>
      <w:pPr>
        <w:sectPr>
          <w:pgSz w:w="11900" w:h="16838" w:orient="portrait"/>
          <w:cols w:equalWidth="0" w:num="1">
            <w:col w:w="11220"/>
          </w:cols>
          <w:pgMar w:left="24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PROPOSAL 1 — ELECTION OF DIRECTORS</w:t>
      </w:r>
    </w:p>
    <w:p>
      <w:pPr>
        <w:spacing w:after="0" w:line="149" w:lineRule="exact"/>
        <w:rPr>
          <w:sz w:val="20"/>
          <w:szCs w:val="20"/>
          <w:color w:val="auto"/>
        </w:rPr>
      </w:pPr>
    </w:p>
    <w:p>
      <w:pPr>
        <w:ind w:left="1580"/>
        <w:spacing w:after="0"/>
        <w:rPr>
          <w:sz w:val="20"/>
          <w:szCs w:val="20"/>
          <w:color w:val="auto"/>
        </w:rPr>
      </w:pPr>
      <w:r>
        <w:rPr>
          <w:rFonts w:ascii="Arial" w:cs="Arial" w:eastAsia="Arial" w:hAnsi="Arial"/>
          <w:sz w:val="18"/>
          <w:szCs w:val="18"/>
          <w:b w:val="1"/>
          <w:bCs w:val="1"/>
          <w:i w:val="1"/>
          <w:iCs w:val="1"/>
          <w:color w:val="32406B"/>
        </w:rPr>
        <w:t>Eric A. Spiegel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-116205</wp:posOffset>
            </wp:positionV>
            <wp:extent cx="6989445" cy="8909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89445" cy="890905"/>
                    </a:xfrm>
                    <a:prstGeom prst="rect">
                      <a:avLst/>
                    </a:prstGeom>
                    <a:noFill/>
                  </pic:spPr>
                </pic:pic>
              </a:graphicData>
            </a:graphic>
          </wp:anchor>
        </w:drawing>
      </w:r>
    </w:p>
    <w:p>
      <w:pPr>
        <w:spacing w:after="0" w:line="331" w:lineRule="exact"/>
        <w:rPr>
          <w:sz w:val="20"/>
          <w:szCs w:val="20"/>
          <w:color w:val="auto"/>
        </w:rPr>
      </w:pPr>
    </w:p>
    <w:p>
      <w:pPr>
        <w:ind w:left="1580"/>
        <w:spacing w:after="0"/>
        <w:rPr>
          <w:sz w:val="20"/>
          <w:szCs w:val="20"/>
          <w:color w:val="auto"/>
        </w:rPr>
      </w:pPr>
      <w:r>
        <w:rPr>
          <w:rFonts w:ascii="Arial" w:cs="Arial" w:eastAsia="Arial" w:hAnsi="Arial"/>
          <w:sz w:val="16"/>
          <w:szCs w:val="16"/>
          <w:b w:val="1"/>
          <w:bCs w:val="1"/>
          <w:color w:val="auto"/>
        </w:rPr>
        <w:t>Independent Director Nominee</w:t>
      </w:r>
    </w:p>
    <w:p>
      <w:pPr>
        <w:spacing w:after="0" w:line="25" w:lineRule="exact"/>
        <w:rPr>
          <w:sz w:val="20"/>
          <w:szCs w:val="20"/>
          <w:color w:val="auto"/>
        </w:rPr>
      </w:pPr>
    </w:p>
    <w:p>
      <w:pPr>
        <w:ind w:left="1580"/>
        <w:spacing w:after="0"/>
        <w:rPr>
          <w:sz w:val="20"/>
          <w:szCs w:val="20"/>
          <w:color w:val="auto"/>
        </w:rPr>
      </w:pPr>
      <w:r>
        <w:rPr>
          <w:rFonts w:ascii="Arial" w:cs="Arial" w:eastAsia="Arial" w:hAnsi="Arial"/>
          <w:sz w:val="16"/>
          <w:szCs w:val="16"/>
          <w:b w:val="1"/>
          <w:bCs w:val="1"/>
          <w:color w:val="auto"/>
        </w:rPr>
        <w:t>Age: 60</w:t>
      </w:r>
    </w:p>
    <w:p>
      <w:pPr>
        <w:spacing w:after="0" w:line="5" w:lineRule="exact"/>
        <w:rPr>
          <w:sz w:val="20"/>
          <w:szCs w:val="20"/>
          <w:color w:val="auto"/>
        </w:rPr>
      </w:pPr>
    </w:p>
    <w:p>
      <w:pPr>
        <w:ind w:left="1580"/>
        <w:spacing w:after="0"/>
        <w:rPr>
          <w:sz w:val="20"/>
          <w:szCs w:val="20"/>
          <w:color w:val="auto"/>
        </w:rPr>
      </w:pPr>
      <w:r>
        <w:rPr>
          <w:rFonts w:ascii="Arial" w:cs="Arial" w:eastAsia="Arial" w:hAnsi="Arial"/>
          <w:sz w:val="16"/>
          <w:szCs w:val="16"/>
          <w:b w:val="1"/>
          <w:bCs w:val="1"/>
          <w:color w:val="auto"/>
        </w:rPr>
        <w:t>Director since 2017</w:t>
      </w:r>
    </w:p>
    <w:p>
      <w:pPr>
        <w:spacing w:after="0" w:line="66" w:lineRule="exact"/>
        <w:rPr>
          <w:sz w:val="20"/>
          <w:szCs w:val="20"/>
          <w:color w:val="auto"/>
        </w:rPr>
      </w:pPr>
    </w:p>
    <w:p>
      <w:pPr>
        <w:ind w:left="1580"/>
        <w:spacing w:after="0"/>
        <w:tabs>
          <w:tab w:leader="none" w:pos="3220" w:val="left"/>
        </w:tabs>
        <w:rPr>
          <w:sz w:val="20"/>
          <w:szCs w:val="20"/>
          <w:color w:val="auto"/>
        </w:rPr>
      </w:pPr>
      <w:r>
        <w:rPr>
          <w:rFonts w:ascii="Arial" w:cs="Arial" w:eastAsia="Arial" w:hAnsi="Arial"/>
          <w:sz w:val="16"/>
          <w:szCs w:val="16"/>
          <w:b w:val="1"/>
          <w:bCs w:val="1"/>
          <w:color w:val="auto"/>
        </w:rPr>
        <w:t>Committee Served:</w:t>
      </w:r>
      <w:r>
        <w:rPr>
          <w:sz w:val="20"/>
          <w:szCs w:val="20"/>
          <w:color w:val="auto"/>
        </w:rPr>
        <w:tab/>
      </w:r>
      <w:r>
        <w:rPr>
          <w:rFonts w:ascii="Arial" w:cs="Arial" w:eastAsia="Arial" w:hAnsi="Arial"/>
          <w:sz w:val="15"/>
          <w:szCs w:val="15"/>
          <w:b w:val="1"/>
          <w:bCs w:val="1"/>
          <w:color w:val="auto"/>
        </w:rPr>
        <w:t>Audit</w:t>
      </w:r>
    </w:p>
    <w:p>
      <w:pPr>
        <w:spacing w:after="0" w:line="221" w:lineRule="exact"/>
        <w:rPr>
          <w:sz w:val="20"/>
          <w:szCs w:val="20"/>
          <w:color w:val="auto"/>
        </w:rPr>
      </w:pPr>
    </w:p>
    <w:p>
      <w:pPr>
        <w:ind w:left="220" w:right="20"/>
        <w:spacing w:after="0" w:line="252" w:lineRule="auto"/>
        <w:rPr>
          <w:sz w:val="20"/>
          <w:szCs w:val="20"/>
          <w:color w:val="auto"/>
        </w:rPr>
      </w:pPr>
      <w:r>
        <w:rPr>
          <w:rFonts w:ascii="Arial" w:cs="Arial" w:eastAsia="Arial" w:hAnsi="Arial"/>
          <w:sz w:val="16"/>
          <w:szCs w:val="16"/>
          <w:b w:val="1"/>
          <w:bCs w:val="1"/>
          <w:i w:val="1"/>
          <w:iCs w:val="1"/>
          <w:color w:val="auto"/>
        </w:rPr>
        <w:t>Business Experience</w:t>
      </w:r>
      <w:r>
        <w:rPr>
          <w:rFonts w:ascii="Arial" w:cs="Arial" w:eastAsia="Arial" w:hAnsi="Arial"/>
          <w:sz w:val="16"/>
          <w:szCs w:val="16"/>
          <w:color w:val="auto"/>
        </w:rPr>
        <w:t>: Special Advisor at General Atlantic, a private equity firm, where he supports the firm’s sector investment teams and portfolio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companies by providing strategic counsel on industry trends and growth strategies. Former President and CEO (from 2010 to 2016) of Siemens USA, a global business focusing on the areas of electrification, automation and digitalization; former Managing Partner, Global Energy, Chemicals, and Power, and Managing Partner, Washington, D.C. office, and other roles at Booz &amp; Company, Inc. (now known as Strategy&amp;) and Booz Allen Hamilton, Inc., global consulting firms (1986 to 2010); former Associate, Energy and Industrials Practice, at Temple, Barker &amp; Sloane, Inc., a management consulting firm (now known as Oliver Wyman) (1984 to 1985; 1980 to 1982): former Marketing and Strategy Manager at Brown Boveri &amp; Cie (now known as ABB), a Swiss group of electrical engineering companies (1982 to 1984). In connection with his position at General Atlantic, Mr. Spiegel serves as Chair of the Board of CLEAResult, a privately held portfolio company that provides energy efficiency programs and services in North America.</w:t>
      </w:r>
    </w:p>
    <w:p>
      <w:pPr>
        <w:spacing w:after="0" w:line="33"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auto"/>
        </w:rPr>
        <w:t>Other Board Experience</w:t>
      </w:r>
      <w:r>
        <w:rPr>
          <w:rFonts w:ascii="Arial" w:cs="Arial" w:eastAsia="Arial" w:hAnsi="Arial"/>
          <w:sz w:val="16"/>
          <w:szCs w:val="16"/>
          <w:color w:val="auto"/>
        </w:rPr>
        <w:t>: Director and Audit Committee Chair of Liberty Mutual Holding Company, Inc.</w:t>
      </w:r>
    </w:p>
    <w:p>
      <w:pPr>
        <w:spacing w:after="0" w:line="72"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auto"/>
        </w:rPr>
        <w:t>Skills and Qualifications</w:t>
      </w:r>
      <w:r>
        <w:rPr>
          <w:rFonts w:ascii="Arial" w:cs="Arial" w:eastAsia="Arial" w:hAnsi="Arial"/>
          <w:sz w:val="16"/>
          <w:szCs w:val="16"/>
          <w:color w:val="auto"/>
        </w:rPr>
        <w:t>:</w:t>
      </w:r>
    </w:p>
    <w:p>
      <w:pPr>
        <w:spacing w:after="0" w:line="106" w:lineRule="exact"/>
        <w:rPr>
          <w:sz w:val="20"/>
          <w:szCs w:val="20"/>
          <w:color w:val="auto"/>
        </w:rPr>
      </w:pPr>
    </w:p>
    <w:p>
      <w:pPr>
        <w:ind w:left="420" w:right="320" w:hanging="210"/>
        <w:spacing w:after="0" w:line="260" w:lineRule="auto"/>
        <w:tabs>
          <w:tab w:leader="none" w:pos="4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Mr. Spiegel is an experienced business leader with diversified, global experience who brings deep and valuable expertise in strategy development, corporate restructuring, portfolio management and M&amp;A to our Board.</w:t>
      </w:r>
    </w:p>
    <w:p>
      <w:pPr>
        <w:spacing w:after="0" w:line="60" w:lineRule="exact"/>
        <w:rPr>
          <w:rFonts w:ascii="Arial" w:cs="Arial" w:eastAsia="Arial" w:hAnsi="Arial"/>
          <w:sz w:val="16"/>
          <w:szCs w:val="16"/>
          <w:color w:val="auto"/>
        </w:rPr>
      </w:pPr>
    </w:p>
    <w:p>
      <w:pPr>
        <w:ind w:left="420" w:right="120" w:hanging="210"/>
        <w:spacing w:after="0" w:line="249" w:lineRule="auto"/>
        <w:tabs>
          <w:tab w:leader="none" w:pos="4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He has over 35 years of experience working with large, global companies in the energy and industrial markets, mostly recently as President and CEO of Siemens USA. At Siemens, he led strategic reviews across a portfolio of ~45 businesses in the company’s largest market with over $22 billion in revenue, 50,000 employees and over 60 manufacturing facilities. During that time, he led the acquisition, divestiture, joint venture and carve-out of over 30 business units and segments. He also executed Siemens’ “Vision 2020” initiative to optimize growth and margins in the U.S., across all sectors.</w:t>
      </w:r>
    </w:p>
    <w:p>
      <w:pPr>
        <w:spacing w:after="0" w:line="70" w:lineRule="exact"/>
        <w:rPr>
          <w:rFonts w:ascii="Arial" w:cs="Arial" w:eastAsia="Arial" w:hAnsi="Arial"/>
          <w:sz w:val="16"/>
          <w:szCs w:val="16"/>
          <w:color w:val="auto"/>
        </w:rPr>
      </w:pPr>
    </w:p>
    <w:p>
      <w:pPr>
        <w:ind w:left="420" w:right="60" w:hanging="210"/>
        <w:spacing w:after="0" w:line="250" w:lineRule="auto"/>
        <w:tabs>
          <w:tab w:leader="none" w:pos="4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Prior to Siemens, Mr. Spiegel was a global consultant at Booz Allen Hamilton focused on complex organizations in the energy, power, chemical, water, industrial and automotive fields. At Booz, he lived, and worked with major energy clients, in Asia, the Middle East, Europe, and Latin America on projects around corporate strategy, M&amp;A, major capital projects, cost restructuring, margin enhancement and supply chain re-design and was also closely involved with the government sector.</w:t>
      </w:r>
    </w:p>
    <w:p>
      <w:pPr>
        <w:spacing w:after="0" w:line="53" w:lineRule="exact"/>
        <w:rPr>
          <w:rFonts w:ascii="Arial" w:cs="Arial" w:eastAsia="Arial" w:hAnsi="Arial"/>
          <w:sz w:val="16"/>
          <w:szCs w:val="16"/>
          <w:color w:val="auto"/>
        </w:rPr>
      </w:pPr>
    </w:p>
    <w:p>
      <w:pPr>
        <w:ind w:left="420" w:hanging="210"/>
        <w:spacing w:after="0"/>
        <w:tabs>
          <w:tab w:leader="none" w:pos="4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 xml:space="preserve">An expert on the global energy industry, Mr. Spiegel co-authored the book </w:t>
      </w:r>
      <w:r>
        <w:rPr>
          <w:rFonts w:ascii="Arial" w:cs="Arial" w:eastAsia="Arial" w:hAnsi="Arial"/>
          <w:sz w:val="16"/>
          <w:szCs w:val="16"/>
          <w:i w:val="1"/>
          <w:iCs w:val="1"/>
          <w:color w:val="auto"/>
        </w:rPr>
        <w:t>Energy Shift: Game-changing Options for Fueling the Future.</w:t>
      </w:r>
    </w:p>
    <w:p>
      <w:pPr>
        <w:spacing w:after="0" w:line="101" w:lineRule="exact"/>
        <w:rPr>
          <w:rFonts w:ascii="Arial" w:cs="Arial" w:eastAsia="Arial" w:hAnsi="Arial"/>
          <w:sz w:val="16"/>
          <w:szCs w:val="16"/>
          <w:color w:val="auto"/>
        </w:rPr>
      </w:pPr>
    </w:p>
    <w:p>
      <w:pPr>
        <w:ind w:left="420" w:hanging="210"/>
        <w:spacing w:after="0"/>
        <w:tabs>
          <w:tab w:leader="none" w:pos="4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He holds a bachelor’s degree in economics from Harvard University and an MBA from the Tuck School of Business at Dartmouth College.</w:t>
      </w:r>
    </w:p>
    <w:p>
      <w:pPr>
        <w:spacing w:after="0" w:line="13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14</w:t>
      </w:r>
    </w:p>
    <w:p>
      <w:pPr>
        <w:sectPr>
          <w:pgSz w:w="11900" w:h="16838" w:orient="portrait"/>
          <w:cols w:equalWidth="0" w:num="1">
            <w:col w:w="11220"/>
          </w:cols>
          <w:pgMar w:left="24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PROPOSAL 1 — ELECTION OF DIRECTORS</w:t>
      </w:r>
    </w:p>
    <w:p>
      <w:pPr>
        <w:spacing w:after="0" w:line="149" w:lineRule="exact"/>
        <w:rPr>
          <w:sz w:val="20"/>
          <w:szCs w:val="20"/>
          <w:color w:val="auto"/>
        </w:rPr>
      </w:pPr>
    </w:p>
    <w:p>
      <w:pPr>
        <w:ind w:left="1500"/>
        <w:spacing w:after="0"/>
        <w:rPr>
          <w:sz w:val="20"/>
          <w:szCs w:val="20"/>
          <w:color w:val="auto"/>
        </w:rPr>
      </w:pPr>
      <w:r>
        <w:rPr>
          <w:rFonts w:ascii="Arial" w:cs="Arial" w:eastAsia="Arial" w:hAnsi="Arial"/>
          <w:sz w:val="18"/>
          <w:szCs w:val="18"/>
          <w:b w:val="1"/>
          <w:bCs w:val="1"/>
          <w:i w:val="1"/>
          <w:iCs w:val="1"/>
          <w:color w:val="32406B"/>
        </w:rPr>
        <w:t>Richard J. Tobin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-116205</wp:posOffset>
            </wp:positionV>
            <wp:extent cx="6989445" cy="9848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89445" cy="984885"/>
                    </a:xfrm>
                    <a:prstGeom prst="rect">
                      <a:avLst/>
                    </a:prstGeom>
                    <a:noFill/>
                  </pic:spPr>
                </pic:pic>
              </a:graphicData>
            </a:graphic>
          </wp:anchor>
        </w:drawing>
      </w:r>
    </w:p>
    <w:p>
      <w:pPr>
        <w:spacing w:after="0" w:line="331" w:lineRule="exact"/>
        <w:rPr>
          <w:sz w:val="20"/>
          <w:szCs w:val="20"/>
          <w:color w:val="auto"/>
        </w:rPr>
      </w:pPr>
    </w:p>
    <w:p>
      <w:pPr>
        <w:ind w:left="1500"/>
        <w:spacing w:after="0"/>
        <w:rPr>
          <w:sz w:val="20"/>
          <w:szCs w:val="20"/>
          <w:color w:val="auto"/>
        </w:rPr>
      </w:pPr>
      <w:r>
        <w:rPr>
          <w:rFonts w:ascii="Arial" w:cs="Arial" w:eastAsia="Arial" w:hAnsi="Arial"/>
          <w:sz w:val="16"/>
          <w:szCs w:val="16"/>
          <w:b w:val="1"/>
          <w:bCs w:val="1"/>
          <w:color w:val="auto"/>
        </w:rPr>
        <w:t>Incoming Chief Executive Officer</w:t>
      </w:r>
    </w:p>
    <w:p>
      <w:pPr>
        <w:spacing w:after="0" w:line="25" w:lineRule="exact"/>
        <w:rPr>
          <w:sz w:val="20"/>
          <w:szCs w:val="20"/>
          <w:color w:val="auto"/>
        </w:rPr>
      </w:pPr>
    </w:p>
    <w:p>
      <w:pPr>
        <w:ind w:left="1500"/>
        <w:spacing w:after="0"/>
        <w:rPr>
          <w:sz w:val="20"/>
          <w:szCs w:val="20"/>
          <w:color w:val="auto"/>
        </w:rPr>
      </w:pPr>
      <w:r>
        <w:rPr>
          <w:rFonts w:ascii="Arial" w:cs="Arial" w:eastAsia="Arial" w:hAnsi="Arial"/>
          <w:sz w:val="16"/>
          <w:szCs w:val="16"/>
          <w:b w:val="1"/>
          <w:bCs w:val="1"/>
          <w:color w:val="auto"/>
        </w:rPr>
        <w:t>Age: 54</w:t>
      </w:r>
    </w:p>
    <w:p>
      <w:pPr>
        <w:spacing w:after="0" w:line="5" w:lineRule="exact"/>
        <w:rPr>
          <w:sz w:val="20"/>
          <w:szCs w:val="20"/>
          <w:color w:val="auto"/>
        </w:rPr>
      </w:pPr>
    </w:p>
    <w:p>
      <w:pPr>
        <w:ind w:left="1500"/>
        <w:spacing w:after="0"/>
        <w:rPr>
          <w:sz w:val="20"/>
          <w:szCs w:val="20"/>
          <w:color w:val="auto"/>
        </w:rPr>
      </w:pPr>
      <w:r>
        <w:rPr>
          <w:rFonts w:ascii="Arial" w:cs="Arial" w:eastAsia="Arial" w:hAnsi="Arial"/>
          <w:sz w:val="16"/>
          <w:szCs w:val="16"/>
          <w:b w:val="1"/>
          <w:bCs w:val="1"/>
          <w:color w:val="auto"/>
        </w:rPr>
        <w:t>Director since 2016</w:t>
      </w:r>
    </w:p>
    <w:p>
      <w:pPr>
        <w:spacing w:after="0" w:line="66" w:lineRule="exact"/>
        <w:rPr>
          <w:sz w:val="20"/>
          <w:szCs w:val="20"/>
          <w:color w:val="auto"/>
        </w:rPr>
      </w:pPr>
    </w:p>
    <w:p>
      <w:pPr>
        <w:ind w:left="1500"/>
        <w:spacing w:after="0"/>
        <w:tabs>
          <w:tab w:leader="none" w:pos="3140" w:val="left"/>
        </w:tabs>
        <w:rPr>
          <w:sz w:val="20"/>
          <w:szCs w:val="20"/>
          <w:color w:val="auto"/>
        </w:rPr>
      </w:pPr>
      <w:r>
        <w:rPr>
          <w:rFonts w:ascii="Arial" w:cs="Arial" w:eastAsia="Arial" w:hAnsi="Arial"/>
          <w:sz w:val="16"/>
          <w:szCs w:val="16"/>
          <w:b w:val="1"/>
          <w:bCs w:val="1"/>
          <w:color w:val="auto"/>
        </w:rPr>
        <w:t>Committee Served:</w:t>
        <w:tab/>
        <w:t>Compensation</w:t>
      </w:r>
    </w:p>
    <w:p>
      <w:pPr>
        <w:spacing w:after="0" w:line="342" w:lineRule="exact"/>
        <w:rPr>
          <w:sz w:val="20"/>
          <w:szCs w:val="20"/>
          <w:color w:val="auto"/>
        </w:rPr>
      </w:pPr>
    </w:p>
    <w:p>
      <w:pPr>
        <w:ind w:left="220" w:right="20"/>
        <w:spacing w:after="0" w:line="251" w:lineRule="auto"/>
        <w:rPr>
          <w:sz w:val="20"/>
          <w:szCs w:val="20"/>
          <w:color w:val="auto"/>
        </w:rPr>
      </w:pPr>
      <w:r>
        <w:rPr>
          <w:rFonts w:ascii="Arial" w:cs="Arial" w:eastAsia="Arial" w:hAnsi="Arial"/>
          <w:sz w:val="16"/>
          <w:szCs w:val="16"/>
          <w:b w:val="1"/>
          <w:bCs w:val="1"/>
          <w:i w:val="1"/>
          <w:iCs w:val="1"/>
          <w:color w:val="auto"/>
        </w:rPr>
        <w:t>Business Experience</w:t>
      </w:r>
      <w:r>
        <w:rPr>
          <w:rFonts w:ascii="Arial" w:cs="Arial" w:eastAsia="Arial" w:hAnsi="Arial"/>
          <w:sz w:val="16"/>
          <w:szCs w:val="16"/>
          <w:color w:val="auto"/>
        </w:rPr>
        <w:t>: Incoming President and Chief Executive Officer of Dover effective May 1, 2018: currently CEO (since 2013) of CNH Industrial NV</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(“CNH Industrial”), a global manufacturer of agricultural and construction equipment, trucks, commercial vehicles, buses, specialty vehicles and powertrain applications; former Group Chief Operating Officer of Fiat Industrial S.p.A., a global capital goods manufacturer, and President and CEO (each from 2012 to 2013) of CNH Global NV, a multinational manufacturer of agricultural and construction equipment; former Chief Financial Officer of CNH Global NV (2010 to 2012); former Chief Finance Officer &amp; Head of Information Technology (2004 to 2010) of SGS Group, a multinational provider of inspection, verification, testing and certification services; and former Chief Operating Officer for North America (2002 to 2004) of SGS Group. Solely in connection with his role as CEO of CNH Industrial, Mr. Tobin serves as Vice Chairman of Turk Traktor, which is a 37.5%-owned CNH Industrial joint venture that manufactures and distributes various models of tractors under brand names owned by CNH Industrial. Turk Traktor, which trades on the Istanbul Stock Exchange, is an unconsolidated subsidiary of CNH Industrial, and not a separate, unrelated company of CNH Industrial.</w:t>
      </w:r>
    </w:p>
    <w:p>
      <w:pPr>
        <w:spacing w:after="0" w:line="35"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auto"/>
        </w:rPr>
        <w:t>Other Board Experience</w:t>
      </w:r>
      <w:r>
        <w:rPr>
          <w:rFonts w:ascii="Arial" w:cs="Arial" w:eastAsia="Arial" w:hAnsi="Arial"/>
          <w:sz w:val="16"/>
          <w:szCs w:val="16"/>
          <w:color w:val="auto"/>
        </w:rPr>
        <w:t>: Director of CNH Industrial NV</w:t>
      </w:r>
    </w:p>
    <w:p>
      <w:pPr>
        <w:spacing w:after="0" w:line="113"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auto"/>
        </w:rPr>
        <w:t>Skills and Qualifications</w:t>
      </w:r>
      <w:r>
        <w:rPr>
          <w:rFonts w:ascii="Arial" w:cs="Arial" w:eastAsia="Arial" w:hAnsi="Arial"/>
          <w:sz w:val="16"/>
          <w:szCs w:val="16"/>
          <w:color w:val="auto"/>
        </w:rPr>
        <w:t>:</w:t>
      </w:r>
    </w:p>
    <w:p>
      <w:pPr>
        <w:spacing w:after="0" w:line="106" w:lineRule="exact"/>
        <w:rPr>
          <w:sz w:val="20"/>
          <w:szCs w:val="20"/>
          <w:color w:val="auto"/>
        </w:rPr>
      </w:pPr>
    </w:p>
    <w:p>
      <w:pPr>
        <w:ind w:left="420" w:right="920" w:hanging="210"/>
        <w:spacing w:after="0" w:line="260" w:lineRule="auto"/>
        <w:tabs>
          <w:tab w:leader="none" w:pos="4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Mr. Tobin has a broad range of industry and functional experiences acquired through regional and global leadership positions of significant responsibility and scope.</w:t>
      </w:r>
    </w:p>
    <w:p>
      <w:pPr>
        <w:spacing w:after="0" w:line="60" w:lineRule="exact"/>
        <w:rPr>
          <w:rFonts w:ascii="Arial" w:cs="Arial" w:eastAsia="Arial" w:hAnsi="Arial"/>
          <w:sz w:val="16"/>
          <w:szCs w:val="16"/>
          <w:color w:val="auto"/>
        </w:rPr>
      </w:pPr>
    </w:p>
    <w:p>
      <w:pPr>
        <w:ind w:left="420" w:right="20" w:hanging="210"/>
        <w:spacing w:after="0" w:line="260" w:lineRule="auto"/>
        <w:tabs>
          <w:tab w:leader="none" w:pos="4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He currently serves as CEO of CNH Industrial, a complex international industrial company, where he is leading efforts to increase efficiencies, innovate through new technologies, expand geographically and maximize the company’s portfolio of businesses.</w:t>
      </w:r>
    </w:p>
    <w:p>
      <w:pPr>
        <w:spacing w:after="0" w:line="60" w:lineRule="exact"/>
        <w:rPr>
          <w:rFonts w:ascii="Arial" w:cs="Arial" w:eastAsia="Arial" w:hAnsi="Arial"/>
          <w:sz w:val="16"/>
          <w:szCs w:val="16"/>
          <w:color w:val="auto"/>
        </w:rPr>
      </w:pPr>
    </w:p>
    <w:p>
      <w:pPr>
        <w:ind w:left="420" w:right="100" w:hanging="210"/>
        <w:spacing w:after="0" w:line="260" w:lineRule="auto"/>
        <w:tabs>
          <w:tab w:leader="none" w:pos="4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Mr. Tobin gained extensive experience in international finance, operations, management, and information technology in his prior roles as CFO of CNH Global NV and Chief Finance Officer &amp; Head of Information Technology at SGS Group.</w:t>
      </w:r>
    </w:p>
    <w:p>
      <w:pPr>
        <w:spacing w:after="0" w:line="60" w:lineRule="exact"/>
        <w:rPr>
          <w:rFonts w:ascii="Arial" w:cs="Arial" w:eastAsia="Arial" w:hAnsi="Arial"/>
          <w:sz w:val="16"/>
          <w:szCs w:val="16"/>
          <w:color w:val="auto"/>
        </w:rPr>
      </w:pPr>
    </w:p>
    <w:p>
      <w:pPr>
        <w:ind w:left="420" w:right="440" w:hanging="210"/>
        <w:spacing w:after="0" w:line="260" w:lineRule="auto"/>
        <w:tabs>
          <w:tab w:leader="none" w:pos="4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He has developed deep expertise with global capital markets through his international finance leadership roles. Mr. Tobin provides the Board with strategic insights on a wide variety of treasury matters including with respect to capital allocation, credit ratings and investor relations.</w:t>
      </w:r>
    </w:p>
    <w:p>
      <w:pPr>
        <w:spacing w:after="0" w:line="60" w:lineRule="exact"/>
        <w:rPr>
          <w:rFonts w:ascii="Arial" w:cs="Arial" w:eastAsia="Arial" w:hAnsi="Arial"/>
          <w:sz w:val="16"/>
          <w:szCs w:val="16"/>
          <w:color w:val="auto"/>
        </w:rPr>
      </w:pPr>
    </w:p>
    <w:p>
      <w:pPr>
        <w:ind w:left="420" w:hanging="210"/>
        <w:spacing w:after="0"/>
        <w:tabs>
          <w:tab w:leader="none" w:pos="4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Prior to beginning his business career, Mr. Tobin was an officer in the United States Army.</w:t>
      </w:r>
    </w:p>
    <w:p>
      <w:pPr>
        <w:spacing w:after="0" w:line="85" w:lineRule="exact"/>
        <w:rPr>
          <w:rFonts w:ascii="Arial" w:cs="Arial" w:eastAsia="Arial" w:hAnsi="Arial"/>
          <w:sz w:val="16"/>
          <w:szCs w:val="16"/>
          <w:color w:val="auto"/>
        </w:rPr>
      </w:pPr>
    </w:p>
    <w:p>
      <w:pPr>
        <w:ind w:left="420" w:right="20" w:hanging="210"/>
        <w:spacing w:after="0" w:line="260" w:lineRule="auto"/>
        <w:tabs>
          <w:tab w:leader="none" w:pos="4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He formerly served on the U.S. Chamber of Commerce Board of Directors, and is a member of the Business Roundtable. Mr. Tobin holds a bachelor of arts from Norwich University and an MBA from Drexel University.</w:t>
      </w:r>
    </w:p>
    <w:p>
      <w:pPr>
        <w:spacing w:after="0" w:line="10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15</w:t>
      </w:r>
    </w:p>
    <w:p>
      <w:pPr>
        <w:sectPr>
          <w:pgSz w:w="11900" w:h="16838" w:orient="portrait"/>
          <w:cols w:equalWidth="0" w:num="1">
            <w:col w:w="11220"/>
          </w:cols>
          <w:pgMar w:left="24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PROPOSAL 1 — ELECTION OF DIRECTORS</w:t>
      </w:r>
    </w:p>
    <w:p>
      <w:pPr>
        <w:spacing w:after="0" w:line="149" w:lineRule="exact"/>
        <w:rPr>
          <w:sz w:val="20"/>
          <w:szCs w:val="20"/>
          <w:color w:val="auto"/>
        </w:rPr>
      </w:pPr>
    </w:p>
    <w:p>
      <w:pPr>
        <w:ind w:left="1660"/>
        <w:spacing w:after="0"/>
        <w:rPr>
          <w:sz w:val="20"/>
          <w:szCs w:val="20"/>
          <w:color w:val="auto"/>
        </w:rPr>
      </w:pPr>
      <w:r>
        <w:rPr>
          <w:rFonts w:ascii="Arial" w:cs="Arial" w:eastAsia="Arial" w:hAnsi="Arial"/>
          <w:sz w:val="18"/>
          <w:szCs w:val="18"/>
          <w:b w:val="1"/>
          <w:bCs w:val="1"/>
          <w:i w:val="1"/>
          <w:iCs w:val="1"/>
          <w:color w:val="32406B"/>
        </w:rPr>
        <w:t>Stephen M. Todd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-116205</wp:posOffset>
            </wp:positionV>
            <wp:extent cx="6989445" cy="10452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89445" cy="1045210"/>
                    </a:xfrm>
                    <a:prstGeom prst="rect">
                      <a:avLst/>
                    </a:prstGeom>
                    <a:noFill/>
                  </pic:spPr>
                </pic:pic>
              </a:graphicData>
            </a:graphic>
          </wp:anchor>
        </w:drawing>
      </w:r>
    </w:p>
    <w:p>
      <w:pPr>
        <w:spacing w:after="0" w:line="331" w:lineRule="exact"/>
        <w:rPr>
          <w:sz w:val="20"/>
          <w:szCs w:val="20"/>
          <w:color w:val="auto"/>
        </w:rPr>
      </w:pPr>
    </w:p>
    <w:p>
      <w:pPr>
        <w:ind w:left="1660"/>
        <w:spacing w:after="0"/>
        <w:rPr>
          <w:sz w:val="20"/>
          <w:szCs w:val="20"/>
          <w:color w:val="auto"/>
        </w:rPr>
      </w:pPr>
      <w:r>
        <w:rPr>
          <w:rFonts w:ascii="Arial" w:cs="Arial" w:eastAsia="Arial" w:hAnsi="Arial"/>
          <w:sz w:val="16"/>
          <w:szCs w:val="16"/>
          <w:b w:val="1"/>
          <w:bCs w:val="1"/>
          <w:color w:val="auto"/>
        </w:rPr>
        <w:t>Independent Director Nominee</w:t>
      </w:r>
    </w:p>
    <w:p>
      <w:pPr>
        <w:spacing w:after="0" w:line="25" w:lineRule="exact"/>
        <w:rPr>
          <w:sz w:val="20"/>
          <w:szCs w:val="20"/>
          <w:color w:val="auto"/>
        </w:rPr>
      </w:pPr>
    </w:p>
    <w:p>
      <w:pPr>
        <w:ind w:left="1660"/>
        <w:spacing w:after="0"/>
        <w:rPr>
          <w:sz w:val="20"/>
          <w:szCs w:val="20"/>
          <w:color w:val="auto"/>
        </w:rPr>
      </w:pPr>
      <w:r>
        <w:rPr>
          <w:rFonts w:ascii="Arial" w:cs="Arial" w:eastAsia="Arial" w:hAnsi="Arial"/>
          <w:sz w:val="16"/>
          <w:szCs w:val="16"/>
          <w:b w:val="1"/>
          <w:bCs w:val="1"/>
          <w:color w:val="auto"/>
        </w:rPr>
        <w:t>Age: 69</w:t>
      </w:r>
    </w:p>
    <w:p>
      <w:pPr>
        <w:spacing w:after="0" w:line="5" w:lineRule="exact"/>
        <w:rPr>
          <w:sz w:val="20"/>
          <w:szCs w:val="20"/>
          <w:color w:val="auto"/>
        </w:rPr>
      </w:pPr>
    </w:p>
    <w:p>
      <w:pPr>
        <w:ind w:left="1660"/>
        <w:spacing w:after="0"/>
        <w:rPr>
          <w:sz w:val="20"/>
          <w:szCs w:val="20"/>
          <w:color w:val="auto"/>
        </w:rPr>
      </w:pPr>
      <w:r>
        <w:rPr>
          <w:rFonts w:ascii="Arial" w:cs="Arial" w:eastAsia="Arial" w:hAnsi="Arial"/>
          <w:sz w:val="16"/>
          <w:szCs w:val="16"/>
          <w:b w:val="1"/>
          <w:bCs w:val="1"/>
          <w:color w:val="auto"/>
        </w:rPr>
        <w:t>Director since 2010</w:t>
      </w:r>
    </w:p>
    <w:p>
      <w:pPr>
        <w:spacing w:after="0" w:line="66" w:lineRule="exact"/>
        <w:rPr>
          <w:sz w:val="20"/>
          <w:szCs w:val="20"/>
          <w:color w:val="auto"/>
        </w:rPr>
      </w:pPr>
    </w:p>
    <w:p>
      <w:pPr>
        <w:ind w:left="1660"/>
        <w:spacing w:after="0"/>
        <w:tabs>
          <w:tab w:leader="none" w:pos="3280" w:val="left"/>
        </w:tabs>
        <w:rPr>
          <w:sz w:val="20"/>
          <w:szCs w:val="20"/>
          <w:color w:val="auto"/>
        </w:rPr>
      </w:pPr>
      <w:r>
        <w:rPr>
          <w:rFonts w:ascii="Arial" w:cs="Arial" w:eastAsia="Arial" w:hAnsi="Arial"/>
          <w:sz w:val="16"/>
          <w:szCs w:val="16"/>
          <w:b w:val="1"/>
          <w:bCs w:val="1"/>
          <w:color w:val="auto"/>
        </w:rPr>
        <w:t>Committee Served:</w:t>
        <w:tab/>
        <w:t>Audit</w:t>
      </w:r>
    </w:p>
    <w:p>
      <w:pPr>
        <w:spacing w:after="0" w:line="200" w:lineRule="exact"/>
        <w:rPr>
          <w:sz w:val="20"/>
          <w:szCs w:val="20"/>
          <w:color w:val="auto"/>
        </w:rPr>
      </w:pPr>
    </w:p>
    <w:p>
      <w:pPr>
        <w:spacing w:after="0" w:line="277" w:lineRule="exact"/>
        <w:rPr>
          <w:sz w:val="20"/>
          <w:szCs w:val="20"/>
          <w:color w:val="auto"/>
        </w:rPr>
      </w:pPr>
    </w:p>
    <w:p>
      <w:pPr>
        <w:ind w:left="220" w:right="120"/>
        <w:spacing w:after="0" w:line="286" w:lineRule="auto"/>
        <w:rPr>
          <w:sz w:val="20"/>
          <w:szCs w:val="20"/>
          <w:color w:val="auto"/>
        </w:rPr>
      </w:pPr>
      <w:r>
        <w:rPr>
          <w:rFonts w:ascii="Arial" w:cs="Arial" w:eastAsia="Arial" w:hAnsi="Arial"/>
          <w:sz w:val="16"/>
          <w:szCs w:val="16"/>
          <w:b w:val="1"/>
          <w:bCs w:val="1"/>
          <w:i w:val="1"/>
          <w:iCs w:val="1"/>
          <w:color w:val="auto"/>
        </w:rPr>
        <w:t>Business Experience</w:t>
      </w:r>
      <w:r>
        <w:rPr>
          <w:rFonts w:ascii="Arial" w:cs="Arial" w:eastAsia="Arial" w:hAnsi="Arial"/>
          <w:sz w:val="16"/>
          <w:szCs w:val="16"/>
          <w:color w:val="auto"/>
        </w:rPr>
        <w:t>: Former Global Vice Chairman (from 2003 to 2010) of Assurance Professional Practice of Ernst &amp; Young Global Limited, London,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UK, an assurance, tax, transaction and advisory services firm; and prior thereto, various positions with Ernst &amp; Young (since 1971).</w:t>
      </w:r>
    </w:p>
    <w:p>
      <w:pPr>
        <w:spacing w:after="0" w:line="7" w:lineRule="exact"/>
        <w:rPr>
          <w:sz w:val="20"/>
          <w:szCs w:val="20"/>
          <w:color w:val="auto"/>
        </w:rPr>
      </w:pPr>
    </w:p>
    <w:p>
      <w:pPr>
        <w:ind w:left="220" w:right="40"/>
        <w:spacing w:after="0" w:line="286" w:lineRule="auto"/>
        <w:rPr>
          <w:sz w:val="20"/>
          <w:szCs w:val="20"/>
          <w:color w:val="auto"/>
        </w:rPr>
      </w:pPr>
      <w:r>
        <w:rPr>
          <w:rFonts w:ascii="Arial" w:cs="Arial" w:eastAsia="Arial" w:hAnsi="Arial"/>
          <w:sz w:val="16"/>
          <w:szCs w:val="16"/>
          <w:b w:val="1"/>
          <w:bCs w:val="1"/>
          <w:i w:val="1"/>
          <w:iCs w:val="1"/>
          <w:color w:val="auto"/>
        </w:rPr>
        <w:t>Other Board Experience</w:t>
      </w:r>
      <w:r>
        <w:rPr>
          <w:rFonts w:ascii="Arial" w:cs="Arial" w:eastAsia="Arial" w:hAnsi="Arial"/>
          <w:sz w:val="16"/>
          <w:szCs w:val="16"/>
          <w:color w:val="auto"/>
        </w:rPr>
        <w:t>: Member of the Board of Trustees and Chairman of the Audit Committee of PNC Funds and PNC Advantage Funds (registered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management investment companies).</w:t>
      </w:r>
    </w:p>
    <w:p>
      <w:pPr>
        <w:spacing w:after="0" w:line="7"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auto"/>
        </w:rPr>
        <w:t>Skills and Qualifications</w:t>
      </w:r>
      <w:r>
        <w:rPr>
          <w:rFonts w:ascii="Arial" w:cs="Arial" w:eastAsia="Arial" w:hAnsi="Arial"/>
          <w:sz w:val="16"/>
          <w:szCs w:val="16"/>
          <w:color w:val="auto"/>
        </w:rPr>
        <w:t>:</w:t>
      </w:r>
    </w:p>
    <w:p>
      <w:pPr>
        <w:spacing w:after="0" w:line="106" w:lineRule="exact"/>
        <w:rPr>
          <w:sz w:val="20"/>
          <w:szCs w:val="20"/>
          <w:color w:val="auto"/>
        </w:rPr>
      </w:pPr>
    </w:p>
    <w:p>
      <w:pPr>
        <w:ind w:left="420" w:hanging="210"/>
        <w:spacing w:after="0"/>
        <w:tabs>
          <w:tab w:leader="none" w:pos="4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Mr. Todd’s experience in the accounting profession makes him a valuable resource for the Board and Audit Committee.</w:t>
      </w:r>
    </w:p>
    <w:p>
      <w:pPr>
        <w:spacing w:after="0" w:line="85" w:lineRule="exact"/>
        <w:rPr>
          <w:rFonts w:ascii="Arial" w:cs="Arial" w:eastAsia="Arial" w:hAnsi="Arial"/>
          <w:sz w:val="16"/>
          <w:szCs w:val="16"/>
          <w:color w:val="auto"/>
        </w:rPr>
      </w:pPr>
    </w:p>
    <w:p>
      <w:pPr>
        <w:ind w:left="420" w:right="220" w:hanging="210"/>
        <w:spacing w:after="0" w:line="260" w:lineRule="auto"/>
        <w:tabs>
          <w:tab w:leader="none" w:pos="4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Mr. Todd brings to the Board significant financial experience in both domestic and international business following a 40-year career at Ernst &amp; Young where he specialized in assurance and audit.</w:t>
      </w:r>
    </w:p>
    <w:p>
      <w:pPr>
        <w:spacing w:after="0" w:line="60" w:lineRule="exact"/>
        <w:rPr>
          <w:rFonts w:ascii="Arial" w:cs="Arial" w:eastAsia="Arial" w:hAnsi="Arial"/>
          <w:sz w:val="16"/>
          <w:szCs w:val="16"/>
          <w:color w:val="auto"/>
        </w:rPr>
      </w:pPr>
    </w:p>
    <w:p>
      <w:pPr>
        <w:ind w:left="420" w:right="20" w:hanging="210"/>
        <w:spacing w:after="0" w:line="253" w:lineRule="auto"/>
        <w:tabs>
          <w:tab w:leader="none" w:pos="4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Mr. Todd developed and directed Ernst &amp; Young’s Global Capital Markets Centers, which provide accounting, regulatory, internal control and financial reporting services to multinational companies in connection with cross-border debt and equity securities transactions and acquisitions, making him well suited to advise the Board on capital allocation decisions, financing alternatives, and acquisition activities.</w:t>
      </w:r>
    </w:p>
    <w:p>
      <w:pPr>
        <w:spacing w:after="0" w:line="65" w:lineRule="exact"/>
        <w:rPr>
          <w:rFonts w:ascii="Arial" w:cs="Arial" w:eastAsia="Arial" w:hAnsi="Arial"/>
          <w:sz w:val="16"/>
          <w:szCs w:val="16"/>
          <w:color w:val="auto"/>
        </w:rPr>
      </w:pPr>
    </w:p>
    <w:p>
      <w:pPr>
        <w:jc w:val="both"/>
        <w:ind w:left="420" w:right="60" w:hanging="210"/>
        <w:spacing w:after="0" w:line="253" w:lineRule="auto"/>
        <w:tabs>
          <w:tab w:leader="none" w:pos="4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His experience, especially his years as Global Vice Chairman of Ernst &amp; Young Global Limited’s Assurance Professional Practice and as audit partner for several multinational companies, gives him unique insights into accounting and financial issues relevant to multinational companies like Dover, and he brings the perspective of an outside auditor to the Audit Committee.</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16</w:t>
      </w:r>
    </w:p>
    <w:p>
      <w:pPr>
        <w:sectPr>
          <w:pgSz w:w="11900" w:h="16838" w:orient="portrait"/>
          <w:cols w:equalWidth="0" w:num="1">
            <w:col w:w="11220"/>
          </w:cols>
          <w:pgMar w:left="240" w:top="459"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PROPOSAL 1 — ELECTION OF DIRECTORS</w:t>
      </w:r>
    </w:p>
    <w:p>
      <w:pPr>
        <w:spacing w:after="0" w:line="149" w:lineRule="exact"/>
        <w:rPr>
          <w:sz w:val="20"/>
          <w:szCs w:val="20"/>
          <w:color w:val="auto"/>
        </w:rPr>
      </w:pPr>
    </w:p>
    <w:p>
      <w:pPr>
        <w:ind w:left="1660"/>
        <w:spacing w:after="0"/>
        <w:rPr>
          <w:sz w:val="20"/>
          <w:szCs w:val="20"/>
          <w:color w:val="auto"/>
        </w:rPr>
      </w:pPr>
      <w:r>
        <w:rPr>
          <w:rFonts w:ascii="Arial" w:cs="Arial" w:eastAsia="Arial" w:hAnsi="Arial"/>
          <w:sz w:val="18"/>
          <w:szCs w:val="18"/>
          <w:b w:val="1"/>
          <w:bCs w:val="1"/>
          <w:i w:val="1"/>
          <w:iCs w:val="1"/>
          <w:color w:val="32406B"/>
        </w:rPr>
        <w:t>Stephen K. Wagner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-116205</wp:posOffset>
            </wp:positionV>
            <wp:extent cx="6989445" cy="9766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89445" cy="976630"/>
                    </a:xfrm>
                    <a:prstGeom prst="rect">
                      <a:avLst/>
                    </a:prstGeom>
                    <a:noFill/>
                  </pic:spPr>
                </pic:pic>
              </a:graphicData>
            </a:graphic>
          </wp:anchor>
        </w:drawing>
      </w:r>
    </w:p>
    <w:p>
      <w:pPr>
        <w:spacing w:after="0" w:line="331" w:lineRule="exact"/>
        <w:rPr>
          <w:sz w:val="20"/>
          <w:szCs w:val="20"/>
          <w:color w:val="auto"/>
        </w:rPr>
      </w:pPr>
    </w:p>
    <w:p>
      <w:pPr>
        <w:ind w:left="1660"/>
        <w:spacing w:after="0"/>
        <w:rPr>
          <w:sz w:val="20"/>
          <w:szCs w:val="20"/>
          <w:color w:val="auto"/>
        </w:rPr>
      </w:pPr>
      <w:r>
        <w:rPr>
          <w:rFonts w:ascii="Arial" w:cs="Arial" w:eastAsia="Arial" w:hAnsi="Arial"/>
          <w:sz w:val="16"/>
          <w:szCs w:val="16"/>
          <w:b w:val="1"/>
          <w:bCs w:val="1"/>
          <w:color w:val="auto"/>
        </w:rPr>
        <w:t>Independent Director Nominee</w:t>
      </w:r>
    </w:p>
    <w:p>
      <w:pPr>
        <w:spacing w:after="0" w:line="25" w:lineRule="exact"/>
        <w:rPr>
          <w:sz w:val="20"/>
          <w:szCs w:val="20"/>
          <w:color w:val="auto"/>
        </w:rPr>
      </w:pPr>
    </w:p>
    <w:p>
      <w:pPr>
        <w:ind w:left="1660"/>
        <w:spacing w:after="0"/>
        <w:rPr>
          <w:sz w:val="20"/>
          <w:szCs w:val="20"/>
          <w:color w:val="auto"/>
        </w:rPr>
      </w:pPr>
      <w:r>
        <w:rPr>
          <w:rFonts w:ascii="Arial" w:cs="Arial" w:eastAsia="Arial" w:hAnsi="Arial"/>
          <w:sz w:val="16"/>
          <w:szCs w:val="16"/>
          <w:b w:val="1"/>
          <w:bCs w:val="1"/>
          <w:color w:val="auto"/>
        </w:rPr>
        <w:t>Age: 70</w:t>
      </w:r>
    </w:p>
    <w:p>
      <w:pPr>
        <w:spacing w:after="0" w:line="5" w:lineRule="exact"/>
        <w:rPr>
          <w:sz w:val="20"/>
          <w:szCs w:val="20"/>
          <w:color w:val="auto"/>
        </w:rPr>
      </w:pPr>
    </w:p>
    <w:p>
      <w:pPr>
        <w:ind w:left="1660"/>
        <w:spacing w:after="0"/>
        <w:rPr>
          <w:sz w:val="20"/>
          <w:szCs w:val="20"/>
          <w:color w:val="auto"/>
        </w:rPr>
      </w:pPr>
      <w:r>
        <w:rPr>
          <w:rFonts w:ascii="Arial" w:cs="Arial" w:eastAsia="Arial" w:hAnsi="Arial"/>
          <w:sz w:val="16"/>
          <w:szCs w:val="16"/>
          <w:b w:val="1"/>
          <w:bCs w:val="1"/>
          <w:color w:val="auto"/>
        </w:rPr>
        <w:t>Director since 2010</w:t>
      </w:r>
    </w:p>
    <w:p>
      <w:pPr>
        <w:spacing w:after="0" w:line="66" w:lineRule="exact"/>
        <w:rPr>
          <w:sz w:val="20"/>
          <w:szCs w:val="20"/>
          <w:color w:val="auto"/>
        </w:rPr>
      </w:pPr>
    </w:p>
    <w:p>
      <w:pPr>
        <w:ind w:left="1660"/>
        <w:spacing w:after="0"/>
        <w:tabs>
          <w:tab w:leader="none" w:pos="3380" w:val="left"/>
        </w:tabs>
        <w:rPr>
          <w:sz w:val="20"/>
          <w:szCs w:val="20"/>
          <w:color w:val="auto"/>
        </w:rPr>
      </w:pPr>
      <w:r>
        <w:rPr>
          <w:rFonts w:ascii="Arial" w:cs="Arial" w:eastAsia="Arial" w:hAnsi="Arial"/>
          <w:sz w:val="16"/>
          <w:szCs w:val="16"/>
          <w:b w:val="1"/>
          <w:bCs w:val="1"/>
          <w:color w:val="auto"/>
        </w:rPr>
        <w:t>Committees Served:</w:t>
        <w:tab/>
        <w:t xml:space="preserve">Audit, Governance and Nominating </w:t>
      </w:r>
      <w:r>
        <w:rPr>
          <w:rFonts w:ascii="Arial" w:cs="Arial" w:eastAsia="Arial" w:hAnsi="Arial"/>
          <w:sz w:val="16"/>
          <w:szCs w:val="16"/>
          <w:b w:val="1"/>
          <w:bCs w:val="1"/>
          <w:i w:val="1"/>
          <w:iCs w:val="1"/>
          <w:color w:val="auto"/>
        </w:rPr>
        <w:t>(Chair)</w:t>
      </w:r>
    </w:p>
    <w:p>
      <w:pPr>
        <w:spacing w:after="0" w:line="200" w:lineRule="exact"/>
        <w:rPr>
          <w:sz w:val="20"/>
          <w:szCs w:val="20"/>
          <w:color w:val="auto"/>
        </w:rPr>
      </w:pPr>
    </w:p>
    <w:p>
      <w:pPr>
        <w:spacing w:after="0" w:line="277" w:lineRule="exact"/>
        <w:rPr>
          <w:sz w:val="20"/>
          <w:szCs w:val="20"/>
          <w:color w:val="auto"/>
        </w:rPr>
      </w:pPr>
    </w:p>
    <w:p>
      <w:pPr>
        <w:ind w:left="220" w:right="100"/>
        <w:spacing w:after="0" w:line="259" w:lineRule="auto"/>
        <w:rPr>
          <w:sz w:val="20"/>
          <w:szCs w:val="20"/>
          <w:color w:val="auto"/>
        </w:rPr>
      </w:pPr>
      <w:r>
        <w:rPr>
          <w:rFonts w:ascii="Arial" w:cs="Arial" w:eastAsia="Arial" w:hAnsi="Arial"/>
          <w:sz w:val="16"/>
          <w:szCs w:val="16"/>
          <w:b w:val="1"/>
          <w:bCs w:val="1"/>
          <w:i w:val="1"/>
          <w:iCs w:val="1"/>
          <w:color w:val="auto"/>
        </w:rPr>
        <w:t>Business Experience</w:t>
      </w:r>
      <w:r>
        <w:rPr>
          <w:rFonts w:ascii="Arial" w:cs="Arial" w:eastAsia="Arial" w:hAnsi="Arial"/>
          <w:sz w:val="16"/>
          <w:szCs w:val="16"/>
          <w:color w:val="auto"/>
        </w:rPr>
        <w:t>: Former Senior Advisor, Center for Corporate Governance, of Deloitte &amp; Touche LLP, an audit, financial advisory, tax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consulting firm (from 2009 to 2011); Managing Partner, Center for Corporate Governance, of Deloitte (from 2005 to 2009); Deputy Managing Partner, Innovation, Audit and Enterprise Risk, United States, of Deloitte (from 2002 to 2007); and Co-Leader, Sarbanes-Oxley Services, of Deloitte (from 2002 to 2005).</w:t>
      </w:r>
    </w:p>
    <w:p>
      <w:pPr>
        <w:spacing w:after="0" w:line="29"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auto"/>
        </w:rPr>
        <w:t>Skills and Qualifications</w:t>
      </w:r>
      <w:r>
        <w:rPr>
          <w:rFonts w:ascii="Arial" w:cs="Arial" w:eastAsia="Arial" w:hAnsi="Arial"/>
          <w:sz w:val="16"/>
          <w:szCs w:val="16"/>
          <w:color w:val="auto"/>
        </w:rPr>
        <w:t>:</w:t>
      </w:r>
    </w:p>
    <w:p>
      <w:pPr>
        <w:spacing w:after="0" w:line="106" w:lineRule="exact"/>
        <w:rPr>
          <w:sz w:val="20"/>
          <w:szCs w:val="20"/>
          <w:color w:val="auto"/>
        </w:rPr>
      </w:pPr>
    </w:p>
    <w:p>
      <w:pPr>
        <w:ind w:left="420" w:hanging="210"/>
        <w:spacing w:after="0"/>
        <w:tabs>
          <w:tab w:leader="none" w:pos="4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Mr. Wagner’s over 30 years of experience in accounting make him a valuable resource for the Board and the Audit Committee.</w:t>
      </w:r>
    </w:p>
    <w:p>
      <w:pPr>
        <w:spacing w:after="0" w:line="85" w:lineRule="exact"/>
        <w:rPr>
          <w:rFonts w:ascii="Arial" w:cs="Arial" w:eastAsia="Arial" w:hAnsi="Arial"/>
          <w:sz w:val="16"/>
          <w:szCs w:val="16"/>
          <w:color w:val="auto"/>
        </w:rPr>
      </w:pPr>
    </w:p>
    <w:p>
      <w:pPr>
        <w:jc w:val="both"/>
        <w:ind w:left="420" w:right="100" w:hanging="210"/>
        <w:spacing w:after="0" w:line="253" w:lineRule="auto"/>
        <w:tabs>
          <w:tab w:leader="none" w:pos="4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His work with Sarbanes-Oxley and other corporate governance regulations, including his years as Managing Partner at Deloitte &amp; Touche’s Center for Corporate Governance, makes him well suited to advise the Board on financial, auditing and finance-related corporate governance matters as well as risk management.</w:t>
      </w:r>
    </w:p>
    <w:p>
      <w:pPr>
        <w:spacing w:after="0" w:line="49" w:lineRule="exact"/>
        <w:rPr>
          <w:rFonts w:ascii="Arial" w:cs="Arial" w:eastAsia="Arial" w:hAnsi="Arial"/>
          <w:sz w:val="16"/>
          <w:szCs w:val="16"/>
          <w:color w:val="auto"/>
        </w:rPr>
      </w:pPr>
    </w:p>
    <w:p>
      <w:pPr>
        <w:ind w:left="420" w:right="60" w:hanging="210"/>
        <w:spacing w:after="0" w:line="280" w:lineRule="auto"/>
        <w:tabs>
          <w:tab w:leader="none" w:pos="4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 xml:space="preserve">Mr. Wagner is an expert in risk oversight and co-authored a book on risk management entitled </w:t>
      </w:r>
      <w:r>
        <w:rPr>
          <w:rFonts w:ascii="Arial" w:cs="Arial" w:eastAsia="Arial" w:hAnsi="Arial"/>
          <w:sz w:val="16"/>
          <w:szCs w:val="16"/>
          <w:i w:val="1"/>
          <w:iCs w:val="1"/>
          <w:color w:val="auto"/>
        </w:rPr>
        <w:t>Surviving and Thriving in Uncertainty: Creating the Risk</w:t>
      </w:r>
      <w:r>
        <w:rPr>
          <w:rFonts w:ascii="Arial" w:cs="Arial" w:eastAsia="Arial" w:hAnsi="Arial"/>
          <w:sz w:val="16"/>
          <w:szCs w:val="16"/>
          <w:color w:val="auto"/>
        </w:rPr>
        <w:t xml:space="preserve"> </w:t>
      </w:r>
      <w:r>
        <w:rPr>
          <w:rFonts w:ascii="Arial" w:cs="Arial" w:eastAsia="Arial" w:hAnsi="Arial"/>
          <w:sz w:val="16"/>
          <w:szCs w:val="16"/>
          <w:i w:val="1"/>
          <w:iCs w:val="1"/>
          <w:color w:val="auto"/>
        </w:rPr>
        <w:t>Intelligent Enterprise</w:t>
      </w:r>
      <w:r>
        <w:rPr>
          <w:rFonts w:ascii="Arial" w:cs="Arial" w:eastAsia="Arial" w:hAnsi="Arial"/>
          <w:sz w:val="16"/>
          <w:szCs w:val="16"/>
          <w:color w:val="auto"/>
        </w:rPr>
        <w:t>.</w:t>
      </w:r>
    </w:p>
    <w:p>
      <w:pPr>
        <w:spacing w:after="0" w:line="45" w:lineRule="exact"/>
        <w:rPr>
          <w:rFonts w:ascii="Arial" w:cs="Arial" w:eastAsia="Arial" w:hAnsi="Arial"/>
          <w:sz w:val="16"/>
          <w:szCs w:val="16"/>
          <w:color w:val="auto"/>
        </w:rPr>
      </w:pPr>
    </w:p>
    <w:p>
      <w:pPr>
        <w:ind w:left="420" w:right="80" w:hanging="210"/>
        <w:spacing w:after="0" w:line="260" w:lineRule="auto"/>
        <w:tabs>
          <w:tab w:leader="none" w:pos="4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He brings to the Board an outside auditor’s perspective on matters involving audit committee procedures, internal control and accounting and financial reporting matters.</w:t>
      </w:r>
    </w:p>
    <w:p>
      <w:pPr>
        <w:spacing w:after="0" w:line="10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17</w:t>
      </w:r>
    </w:p>
    <w:p>
      <w:pPr>
        <w:sectPr>
          <w:pgSz w:w="11900" w:h="16838" w:orient="portrait"/>
          <w:cols w:equalWidth="0" w:num="1">
            <w:col w:w="11220"/>
          </w:cols>
          <w:pgMar w:left="240" w:top="459"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PROPOSAL 1 — ELECTION OF DIRECTORS</w:t>
      </w:r>
    </w:p>
    <w:p>
      <w:pPr>
        <w:spacing w:after="0" w:line="149" w:lineRule="exact"/>
        <w:rPr>
          <w:sz w:val="20"/>
          <w:szCs w:val="20"/>
          <w:color w:val="auto"/>
        </w:rPr>
      </w:pPr>
    </w:p>
    <w:p>
      <w:pPr>
        <w:ind w:left="1660"/>
        <w:spacing w:after="0"/>
        <w:rPr>
          <w:sz w:val="20"/>
          <w:szCs w:val="20"/>
          <w:color w:val="auto"/>
        </w:rPr>
      </w:pPr>
      <w:r>
        <w:rPr>
          <w:rFonts w:ascii="Arial" w:cs="Arial" w:eastAsia="Arial" w:hAnsi="Arial"/>
          <w:sz w:val="18"/>
          <w:szCs w:val="18"/>
          <w:b w:val="1"/>
          <w:bCs w:val="1"/>
          <w:i w:val="1"/>
          <w:iCs w:val="1"/>
          <w:color w:val="32406B"/>
        </w:rPr>
        <w:t>Keith E. Wandell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-116205</wp:posOffset>
            </wp:positionV>
            <wp:extent cx="6989445" cy="10706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89445" cy="1070610"/>
                    </a:xfrm>
                    <a:prstGeom prst="rect">
                      <a:avLst/>
                    </a:prstGeom>
                    <a:noFill/>
                  </pic:spPr>
                </pic:pic>
              </a:graphicData>
            </a:graphic>
          </wp:anchor>
        </w:drawing>
      </w:r>
    </w:p>
    <w:p>
      <w:pPr>
        <w:spacing w:after="0" w:line="331" w:lineRule="exact"/>
        <w:rPr>
          <w:sz w:val="20"/>
          <w:szCs w:val="20"/>
          <w:color w:val="auto"/>
        </w:rPr>
      </w:pPr>
    </w:p>
    <w:p>
      <w:pPr>
        <w:ind w:left="1660"/>
        <w:spacing w:after="0"/>
        <w:rPr>
          <w:sz w:val="20"/>
          <w:szCs w:val="20"/>
          <w:color w:val="auto"/>
        </w:rPr>
      </w:pPr>
      <w:r>
        <w:rPr>
          <w:rFonts w:ascii="Arial" w:cs="Arial" w:eastAsia="Arial" w:hAnsi="Arial"/>
          <w:sz w:val="16"/>
          <w:szCs w:val="16"/>
          <w:b w:val="1"/>
          <w:bCs w:val="1"/>
          <w:color w:val="auto"/>
        </w:rPr>
        <w:t>Independent Director Nominee</w:t>
      </w:r>
    </w:p>
    <w:p>
      <w:pPr>
        <w:spacing w:after="0" w:line="25" w:lineRule="exact"/>
        <w:rPr>
          <w:sz w:val="20"/>
          <w:szCs w:val="20"/>
          <w:color w:val="auto"/>
        </w:rPr>
      </w:pPr>
    </w:p>
    <w:p>
      <w:pPr>
        <w:ind w:left="1660"/>
        <w:spacing w:after="0"/>
        <w:rPr>
          <w:sz w:val="20"/>
          <w:szCs w:val="20"/>
          <w:color w:val="auto"/>
        </w:rPr>
      </w:pPr>
      <w:r>
        <w:rPr>
          <w:rFonts w:ascii="Arial" w:cs="Arial" w:eastAsia="Arial" w:hAnsi="Arial"/>
          <w:sz w:val="16"/>
          <w:szCs w:val="16"/>
          <w:b w:val="1"/>
          <w:bCs w:val="1"/>
          <w:color w:val="auto"/>
        </w:rPr>
        <w:t>Age: 68</w:t>
      </w:r>
    </w:p>
    <w:p>
      <w:pPr>
        <w:spacing w:after="0" w:line="5" w:lineRule="exact"/>
        <w:rPr>
          <w:sz w:val="20"/>
          <w:szCs w:val="20"/>
          <w:color w:val="auto"/>
        </w:rPr>
      </w:pPr>
    </w:p>
    <w:p>
      <w:pPr>
        <w:ind w:left="1660"/>
        <w:spacing w:after="0"/>
        <w:rPr>
          <w:sz w:val="20"/>
          <w:szCs w:val="20"/>
          <w:color w:val="auto"/>
        </w:rPr>
      </w:pPr>
      <w:r>
        <w:rPr>
          <w:rFonts w:ascii="Arial" w:cs="Arial" w:eastAsia="Arial" w:hAnsi="Arial"/>
          <w:sz w:val="16"/>
          <w:szCs w:val="16"/>
          <w:b w:val="1"/>
          <w:bCs w:val="1"/>
          <w:color w:val="auto"/>
        </w:rPr>
        <w:t>Director since 2015</w:t>
      </w:r>
    </w:p>
    <w:p>
      <w:pPr>
        <w:spacing w:after="0" w:line="66" w:lineRule="exact"/>
        <w:rPr>
          <w:sz w:val="20"/>
          <w:szCs w:val="20"/>
          <w:color w:val="auto"/>
        </w:rPr>
      </w:pPr>
    </w:p>
    <w:p>
      <w:pPr>
        <w:ind w:left="1660"/>
        <w:spacing w:after="0"/>
        <w:tabs>
          <w:tab w:leader="none" w:pos="3400" w:val="left"/>
        </w:tabs>
        <w:rPr>
          <w:sz w:val="20"/>
          <w:szCs w:val="20"/>
          <w:color w:val="auto"/>
        </w:rPr>
      </w:pPr>
      <w:r>
        <w:rPr>
          <w:rFonts w:ascii="Arial" w:cs="Arial" w:eastAsia="Arial" w:hAnsi="Arial"/>
          <w:sz w:val="16"/>
          <w:szCs w:val="16"/>
          <w:b w:val="1"/>
          <w:bCs w:val="1"/>
          <w:color w:val="auto"/>
        </w:rPr>
        <w:t>Committees Served:</w:t>
        <w:tab/>
        <w:t>Compensation, Governance and Nominating</w:t>
      </w:r>
    </w:p>
    <w:p>
      <w:pPr>
        <w:spacing w:after="0" w:line="200" w:lineRule="exact"/>
        <w:rPr>
          <w:sz w:val="20"/>
          <w:szCs w:val="20"/>
          <w:color w:val="auto"/>
        </w:rPr>
      </w:pPr>
    </w:p>
    <w:p>
      <w:pPr>
        <w:spacing w:after="0" w:line="277" w:lineRule="exact"/>
        <w:rPr>
          <w:sz w:val="20"/>
          <w:szCs w:val="20"/>
          <w:color w:val="auto"/>
        </w:rPr>
      </w:pPr>
    </w:p>
    <w:p>
      <w:pPr>
        <w:ind w:left="220"/>
        <w:spacing w:after="0" w:line="259" w:lineRule="auto"/>
        <w:rPr>
          <w:sz w:val="20"/>
          <w:szCs w:val="20"/>
          <w:color w:val="auto"/>
        </w:rPr>
      </w:pPr>
      <w:r>
        <w:rPr>
          <w:rFonts w:ascii="Arial" w:cs="Arial" w:eastAsia="Arial" w:hAnsi="Arial"/>
          <w:sz w:val="16"/>
          <w:szCs w:val="16"/>
          <w:b w:val="1"/>
          <w:bCs w:val="1"/>
          <w:i w:val="1"/>
          <w:iCs w:val="1"/>
          <w:color w:val="auto"/>
        </w:rPr>
        <w:t>Business Experience</w:t>
      </w:r>
      <w:r>
        <w:rPr>
          <w:rFonts w:ascii="Arial" w:cs="Arial" w:eastAsia="Arial" w:hAnsi="Arial"/>
          <w:sz w:val="16"/>
          <w:szCs w:val="16"/>
          <w:color w:val="auto"/>
        </w:rPr>
        <w:t>: Former President and CEO (from 2009 to 2015) of Harley-Davidson, Inc., a global motorcycle manufacturer; and former President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Chief Operating Officer (from 2006 to 2009), former Executive Vice President (from 2005 to 2006), former Corporate Vice President (from 1997 to 2005), former President of the Automotive Experience business (from 2003 to 2006) and President of the Power Solutions business (from 1997 to 2003) of Johnson Controls, Inc., a global manufacturer of automotive, power and building solutions.</w:t>
      </w:r>
    </w:p>
    <w:p>
      <w:pPr>
        <w:spacing w:after="0" w:line="29" w:lineRule="exact"/>
        <w:rPr>
          <w:sz w:val="20"/>
          <w:szCs w:val="20"/>
          <w:color w:val="auto"/>
        </w:rPr>
      </w:pPr>
    </w:p>
    <w:p>
      <w:pPr>
        <w:ind w:left="220" w:right="300"/>
        <w:spacing w:after="0" w:line="286" w:lineRule="auto"/>
        <w:rPr>
          <w:sz w:val="20"/>
          <w:szCs w:val="20"/>
          <w:color w:val="auto"/>
        </w:rPr>
      </w:pPr>
      <w:r>
        <w:rPr>
          <w:rFonts w:ascii="Arial" w:cs="Arial" w:eastAsia="Arial" w:hAnsi="Arial"/>
          <w:sz w:val="16"/>
          <w:szCs w:val="16"/>
          <w:b w:val="1"/>
          <w:bCs w:val="1"/>
          <w:i w:val="1"/>
          <w:iCs w:val="1"/>
          <w:color w:val="auto"/>
        </w:rPr>
        <w:t>Other Board Experience</w:t>
      </w:r>
      <w:r>
        <w:rPr>
          <w:rFonts w:ascii="Arial" w:cs="Arial" w:eastAsia="Arial" w:hAnsi="Arial"/>
          <w:sz w:val="16"/>
          <w:szCs w:val="16"/>
          <w:color w:val="auto"/>
        </w:rPr>
        <w:t>: Director of Dana Holding Corporation and Constellation Brands, Inc. Former Chairman of Harley Davidson, Inc. and former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Director of Clarcor, Inc.</w:t>
      </w:r>
    </w:p>
    <w:p>
      <w:pPr>
        <w:spacing w:after="0" w:line="7"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auto"/>
        </w:rPr>
        <w:t>Skills and Qualifications</w:t>
      </w:r>
      <w:r>
        <w:rPr>
          <w:rFonts w:ascii="Arial" w:cs="Arial" w:eastAsia="Arial" w:hAnsi="Arial"/>
          <w:sz w:val="16"/>
          <w:szCs w:val="16"/>
          <w:color w:val="auto"/>
        </w:rPr>
        <w:t>:</w:t>
      </w:r>
    </w:p>
    <w:p>
      <w:pPr>
        <w:spacing w:after="0" w:line="106" w:lineRule="exact"/>
        <w:rPr>
          <w:sz w:val="20"/>
          <w:szCs w:val="20"/>
          <w:color w:val="auto"/>
        </w:rPr>
      </w:pPr>
    </w:p>
    <w:p>
      <w:pPr>
        <w:ind w:left="420" w:right="580" w:hanging="210"/>
        <w:spacing w:after="0" w:line="260" w:lineRule="auto"/>
        <w:tabs>
          <w:tab w:leader="none" w:pos="4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Mr. Wandell brings to the Board the valuable perspective of a strategic, experienced leader with a strong record focused on growth, profitability, international expansion and innovation.</w:t>
      </w:r>
    </w:p>
    <w:p>
      <w:pPr>
        <w:spacing w:after="0" w:line="60" w:lineRule="exact"/>
        <w:rPr>
          <w:rFonts w:ascii="Arial" w:cs="Arial" w:eastAsia="Arial" w:hAnsi="Arial"/>
          <w:sz w:val="16"/>
          <w:szCs w:val="16"/>
          <w:color w:val="auto"/>
        </w:rPr>
      </w:pPr>
    </w:p>
    <w:p>
      <w:pPr>
        <w:jc w:val="both"/>
        <w:ind w:left="420" w:right="20" w:hanging="210"/>
        <w:spacing w:after="0" w:line="253" w:lineRule="auto"/>
        <w:tabs>
          <w:tab w:leader="none" w:pos="4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He has over 30 years of experience in diversified manufacturing businesses, most recently as the former Chairman and CEO of Harley-Davidson, Inc., where he led transformation efforts across the company’s product development, manufacturing and retail functions, focused on international expansion and implemented a restructuring plan.</w:t>
      </w:r>
    </w:p>
    <w:p>
      <w:pPr>
        <w:spacing w:after="0" w:line="65" w:lineRule="exact"/>
        <w:rPr>
          <w:rFonts w:ascii="Arial" w:cs="Arial" w:eastAsia="Arial" w:hAnsi="Arial"/>
          <w:sz w:val="16"/>
          <w:szCs w:val="16"/>
          <w:color w:val="auto"/>
        </w:rPr>
      </w:pPr>
    </w:p>
    <w:p>
      <w:pPr>
        <w:ind w:left="420" w:right="160" w:hanging="210"/>
        <w:spacing w:after="0" w:line="260" w:lineRule="auto"/>
        <w:tabs>
          <w:tab w:leader="none" w:pos="4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Prior to joining Harley-Davidson, Inc., Mr. Wandell served as President and Chief Operating Officer of Johnson Controls, Inc. and helped manage the company’s entry into the Chinese car-battery market as well as its subsequent joint venture with China’s largest battery manufacturer.</w:t>
      </w:r>
    </w:p>
    <w:p>
      <w:pPr>
        <w:spacing w:after="0" w:line="60" w:lineRule="exact"/>
        <w:rPr>
          <w:rFonts w:ascii="Arial" w:cs="Arial" w:eastAsia="Arial" w:hAnsi="Arial"/>
          <w:sz w:val="16"/>
          <w:szCs w:val="16"/>
          <w:color w:val="auto"/>
        </w:rPr>
      </w:pPr>
    </w:p>
    <w:p>
      <w:pPr>
        <w:ind w:left="420" w:right="80" w:hanging="210"/>
        <w:spacing w:after="0" w:line="253" w:lineRule="auto"/>
        <w:tabs>
          <w:tab w:leader="none" w:pos="4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 addition to his significant operating, financial and leadership experience in both domestic and international business, Mr. Wandell has served on the boards of four other public companies, including the two on which he currently serves. He holds a bachelor’s degree in business administration from Ohio University and an MBA from the University of Dayton.</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18</w:t>
      </w:r>
    </w:p>
    <w:p>
      <w:pPr>
        <w:sectPr>
          <w:pgSz w:w="11900" w:h="16838" w:orient="portrait"/>
          <w:cols w:equalWidth="0" w:num="1">
            <w:col w:w="11220"/>
          </w:cols>
          <w:pgMar w:left="24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PROPOSAL 1 — ELECTION OF DIRECTORS</w:t>
      </w:r>
    </w:p>
    <w:p>
      <w:pPr>
        <w:spacing w:after="0" w:line="149" w:lineRule="exact"/>
        <w:rPr>
          <w:sz w:val="20"/>
          <w:szCs w:val="20"/>
          <w:color w:val="auto"/>
        </w:rPr>
      </w:pPr>
    </w:p>
    <w:p>
      <w:pPr>
        <w:ind w:left="1780"/>
        <w:spacing w:after="0"/>
        <w:rPr>
          <w:sz w:val="20"/>
          <w:szCs w:val="20"/>
          <w:color w:val="auto"/>
        </w:rPr>
      </w:pPr>
      <w:r>
        <w:rPr>
          <w:rFonts w:ascii="Arial" w:cs="Arial" w:eastAsia="Arial" w:hAnsi="Arial"/>
          <w:sz w:val="18"/>
          <w:szCs w:val="18"/>
          <w:b w:val="1"/>
          <w:bCs w:val="1"/>
          <w:i w:val="1"/>
          <w:iCs w:val="1"/>
          <w:color w:val="32406B"/>
        </w:rPr>
        <w:t>Mary A. Winston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-116205</wp:posOffset>
            </wp:positionV>
            <wp:extent cx="6989445" cy="10877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89445" cy="1087755"/>
                    </a:xfrm>
                    <a:prstGeom prst="rect">
                      <a:avLst/>
                    </a:prstGeom>
                    <a:noFill/>
                  </pic:spPr>
                </pic:pic>
              </a:graphicData>
            </a:graphic>
          </wp:anchor>
        </w:drawing>
      </w:r>
    </w:p>
    <w:p>
      <w:pPr>
        <w:spacing w:after="0" w:line="331" w:lineRule="exact"/>
        <w:rPr>
          <w:sz w:val="20"/>
          <w:szCs w:val="20"/>
          <w:color w:val="auto"/>
        </w:rPr>
      </w:pPr>
    </w:p>
    <w:p>
      <w:pPr>
        <w:ind w:left="1780"/>
        <w:spacing w:after="0"/>
        <w:rPr>
          <w:sz w:val="20"/>
          <w:szCs w:val="20"/>
          <w:color w:val="auto"/>
        </w:rPr>
      </w:pPr>
      <w:r>
        <w:rPr>
          <w:rFonts w:ascii="Arial" w:cs="Arial" w:eastAsia="Arial" w:hAnsi="Arial"/>
          <w:sz w:val="16"/>
          <w:szCs w:val="16"/>
          <w:b w:val="1"/>
          <w:bCs w:val="1"/>
          <w:color w:val="auto"/>
        </w:rPr>
        <w:t>Independent Director Nominee</w:t>
      </w:r>
    </w:p>
    <w:p>
      <w:pPr>
        <w:spacing w:after="0" w:line="25" w:lineRule="exact"/>
        <w:rPr>
          <w:sz w:val="20"/>
          <w:szCs w:val="20"/>
          <w:color w:val="auto"/>
        </w:rPr>
      </w:pPr>
    </w:p>
    <w:p>
      <w:pPr>
        <w:ind w:left="1780"/>
        <w:spacing w:after="0"/>
        <w:rPr>
          <w:sz w:val="20"/>
          <w:szCs w:val="20"/>
          <w:color w:val="auto"/>
        </w:rPr>
      </w:pPr>
      <w:r>
        <w:rPr>
          <w:rFonts w:ascii="Arial" w:cs="Arial" w:eastAsia="Arial" w:hAnsi="Arial"/>
          <w:sz w:val="16"/>
          <w:szCs w:val="16"/>
          <w:b w:val="1"/>
          <w:bCs w:val="1"/>
          <w:color w:val="auto"/>
        </w:rPr>
        <w:t>Age: 56</w:t>
      </w:r>
    </w:p>
    <w:p>
      <w:pPr>
        <w:spacing w:after="0" w:line="5" w:lineRule="exact"/>
        <w:rPr>
          <w:sz w:val="20"/>
          <w:szCs w:val="20"/>
          <w:color w:val="auto"/>
        </w:rPr>
      </w:pPr>
    </w:p>
    <w:p>
      <w:pPr>
        <w:ind w:left="1780"/>
        <w:spacing w:after="0"/>
        <w:rPr>
          <w:sz w:val="20"/>
          <w:szCs w:val="20"/>
          <w:color w:val="auto"/>
        </w:rPr>
      </w:pPr>
      <w:r>
        <w:rPr>
          <w:rFonts w:ascii="Arial" w:cs="Arial" w:eastAsia="Arial" w:hAnsi="Arial"/>
          <w:sz w:val="16"/>
          <w:szCs w:val="16"/>
          <w:b w:val="1"/>
          <w:bCs w:val="1"/>
          <w:color w:val="auto"/>
        </w:rPr>
        <w:t>Director since 2005</w:t>
      </w:r>
    </w:p>
    <w:p>
      <w:pPr>
        <w:spacing w:after="0" w:line="66" w:lineRule="exact"/>
        <w:rPr>
          <w:sz w:val="20"/>
          <w:szCs w:val="20"/>
          <w:color w:val="auto"/>
        </w:rPr>
      </w:pPr>
    </w:p>
    <w:p>
      <w:pPr>
        <w:ind w:left="1780"/>
        <w:spacing w:after="0"/>
        <w:tabs>
          <w:tab w:leader="none" w:pos="3400" w:val="left"/>
        </w:tabs>
        <w:rPr>
          <w:sz w:val="20"/>
          <w:szCs w:val="20"/>
          <w:color w:val="auto"/>
        </w:rPr>
      </w:pPr>
      <w:r>
        <w:rPr>
          <w:rFonts w:ascii="Arial" w:cs="Arial" w:eastAsia="Arial" w:hAnsi="Arial"/>
          <w:sz w:val="16"/>
          <w:szCs w:val="16"/>
          <w:b w:val="1"/>
          <w:bCs w:val="1"/>
          <w:color w:val="auto"/>
        </w:rPr>
        <w:t>Committee Served:</w:t>
        <w:tab/>
        <w:t xml:space="preserve">Audit </w:t>
      </w:r>
      <w:r>
        <w:rPr>
          <w:rFonts w:ascii="Arial" w:cs="Arial" w:eastAsia="Arial" w:hAnsi="Arial"/>
          <w:sz w:val="16"/>
          <w:szCs w:val="16"/>
          <w:b w:val="1"/>
          <w:bCs w:val="1"/>
          <w:i w:val="1"/>
          <w:iCs w:val="1"/>
          <w:color w:val="auto"/>
        </w:rPr>
        <w:t>(Chair)</w:t>
      </w:r>
    </w:p>
    <w:p>
      <w:pPr>
        <w:spacing w:after="0" w:line="200" w:lineRule="exact"/>
        <w:rPr>
          <w:sz w:val="20"/>
          <w:szCs w:val="20"/>
          <w:color w:val="auto"/>
        </w:rPr>
      </w:pPr>
    </w:p>
    <w:p>
      <w:pPr>
        <w:spacing w:after="0" w:line="317" w:lineRule="exact"/>
        <w:rPr>
          <w:sz w:val="20"/>
          <w:szCs w:val="20"/>
          <w:color w:val="auto"/>
        </w:rPr>
      </w:pPr>
    </w:p>
    <w:p>
      <w:pPr>
        <w:ind w:left="220" w:right="60"/>
        <w:spacing w:after="0" w:line="256" w:lineRule="auto"/>
        <w:rPr>
          <w:sz w:val="20"/>
          <w:szCs w:val="20"/>
          <w:color w:val="auto"/>
        </w:rPr>
      </w:pPr>
      <w:r>
        <w:rPr>
          <w:rFonts w:ascii="Arial" w:cs="Arial" w:eastAsia="Arial" w:hAnsi="Arial"/>
          <w:sz w:val="16"/>
          <w:szCs w:val="16"/>
          <w:b w:val="1"/>
          <w:bCs w:val="1"/>
          <w:i w:val="1"/>
          <w:iCs w:val="1"/>
          <w:color w:val="auto"/>
        </w:rPr>
        <w:t>Business Experience</w:t>
      </w:r>
      <w:r>
        <w:rPr>
          <w:rFonts w:ascii="Arial" w:cs="Arial" w:eastAsia="Arial" w:hAnsi="Arial"/>
          <w:sz w:val="16"/>
          <w:szCs w:val="16"/>
          <w:color w:val="auto"/>
        </w:rPr>
        <w:t>: President of WinsCo Enterprises Inc., a consulting firm providing financial and board governance advisory services (since 2016);</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former Executive Vice President and CFO of Family Dollar Stores, Inc., a general merchandise retailer (from 2012 to 2015); former Senior Vice President and CFO of Giant Eagle, Inc., a grocery and fuel retailer (from 2008 to 2012); former President of WinsCo Financial LLC, a financial and strategic consulting firm (from 2007 to 2008); and former Executive Vice President and CFO of Scholastic Corporation, a children’s publishing and media company (from 2004 to 2007).</w:t>
      </w:r>
    </w:p>
    <w:p>
      <w:pPr>
        <w:spacing w:after="0" w:line="30"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auto"/>
        </w:rPr>
        <w:t>Other Board Experience</w:t>
      </w:r>
      <w:r>
        <w:rPr>
          <w:rFonts w:ascii="Arial" w:cs="Arial" w:eastAsia="Arial" w:hAnsi="Arial"/>
          <w:sz w:val="16"/>
          <w:szCs w:val="16"/>
          <w:color w:val="auto"/>
        </w:rPr>
        <w:t>: Director of Domtar Corporation, SUPER VALU, INC. and Acuity Brands, Inc.; Former Director of Plexus Corporation.</w:t>
      </w:r>
    </w:p>
    <w:p>
      <w:pPr>
        <w:spacing w:after="0" w:line="72"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auto"/>
        </w:rPr>
        <w:t>Skills and Qualifications</w:t>
      </w:r>
      <w:r>
        <w:rPr>
          <w:rFonts w:ascii="Arial" w:cs="Arial" w:eastAsia="Arial" w:hAnsi="Arial"/>
          <w:sz w:val="16"/>
          <w:szCs w:val="16"/>
          <w:color w:val="auto"/>
        </w:rPr>
        <w:t>:</w:t>
      </w:r>
    </w:p>
    <w:p>
      <w:pPr>
        <w:spacing w:after="0" w:line="106" w:lineRule="exact"/>
        <w:rPr>
          <w:sz w:val="20"/>
          <w:szCs w:val="20"/>
          <w:color w:val="auto"/>
        </w:rPr>
      </w:pPr>
    </w:p>
    <w:p>
      <w:pPr>
        <w:ind w:left="420" w:hanging="210"/>
        <w:spacing w:after="0"/>
        <w:tabs>
          <w:tab w:leader="none" w:pos="4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Ms. Winston brings to the Board valuable experience and expertise based on her years of broad financial management and leadership experience.</w:t>
      </w:r>
    </w:p>
    <w:p>
      <w:pPr>
        <w:spacing w:after="0" w:line="85" w:lineRule="exact"/>
        <w:rPr>
          <w:rFonts w:ascii="Arial" w:cs="Arial" w:eastAsia="Arial" w:hAnsi="Arial"/>
          <w:sz w:val="16"/>
          <w:szCs w:val="16"/>
          <w:color w:val="auto"/>
        </w:rPr>
      </w:pPr>
    </w:p>
    <w:p>
      <w:pPr>
        <w:ind w:left="420" w:right="340" w:hanging="210"/>
        <w:spacing w:after="0" w:line="260" w:lineRule="auto"/>
        <w:tabs>
          <w:tab w:leader="none" w:pos="4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Ms. Winston, who started her career as a CPA with Arthur Andersen &amp; Co, has extensive experience with financial, accounting and internal control matters for large public companies.</w:t>
      </w:r>
    </w:p>
    <w:p>
      <w:pPr>
        <w:spacing w:after="0" w:line="60" w:lineRule="exact"/>
        <w:rPr>
          <w:rFonts w:ascii="Arial" w:cs="Arial" w:eastAsia="Arial" w:hAnsi="Arial"/>
          <w:sz w:val="16"/>
          <w:szCs w:val="16"/>
          <w:color w:val="auto"/>
        </w:rPr>
      </w:pPr>
    </w:p>
    <w:p>
      <w:pPr>
        <w:ind w:left="420" w:right="260" w:hanging="210"/>
        <w:spacing w:after="0" w:line="250" w:lineRule="auto"/>
        <w:tabs>
          <w:tab w:leader="none" w:pos="4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Ms. Winston served as Chief Financial Officer of three large companies: Family Dollar Stores, Inc., Giant Eagle, Inc. and Scholastic, Inc., as well as prior global finance leadership roles at Visteon Corporation and Pfizer, Inc. Through these experiences, she developed deep expertise in capital markets, M&amp;A, capital structure matters, capital allocation, financial risk management, real estate financing transactions, dividend and stock repurchase programs, and investor relations.</w:t>
      </w:r>
    </w:p>
    <w:p>
      <w:pPr>
        <w:spacing w:after="0" w:line="69" w:lineRule="exact"/>
        <w:rPr>
          <w:rFonts w:ascii="Arial" w:cs="Arial" w:eastAsia="Arial" w:hAnsi="Arial"/>
          <w:sz w:val="16"/>
          <w:szCs w:val="16"/>
          <w:color w:val="auto"/>
        </w:rPr>
      </w:pPr>
    </w:p>
    <w:p>
      <w:pPr>
        <w:ind w:left="420" w:right="560" w:hanging="210"/>
        <w:spacing w:after="0" w:line="260" w:lineRule="auto"/>
        <w:tabs>
          <w:tab w:leader="none" w:pos="4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Ms. Winston’s background and experience make her a valuable contributor to the Board on matters involving audit committee matters, financial analysis, internal control, and accounting and financial reporting matters, as well as general corporate governance matters.</w:t>
      </w:r>
    </w:p>
    <w:p>
      <w:pPr>
        <w:spacing w:after="0" w:line="60" w:lineRule="exact"/>
        <w:rPr>
          <w:rFonts w:ascii="Arial" w:cs="Arial" w:eastAsia="Arial" w:hAnsi="Arial"/>
          <w:sz w:val="16"/>
          <w:szCs w:val="16"/>
          <w:color w:val="auto"/>
        </w:rPr>
      </w:pPr>
    </w:p>
    <w:p>
      <w:pPr>
        <w:ind w:left="420" w:right="660" w:hanging="210"/>
        <w:spacing w:after="0" w:line="260" w:lineRule="auto"/>
        <w:tabs>
          <w:tab w:leader="none" w:pos="4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She holds a bachelor’s degree in accounting from the University of Wisconsin and an MBA from Northwestern University’s Kellogg School of Management. She has been designated as a Board Leadership Fellow by the NACD and serves as President of the NACD Carolinas chapter.</w:t>
      </w:r>
    </w:p>
    <w:p>
      <w:pPr>
        <w:spacing w:after="0" w:line="175" w:lineRule="exact"/>
        <w:rPr>
          <w:sz w:val="20"/>
          <w:szCs w:val="20"/>
          <w:color w:val="auto"/>
        </w:rPr>
      </w:pPr>
    </w:p>
    <w:p>
      <w:pPr>
        <w:jc w:val="center"/>
        <w:ind w:right="-219"/>
        <w:spacing w:after="0"/>
        <w:rPr>
          <w:sz w:val="20"/>
          <w:szCs w:val="20"/>
          <w:color w:val="auto"/>
        </w:rPr>
      </w:pPr>
      <w:r>
        <w:rPr>
          <w:rFonts w:ascii="Arial" w:cs="Arial" w:eastAsia="Arial" w:hAnsi="Arial"/>
          <w:sz w:val="16"/>
          <w:szCs w:val="16"/>
          <w:b w:val="1"/>
          <w:bCs w:val="1"/>
          <w:color w:val="32406B"/>
        </w:rPr>
        <w:t>THE BOARD RECOMMENDS A VOTE “FOR” THE ELECTION OF EACH</w:t>
      </w:r>
    </w:p>
    <w:p>
      <w:pPr>
        <w:spacing w:after="0" w:line="25" w:lineRule="exact"/>
        <w:rPr>
          <w:sz w:val="20"/>
          <w:szCs w:val="20"/>
          <w:color w:val="auto"/>
        </w:rPr>
      </w:pPr>
    </w:p>
    <w:p>
      <w:pPr>
        <w:jc w:val="center"/>
        <w:ind w:right="-219"/>
        <w:spacing w:after="0"/>
        <w:rPr>
          <w:sz w:val="20"/>
          <w:szCs w:val="20"/>
          <w:color w:val="auto"/>
        </w:rPr>
      </w:pPr>
      <w:r>
        <w:rPr>
          <w:rFonts w:ascii="Arial" w:cs="Arial" w:eastAsia="Arial" w:hAnsi="Arial"/>
          <w:sz w:val="16"/>
          <w:szCs w:val="16"/>
          <w:b w:val="1"/>
          <w:bCs w:val="1"/>
          <w:color w:val="32406B"/>
        </w:rPr>
        <w:t>OF THE NOMINEES NAMED ABOVE.</w:t>
      </w:r>
    </w:p>
    <w:p>
      <w:pPr>
        <w:spacing w:after="0" w:line="13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19</w:t>
      </w:r>
    </w:p>
    <w:p>
      <w:pPr>
        <w:sectPr>
          <w:pgSz w:w="11900" w:h="16838" w:orient="portrait"/>
          <w:cols w:equalWidth="0" w:num="1">
            <w:col w:w="11220"/>
          </w:cols>
          <w:pgMar w:left="24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PROPOSAL 1 — ELECTION OF DIRECTORS</w:t>
      </w:r>
    </w:p>
    <w:p>
      <w:pPr>
        <w:spacing w:after="0" w:line="139"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32406B"/>
        </w:rPr>
        <w:t>Structure of Our Board and Our Governance Practices</w:t>
      </w:r>
    </w:p>
    <w:p>
      <w:pPr>
        <w:spacing w:after="0" w:line="105" w:lineRule="exact"/>
        <w:rPr>
          <w:sz w:val="20"/>
          <w:szCs w:val="20"/>
          <w:color w:val="auto"/>
        </w:rPr>
      </w:pPr>
    </w:p>
    <w:p>
      <w:pPr>
        <w:ind w:left="220" w:right="160"/>
        <w:spacing w:after="0" w:line="260" w:lineRule="auto"/>
        <w:rPr>
          <w:sz w:val="20"/>
          <w:szCs w:val="20"/>
          <w:color w:val="auto"/>
        </w:rPr>
      </w:pPr>
      <w:r>
        <w:rPr>
          <w:rFonts w:ascii="Arial" w:cs="Arial" w:eastAsia="Arial" w:hAnsi="Arial"/>
          <w:sz w:val="16"/>
          <w:szCs w:val="16"/>
          <w:color w:val="auto"/>
        </w:rPr>
        <w:t>Our Board is committed to sound governance practices and regularly reviews and refines our profile to reflect evolving best practices and matters raised by our shareholders. The following summarizes key aspects of our governance framework.</w:t>
      </w:r>
    </w:p>
    <w:p>
      <w:pPr>
        <w:spacing w:after="0" w:line="175"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32406B"/>
        </w:rPr>
        <w:t>Corporate Governance Highlights</w:t>
      </w:r>
    </w:p>
    <w:p>
      <w:pPr>
        <w:spacing w:after="0" w:line="246" w:lineRule="exact"/>
        <w:rPr>
          <w:sz w:val="20"/>
          <w:szCs w:val="20"/>
          <w:color w:val="auto"/>
        </w:rPr>
      </w:pPr>
    </w:p>
    <w:tbl>
      <w:tblPr>
        <w:tblLayout w:type="fixed"/>
        <w:tblInd w:w="230" w:type="dxa"/>
        <w:tblCellMar>
          <w:top w:w="0" w:type="dxa"/>
          <w:left w:w="0" w:type="dxa"/>
          <w:bottom w:w="0" w:type="dxa"/>
          <w:right w:w="0" w:type="dxa"/>
        </w:tblCellMar>
      </w:tblPr>
      <w:tr>
        <w:trPr>
          <w:trHeight w:val="238"/>
        </w:trPr>
        <w:tc>
          <w:tcPr>
            <w:tcW w:w="2100" w:type="dxa"/>
            <w:vAlign w:val="bottom"/>
            <w:tcBorders>
              <w:top w:val="single" w:sz="8" w:color="auto"/>
              <w:left w:val="single" w:sz="8" w:color="auto"/>
              <w:right w:val="single" w:sz="8" w:color="auto"/>
            </w:tcBorders>
            <w:shd w:val="clear" w:color="auto" w:fill="32406B"/>
          </w:tcPr>
          <w:p>
            <w:pPr>
              <w:ind w:left="140"/>
              <w:spacing w:after="0"/>
              <w:rPr>
                <w:sz w:val="20"/>
                <w:szCs w:val="20"/>
                <w:color w:val="auto"/>
              </w:rPr>
            </w:pPr>
            <w:r>
              <w:rPr>
                <w:rFonts w:ascii="Arial" w:cs="Arial" w:eastAsia="Arial" w:hAnsi="Arial"/>
                <w:sz w:val="16"/>
                <w:szCs w:val="16"/>
                <w:b w:val="1"/>
                <w:bCs w:val="1"/>
                <w:color w:val="FFFFFF"/>
              </w:rPr>
              <w:t>Independent</w:t>
            </w:r>
          </w:p>
        </w:tc>
        <w:tc>
          <w:tcPr>
            <w:tcW w:w="8920" w:type="dxa"/>
            <w:vAlign w:val="bottom"/>
            <w:tcBorders>
              <w:top w:val="single" w:sz="8" w:color="auto"/>
              <w:right w:val="single" w:sz="8" w:color="auto"/>
            </w:tcBorders>
          </w:tcPr>
          <w:p>
            <w:pPr>
              <w:ind w:left="640"/>
              <w:spacing w:after="0"/>
              <w:rPr>
                <w:sz w:val="20"/>
                <w:szCs w:val="20"/>
                <w:color w:val="auto"/>
              </w:rPr>
            </w:pPr>
            <w:r>
              <w:rPr>
                <w:rFonts w:ascii="Arial" w:cs="Arial" w:eastAsia="Arial" w:hAnsi="Arial"/>
                <w:sz w:val="16"/>
                <w:szCs w:val="16"/>
                <w:color w:val="auto"/>
              </w:rPr>
              <w:t>•  We have an independent Chairman and all directors are independent, other than our CEO.</w:t>
            </w:r>
          </w:p>
        </w:tc>
        <w:tc>
          <w:tcPr>
            <w:tcW w:w="0" w:type="dxa"/>
            <w:vAlign w:val="bottom"/>
          </w:tcPr>
          <w:p>
            <w:pPr>
              <w:spacing w:after="0"/>
              <w:rPr>
                <w:sz w:val="1"/>
                <w:szCs w:val="1"/>
                <w:color w:val="auto"/>
              </w:rPr>
            </w:pPr>
          </w:p>
        </w:tc>
      </w:tr>
      <w:tr>
        <w:trPr>
          <w:trHeight w:val="261"/>
        </w:trPr>
        <w:tc>
          <w:tcPr>
            <w:tcW w:w="2100" w:type="dxa"/>
            <w:vAlign w:val="bottom"/>
            <w:tcBorders>
              <w:left w:val="single" w:sz="8" w:color="auto"/>
              <w:bottom w:val="single" w:sz="8" w:color="32406B"/>
              <w:right w:val="single" w:sz="8" w:color="auto"/>
            </w:tcBorders>
            <w:shd w:val="clear" w:color="auto" w:fill="32406B"/>
          </w:tcPr>
          <w:p>
            <w:pPr>
              <w:ind w:left="140"/>
              <w:spacing w:after="0"/>
              <w:rPr>
                <w:sz w:val="20"/>
                <w:szCs w:val="20"/>
                <w:color w:val="auto"/>
              </w:rPr>
            </w:pPr>
            <w:r>
              <w:rPr>
                <w:rFonts w:ascii="Arial" w:cs="Arial" w:eastAsia="Arial" w:hAnsi="Arial"/>
                <w:sz w:val="16"/>
                <w:szCs w:val="16"/>
                <w:b w:val="1"/>
                <w:bCs w:val="1"/>
                <w:color w:val="FFFFFF"/>
              </w:rPr>
              <w:t>Chair/Directors</w:t>
            </w:r>
          </w:p>
        </w:tc>
        <w:tc>
          <w:tcPr>
            <w:tcW w:w="89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2100" w:type="dxa"/>
            <w:vAlign w:val="bottom"/>
            <w:tcBorders>
              <w:top w:val="single" w:sz="8" w:color="auto"/>
              <w:left w:val="single" w:sz="8" w:color="auto"/>
              <w:right w:val="single" w:sz="8" w:color="auto"/>
            </w:tcBorders>
            <w:shd w:val="clear" w:color="auto" w:fill="32406B"/>
          </w:tcPr>
          <w:p>
            <w:pPr>
              <w:ind w:left="140"/>
              <w:spacing w:after="0"/>
              <w:rPr>
                <w:sz w:val="20"/>
                <w:szCs w:val="20"/>
                <w:color w:val="auto"/>
              </w:rPr>
            </w:pPr>
            <w:r>
              <w:rPr>
                <w:rFonts w:ascii="Arial" w:cs="Arial" w:eastAsia="Arial" w:hAnsi="Arial"/>
                <w:sz w:val="16"/>
                <w:szCs w:val="16"/>
                <w:b w:val="1"/>
                <w:bCs w:val="1"/>
                <w:color w:val="FFFFFF"/>
              </w:rPr>
              <w:t>New Finance Committee</w:t>
            </w:r>
          </w:p>
        </w:tc>
        <w:tc>
          <w:tcPr>
            <w:tcW w:w="8920" w:type="dxa"/>
            <w:vAlign w:val="bottom"/>
            <w:tcBorders>
              <w:top w:val="single" w:sz="8" w:color="auto"/>
              <w:right w:val="single" w:sz="8" w:color="auto"/>
            </w:tcBorders>
          </w:tcPr>
          <w:p>
            <w:pPr>
              <w:ind w:left="640"/>
              <w:spacing w:after="0"/>
              <w:rPr>
                <w:sz w:val="20"/>
                <w:szCs w:val="20"/>
                <w:color w:val="auto"/>
              </w:rPr>
            </w:pPr>
            <w:r>
              <w:rPr>
                <w:rFonts w:ascii="Arial" w:cs="Arial" w:eastAsia="Arial" w:hAnsi="Arial"/>
                <w:sz w:val="16"/>
                <w:szCs w:val="16"/>
                <w:color w:val="auto"/>
              </w:rPr>
              <w:t>•  The Board plans to establish a new Finance Committee effective May 2018.</w:t>
            </w:r>
          </w:p>
        </w:tc>
        <w:tc>
          <w:tcPr>
            <w:tcW w:w="0" w:type="dxa"/>
            <w:vAlign w:val="bottom"/>
          </w:tcPr>
          <w:p>
            <w:pPr>
              <w:spacing w:after="0"/>
              <w:rPr>
                <w:sz w:val="1"/>
                <w:szCs w:val="1"/>
                <w:color w:val="auto"/>
              </w:rPr>
            </w:pPr>
          </w:p>
        </w:tc>
      </w:tr>
      <w:tr>
        <w:trPr>
          <w:trHeight w:val="264"/>
        </w:trPr>
        <w:tc>
          <w:tcPr>
            <w:tcW w:w="2100" w:type="dxa"/>
            <w:vAlign w:val="bottom"/>
            <w:tcBorders>
              <w:left w:val="single" w:sz="8" w:color="auto"/>
              <w:right w:val="single" w:sz="8" w:color="auto"/>
            </w:tcBorders>
            <w:shd w:val="clear" w:color="auto" w:fill="32406B"/>
          </w:tcPr>
          <w:p>
            <w:pPr>
              <w:spacing w:after="0"/>
              <w:rPr>
                <w:sz w:val="22"/>
                <w:szCs w:val="22"/>
                <w:color w:val="auto"/>
              </w:rPr>
            </w:pPr>
          </w:p>
        </w:tc>
        <w:tc>
          <w:tcPr>
            <w:tcW w:w="8920" w:type="dxa"/>
            <w:vAlign w:val="bottom"/>
            <w:tcBorders>
              <w:right w:val="single" w:sz="8" w:color="auto"/>
            </w:tcBorders>
          </w:tcPr>
          <w:p>
            <w:pPr>
              <w:ind w:left="640"/>
              <w:spacing w:after="0"/>
              <w:rPr>
                <w:sz w:val="20"/>
                <w:szCs w:val="20"/>
                <w:color w:val="auto"/>
              </w:rPr>
            </w:pPr>
            <w:r>
              <w:rPr>
                <w:rFonts w:ascii="Arial" w:cs="Arial" w:eastAsia="Arial" w:hAnsi="Arial"/>
                <w:sz w:val="16"/>
                <w:szCs w:val="16"/>
                <w:color w:val="auto"/>
              </w:rPr>
              <w:t>•  The Finance Committee will assist the Board in overseeing policies, practices, strategies and risks relating to</w:t>
            </w:r>
          </w:p>
        </w:tc>
        <w:tc>
          <w:tcPr>
            <w:tcW w:w="0" w:type="dxa"/>
            <w:vAlign w:val="bottom"/>
          </w:tcPr>
          <w:p>
            <w:pPr>
              <w:spacing w:after="0"/>
              <w:rPr>
                <w:sz w:val="1"/>
                <w:szCs w:val="1"/>
                <w:color w:val="auto"/>
              </w:rPr>
            </w:pPr>
          </w:p>
        </w:tc>
      </w:tr>
      <w:tr>
        <w:trPr>
          <w:trHeight w:val="189"/>
        </w:trPr>
        <w:tc>
          <w:tcPr>
            <w:tcW w:w="2100" w:type="dxa"/>
            <w:vAlign w:val="bottom"/>
            <w:tcBorders>
              <w:left w:val="single" w:sz="8" w:color="auto"/>
              <w:right w:val="single" w:sz="8" w:color="auto"/>
            </w:tcBorders>
            <w:shd w:val="clear" w:color="auto" w:fill="32406B"/>
          </w:tcPr>
          <w:p>
            <w:pPr>
              <w:spacing w:after="0"/>
              <w:rPr>
                <w:sz w:val="16"/>
                <w:szCs w:val="16"/>
                <w:color w:val="auto"/>
              </w:rPr>
            </w:pPr>
          </w:p>
        </w:tc>
        <w:tc>
          <w:tcPr>
            <w:tcW w:w="8920" w:type="dxa"/>
            <w:vAlign w:val="bottom"/>
            <w:tcBorders>
              <w:right w:val="single" w:sz="8" w:color="auto"/>
            </w:tcBorders>
          </w:tcPr>
          <w:p>
            <w:pPr>
              <w:ind w:left="820"/>
              <w:spacing w:after="0"/>
              <w:rPr>
                <w:sz w:val="20"/>
                <w:szCs w:val="20"/>
                <w:color w:val="auto"/>
              </w:rPr>
            </w:pPr>
            <w:r>
              <w:rPr>
                <w:rFonts w:ascii="Arial" w:cs="Arial" w:eastAsia="Arial" w:hAnsi="Arial"/>
                <w:sz w:val="16"/>
                <w:szCs w:val="16"/>
                <w:color w:val="auto"/>
              </w:rPr>
              <w:t>our financial affairs, including with respect to capital allocation, M&amp;A, global treasury activities, insured risk</w:t>
            </w:r>
          </w:p>
        </w:tc>
        <w:tc>
          <w:tcPr>
            <w:tcW w:w="0" w:type="dxa"/>
            <w:vAlign w:val="bottom"/>
          </w:tcPr>
          <w:p>
            <w:pPr>
              <w:spacing w:after="0"/>
              <w:rPr>
                <w:sz w:val="1"/>
                <w:szCs w:val="1"/>
                <w:color w:val="auto"/>
              </w:rPr>
            </w:pPr>
          </w:p>
        </w:tc>
      </w:tr>
      <w:tr>
        <w:trPr>
          <w:trHeight w:val="194"/>
        </w:trPr>
        <w:tc>
          <w:tcPr>
            <w:tcW w:w="2100" w:type="dxa"/>
            <w:vAlign w:val="bottom"/>
            <w:tcBorders>
              <w:left w:val="single" w:sz="8" w:color="auto"/>
              <w:right w:val="single" w:sz="8" w:color="auto"/>
            </w:tcBorders>
            <w:shd w:val="clear" w:color="auto" w:fill="32406B"/>
          </w:tcPr>
          <w:p>
            <w:pPr>
              <w:spacing w:after="0"/>
              <w:rPr>
                <w:sz w:val="16"/>
                <w:szCs w:val="16"/>
                <w:color w:val="auto"/>
              </w:rPr>
            </w:pPr>
          </w:p>
        </w:tc>
        <w:tc>
          <w:tcPr>
            <w:tcW w:w="8920" w:type="dxa"/>
            <w:vAlign w:val="bottom"/>
            <w:tcBorders>
              <w:right w:val="single" w:sz="8" w:color="auto"/>
            </w:tcBorders>
          </w:tcPr>
          <w:p>
            <w:pPr>
              <w:ind w:left="820"/>
              <w:spacing w:after="0"/>
              <w:rPr>
                <w:sz w:val="20"/>
                <w:szCs w:val="20"/>
                <w:color w:val="auto"/>
              </w:rPr>
            </w:pPr>
            <w:r>
              <w:rPr>
                <w:rFonts w:ascii="Arial" w:cs="Arial" w:eastAsia="Arial" w:hAnsi="Arial"/>
                <w:sz w:val="16"/>
                <w:szCs w:val="16"/>
                <w:color w:val="auto"/>
              </w:rPr>
              <w:t>management and tax planning.</w:t>
            </w:r>
          </w:p>
        </w:tc>
        <w:tc>
          <w:tcPr>
            <w:tcW w:w="0" w:type="dxa"/>
            <w:vAlign w:val="bottom"/>
          </w:tcPr>
          <w:p>
            <w:pPr>
              <w:spacing w:after="0"/>
              <w:rPr>
                <w:sz w:val="1"/>
                <w:szCs w:val="1"/>
                <w:color w:val="auto"/>
              </w:rPr>
            </w:pPr>
          </w:p>
        </w:tc>
      </w:tr>
      <w:tr>
        <w:trPr>
          <w:trHeight w:val="87"/>
        </w:trPr>
        <w:tc>
          <w:tcPr>
            <w:tcW w:w="2100" w:type="dxa"/>
            <w:vAlign w:val="bottom"/>
            <w:tcBorders>
              <w:left w:val="single" w:sz="8" w:color="auto"/>
              <w:bottom w:val="single" w:sz="8" w:color="auto"/>
              <w:right w:val="single" w:sz="8" w:color="auto"/>
            </w:tcBorders>
            <w:shd w:val="clear" w:color="auto" w:fill="32406B"/>
          </w:tcPr>
          <w:p>
            <w:pPr>
              <w:spacing w:after="0"/>
              <w:rPr>
                <w:sz w:val="7"/>
                <w:szCs w:val="7"/>
                <w:color w:val="auto"/>
              </w:rPr>
            </w:pPr>
          </w:p>
        </w:tc>
        <w:tc>
          <w:tcPr>
            <w:tcW w:w="89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100" w:type="dxa"/>
            <w:vAlign w:val="bottom"/>
            <w:tcBorders>
              <w:left w:val="single" w:sz="8" w:color="auto"/>
              <w:right w:val="single" w:sz="8" w:color="auto"/>
            </w:tcBorders>
            <w:shd w:val="clear" w:color="auto" w:fill="32406B"/>
          </w:tcPr>
          <w:p>
            <w:pPr>
              <w:ind w:left="140"/>
              <w:spacing w:after="0"/>
              <w:rPr>
                <w:sz w:val="20"/>
                <w:szCs w:val="20"/>
                <w:color w:val="auto"/>
              </w:rPr>
            </w:pPr>
            <w:r>
              <w:rPr>
                <w:rFonts w:ascii="Arial" w:cs="Arial" w:eastAsia="Arial" w:hAnsi="Arial"/>
                <w:sz w:val="16"/>
                <w:szCs w:val="16"/>
                <w:b w:val="1"/>
                <w:bCs w:val="1"/>
                <w:color w:val="FFFFFF"/>
              </w:rPr>
              <w:t>Board Committee</w:t>
            </w:r>
          </w:p>
        </w:tc>
        <w:tc>
          <w:tcPr>
            <w:tcW w:w="8920" w:type="dxa"/>
            <w:vAlign w:val="bottom"/>
            <w:tcBorders>
              <w:right w:val="single" w:sz="8" w:color="auto"/>
            </w:tcBorders>
          </w:tcPr>
          <w:p>
            <w:pPr>
              <w:ind w:left="640"/>
              <w:spacing w:after="0"/>
              <w:rPr>
                <w:sz w:val="20"/>
                <w:szCs w:val="20"/>
                <w:color w:val="auto"/>
              </w:rPr>
            </w:pPr>
            <w:r>
              <w:rPr>
                <w:rFonts w:ascii="Arial" w:cs="Arial" w:eastAsia="Arial" w:hAnsi="Arial"/>
                <w:sz w:val="16"/>
                <w:szCs w:val="16"/>
                <w:color w:val="auto"/>
              </w:rPr>
              <w:t>•  Our Board periodically reviews committee composition and chair positions, seeking the appropriate blend of</w:t>
            </w:r>
          </w:p>
        </w:tc>
        <w:tc>
          <w:tcPr>
            <w:tcW w:w="0" w:type="dxa"/>
            <w:vAlign w:val="bottom"/>
          </w:tcPr>
          <w:p>
            <w:pPr>
              <w:spacing w:after="0"/>
              <w:rPr>
                <w:sz w:val="1"/>
                <w:szCs w:val="1"/>
                <w:color w:val="auto"/>
              </w:rPr>
            </w:pPr>
          </w:p>
        </w:tc>
      </w:tr>
      <w:tr>
        <w:trPr>
          <w:trHeight w:val="209"/>
        </w:trPr>
        <w:tc>
          <w:tcPr>
            <w:tcW w:w="2100" w:type="dxa"/>
            <w:vAlign w:val="bottom"/>
            <w:tcBorders>
              <w:left w:val="single" w:sz="8" w:color="auto"/>
              <w:right w:val="single" w:sz="8" w:color="auto"/>
            </w:tcBorders>
            <w:shd w:val="clear" w:color="auto" w:fill="32406B"/>
          </w:tcPr>
          <w:p>
            <w:pPr>
              <w:ind w:left="140"/>
              <w:spacing w:after="0"/>
              <w:rPr>
                <w:sz w:val="20"/>
                <w:szCs w:val="20"/>
                <w:color w:val="auto"/>
              </w:rPr>
            </w:pPr>
            <w:r>
              <w:rPr>
                <w:rFonts w:ascii="Arial" w:cs="Arial" w:eastAsia="Arial" w:hAnsi="Arial"/>
                <w:sz w:val="16"/>
                <w:szCs w:val="16"/>
                <w:b w:val="1"/>
                <w:bCs w:val="1"/>
                <w:color w:val="FFFFFF"/>
              </w:rPr>
              <w:t>Refreshment</w:t>
            </w:r>
          </w:p>
        </w:tc>
        <w:tc>
          <w:tcPr>
            <w:tcW w:w="8920" w:type="dxa"/>
            <w:vAlign w:val="bottom"/>
            <w:tcBorders>
              <w:right w:val="single" w:sz="8" w:color="auto"/>
            </w:tcBorders>
          </w:tcPr>
          <w:p>
            <w:pPr>
              <w:ind w:left="820"/>
              <w:spacing w:after="0"/>
              <w:rPr>
                <w:sz w:val="20"/>
                <w:szCs w:val="20"/>
                <w:color w:val="auto"/>
              </w:rPr>
            </w:pPr>
            <w:r>
              <w:rPr>
                <w:rFonts w:ascii="Arial" w:cs="Arial" w:eastAsia="Arial" w:hAnsi="Arial"/>
                <w:sz w:val="16"/>
                <w:szCs w:val="16"/>
                <w:color w:val="auto"/>
              </w:rPr>
              <w:t>continuity and fresh perspectives on committees. Prior to the first meeting of the Finance Committee, we will</w:t>
            </w:r>
          </w:p>
        </w:tc>
        <w:tc>
          <w:tcPr>
            <w:tcW w:w="0" w:type="dxa"/>
            <w:vAlign w:val="bottom"/>
          </w:tcPr>
          <w:p>
            <w:pPr>
              <w:spacing w:after="0"/>
              <w:rPr>
                <w:sz w:val="1"/>
                <w:szCs w:val="1"/>
                <w:color w:val="auto"/>
              </w:rPr>
            </w:pPr>
          </w:p>
        </w:tc>
      </w:tr>
      <w:tr>
        <w:trPr>
          <w:trHeight w:val="194"/>
        </w:trPr>
        <w:tc>
          <w:tcPr>
            <w:tcW w:w="2100" w:type="dxa"/>
            <w:vAlign w:val="bottom"/>
            <w:tcBorders>
              <w:left w:val="single" w:sz="8" w:color="auto"/>
              <w:right w:val="single" w:sz="8" w:color="auto"/>
            </w:tcBorders>
            <w:shd w:val="clear" w:color="auto" w:fill="32406B"/>
          </w:tcPr>
          <w:p>
            <w:pPr>
              <w:spacing w:after="0"/>
              <w:rPr>
                <w:sz w:val="16"/>
                <w:szCs w:val="16"/>
                <w:color w:val="auto"/>
              </w:rPr>
            </w:pPr>
          </w:p>
        </w:tc>
        <w:tc>
          <w:tcPr>
            <w:tcW w:w="8920" w:type="dxa"/>
            <w:vAlign w:val="bottom"/>
            <w:tcBorders>
              <w:right w:val="single" w:sz="8" w:color="auto"/>
            </w:tcBorders>
          </w:tcPr>
          <w:p>
            <w:pPr>
              <w:ind w:left="820"/>
              <w:spacing w:after="0"/>
              <w:rPr>
                <w:sz w:val="20"/>
                <w:szCs w:val="20"/>
                <w:color w:val="auto"/>
              </w:rPr>
            </w:pPr>
            <w:r>
              <w:rPr>
                <w:rFonts w:ascii="Arial" w:cs="Arial" w:eastAsia="Arial" w:hAnsi="Arial"/>
                <w:sz w:val="16"/>
                <w:szCs w:val="16"/>
                <w:color w:val="auto"/>
              </w:rPr>
              <w:t>refresh the composition of our standing committees.</w:t>
            </w:r>
          </w:p>
        </w:tc>
        <w:tc>
          <w:tcPr>
            <w:tcW w:w="0" w:type="dxa"/>
            <w:vAlign w:val="bottom"/>
          </w:tcPr>
          <w:p>
            <w:pPr>
              <w:spacing w:after="0"/>
              <w:rPr>
                <w:sz w:val="1"/>
                <w:szCs w:val="1"/>
                <w:color w:val="auto"/>
              </w:rPr>
            </w:pPr>
          </w:p>
        </w:tc>
      </w:tr>
      <w:tr>
        <w:trPr>
          <w:trHeight w:val="87"/>
        </w:trPr>
        <w:tc>
          <w:tcPr>
            <w:tcW w:w="2100" w:type="dxa"/>
            <w:vAlign w:val="bottom"/>
            <w:tcBorders>
              <w:left w:val="single" w:sz="8" w:color="auto"/>
              <w:bottom w:val="single" w:sz="8" w:color="auto"/>
              <w:right w:val="single" w:sz="8" w:color="auto"/>
            </w:tcBorders>
            <w:shd w:val="clear" w:color="auto" w:fill="32406B"/>
          </w:tcPr>
          <w:p>
            <w:pPr>
              <w:spacing w:after="0"/>
              <w:rPr>
                <w:sz w:val="7"/>
                <w:szCs w:val="7"/>
                <w:color w:val="auto"/>
              </w:rPr>
            </w:pPr>
          </w:p>
        </w:tc>
        <w:tc>
          <w:tcPr>
            <w:tcW w:w="89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100" w:type="dxa"/>
            <w:vAlign w:val="bottom"/>
            <w:tcBorders>
              <w:left w:val="single" w:sz="8" w:color="auto"/>
              <w:right w:val="single" w:sz="8" w:color="auto"/>
            </w:tcBorders>
            <w:shd w:val="clear" w:color="auto" w:fill="32406B"/>
          </w:tcPr>
          <w:p>
            <w:pPr>
              <w:ind w:left="140"/>
              <w:spacing w:after="0"/>
              <w:rPr>
                <w:sz w:val="20"/>
                <w:szCs w:val="20"/>
                <w:color w:val="auto"/>
              </w:rPr>
            </w:pPr>
            <w:r>
              <w:rPr>
                <w:rFonts w:ascii="Arial" w:cs="Arial" w:eastAsia="Arial" w:hAnsi="Arial"/>
                <w:sz w:val="16"/>
                <w:szCs w:val="16"/>
                <w:b w:val="1"/>
                <w:bCs w:val="1"/>
                <w:color w:val="FFFFFF"/>
              </w:rPr>
              <w:t>Annual Majority Vote</w:t>
            </w:r>
          </w:p>
        </w:tc>
        <w:tc>
          <w:tcPr>
            <w:tcW w:w="8920" w:type="dxa"/>
            <w:vAlign w:val="bottom"/>
            <w:tcBorders>
              <w:right w:val="single" w:sz="8" w:color="auto"/>
            </w:tcBorders>
          </w:tcPr>
          <w:p>
            <w:pPr>
              <w:ind w:left="640"/>
              <w:spacing w:after="0"/>
              <w:rPr>
                <w:sz w:val="20"/>
                <w:szCs w:val="20"/>
                <w:color w:val="auto"/>
              </w:rPr>
            </w:pPr>
            <w:r>
              <w:rPr>
                <w:rFonts w:ascii="Arial" w:cs="Arial" w:eastAsia="Arial" w:hAnsi="Arial"/>
                <w:sz w:val="16"/>
                <w:szCs w:val="16"/>
                <w:color w:val="auto"/>
              </w:rPr>
              <w:t>•  All of our directors are elected annually by our shareholders.</w:t>
            </w:r>
          </w:p>
        </w:tc>
        <w:tc>
          <w:tcPr>
            <w:tcW w:w="0" w:type="dxa"/>
            <w:vAlign w:val="bottom"/>
          </w:tcPr>
          <w:p>
            <w:pPr>
              <w:spacing w:after="0"/>
              <w:rPr>
                <w:sz w:val="1"/>
                <w:szCs w:val="1"/>
                <w:color w:val="auto"/>
              </w:rPr>
            </w:pPr>
          </w:p>
        </w:tc>
      </w:tr>
      <w:tr>
        <w:trPr>
          <w:trHeight w:val="189"/>
        </w:trPr>
        <w:tc>
          <w:tcPr>
            <w:tcW w:w="2100" w:type="dxa"/>
            <w:vAlign w:val="bottom"/>
            <w:tcBorders>
              <w:left w:val="single" w:sz="8" w:color="auto"/>
              <w:right w:val="single" w:sz="8" w:color="auto"/>
            </w:tcBorders>
            <w:shd w:val="clear" w:color="auto" w:fill="32406B"/>
          </w:tcPr>
          <w:p>
            <w:pPr>
              <w:ind w:left="140"/>
              <w:spacing w:after="0"/>
              <w:rPr>
                <w:sz w:val="20"/>
                <w:szCs w:val="20"/>
                <w:color w:val="auto"/>
              </w:rPr>
            </w:pPr>
            <w:r>
              <w:rPr>
                <w:rFonts w:ascii="Arial" w:cs="Arial" w:eastAsia="Arial" w:hAnsi="Arial"/>
                <w:sz w:val="16"/>
                <w:szCs w:val="16"/>
                <w:b w:val="1"/>
                <w:bCs w:val="1"/>
                <w:color w:val="FFFFFF"/>
              </w:rPr>
              <w:t>Director Elections &amp;</w:t>
            </w:r>
          </w:p>
        </w:tc>
        <w:tc>
          <w:tcPr>
            <w:tcW w:w="8920" w:type="dxa"/>
            <w:vAlign w:val="bottom"/>
            <w:tcBorders>
              <w:right w:val="single" w:sz="8" w:color="auto"/>
            </w:tcBorders>
            <w:vMerge w:val="restart"/>
          </w:tcPr>
          <w:p>
            <w:pPr>
              <w:ind w:left="640"/>
              <w:spacing w:after="0"/>
              <w:rPr>
                <w:sz w:val="20"/>
                <w:szCs w:val="20"/>
                <w:color w:val="auto"/>
              </w:rPr>
            </w:pPr>
            <w:r>
              <w:rPr>
                <w:rFonts w:ascii="Arial" w:cs="Arial" w:eastAsia="Arial" w:hAnsi="Arial"/>
                <w:sz w:val="16"/>
                <w:szCs w:val="16"/>
                <w:color w:val="auto"/>
              </w:rPr>
              <w:t>•  Our directors must receive a majority of the votes cast in uncontested elections to be elected.</w:t>
            </w:r>
          </w:p>
        </w:tc>
        <w:tc>
          <w:tcPr>
            <w:tcW w:w="0" w:type="dxa"/>
            <w:vAlign w:val="bottom"/>
          </w:tcPr>
          <w:p>
            <w:pPr>
              <w:spacing w:after="0"/>
              <w:rPr>
                <w:sz w:val="1"/>
                <w:szCs w:val="1"/>
                <w:color w:val="auto"/>
              </w:rPr>
            </w:pPr>
          </w:p>
        </w:tc>
      </w:tr>
      <w:tr>
        <w:trPr>
          <w:trHeight w:val="107"/>
        </w:trPr>
        <w:tc>
          <w:tcPr>
            <w:tcW w:w="2100" w:type="dxa"/>
            <w:vAlign w:val="bottom"/>
            <w:tcBorders>
              <w:left w:val="single" w:sz="8" w:color="auto"/>
              <w:right w:val="single" w:sz="8" w:color="auto"/>
            </w:tcBorders>
            <w:vMerge w:val="restart"/>
            <w:shd w:val="clear" w:color="auto" w:fill="32406B"/>
          </w:tcPr>
          <w:p>
            <w:pPr>
              <w:ind w:left="140"/>
              <w:spacing w:after="0"/>
              <w:rPr>
                <w:sz w:val="20"/>
                <w:szCs w:val="20"/>
                <w:color w:val="auto"/>
              </w:rPr>
            </w:pPr>
            <w:r>
              <w:rPr>
                <w:rFonts w:ascii="Arial" w:cs="Arial" w:eastAsia="Arial" w:hAnsi="Arial"/>
                <w:sz w:val="16"/>
                <w:szCs w:val="16"/>
                <w:b w:val="1"/>
                <w:bCs w:val="1"/>
                <w:color w:val="FFFFFF"/>
              </w:rPr>
              <w:t>Mandatory Resignation</w:t>
            </w:r>
          </w:p>
        </w:tc>
        <w:tc>
          <w:tcPr>
            <w:tcW w:w="89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2100" w:type="dxa"/>
            <w:vAlign w:val="bottom"/>
            <w:tcBorders>
              <w:left w:val="single" w:sz="8" w:color="auto"/>
              <w:right w:val="single" w:sz="8" w:color="auto"/>
            </w:tcBorders>
            <w:vMerge w:val="continue"/>
            <w:shd w:val="clear" w:color="auto" w:fill="32406B"/>
          </w:tcPr>
          <w:p>
            <w:pPr>
              <w:spacing w:after="0"/>
              <w:rPr>
                <w:sz w:val="7"/>
                <w:szCs w:val="7"/>
                <w:color w:val="auto"/>
              </w:rPr>
            </w:pPr>
          </w:p>
        </w:tc>
        <w:tc>
          <w:tcPr>
            <w:tcW w:w="8920" w:type="dxa"/>
            <w:vAlign w:val="bottom"/>
            <w:tcBorders>
              <w:right w:val="single" w:sz="8" w:color="auto"/>
            </w:tcBorders>
            <w:vMerge w:val="restart"/>
          </w:tcPr>
          <w:p>
            <w:pPr>
              <w:ind w:left="640"/>
              <w:spacing w:after="0"/>
              <w:rPr>
                <w:sz w:val="20"/>
                <w:szCs w:val="20"/>
                <w:color w:val="auto"/>
              </w:rPr>
            </w:pPr>
            <w:r>
              <w:rPr>
                <w:rFonts w:ascii="Arial" w:cs="Arial" w:eastAsia="Arial" w:hAnsi="Arial"/>
                <w:sz w:val="16"/>
                <w:szCs w:val="16"/>
                <w:color w:val="auto"/>
              </w:rPr>
              <w:t>•  We have a director resignation policy that requires a current director to tender his or her resignation to the</w:t>
            </w:r>
          </w:p>
        </w:tc>
        <w:tc>
          <w:tcPr>
            <w:tcW w:w="0" w:type="dxa"/>
            <w:vAlign w:val="bottom"/>
          </w:tcPr>
          <w:p>
            <w:pPr>
              <w:spacing w:after="0"/>
              <w:rPr>
                <w:sz w:val="1"/>
                <w:szCs w:val="1"/>
                <w:color w:val="auto"/>
              </w:rPr>
            </w:pPr>
          </w:p>
        </w:tc>
      </w:tr>
      <w:tr>
        <w:trPr>
          <w:trHeight w:val="182"/>
        </w:trPr>
        <w:tc>
          <w:tcPr>
            <w:tcW w:w="2100" w:type="dxa"/>
            <w:vAlign w:val="bottom"/>
            <w:tcBorders>
              <w:left w:val="single" w:sz="8" w:color="auto"/>
              <w:right w:val="single" w:sz="8" w:color="auto"/>
            </w:tcBorders>
            <w:shd w:val="clear" w:color="auto" w:fill="32406B"/>
          </w:tcPr>
          <w:p>
            <w:pPr>
              <w:ind w:left="140"/>
              <w:spacing w:after="0" w:line="182" w:lineRule="exact"/>
              <w:rPr>
                <w:sz w:val="20"/>
                <w:szCs w:val="20"/>
                <w:color w:val="auto"/>
              </w:rPr>
            </w:pPr>
            <w:r>
              <w:rPr>
                <w:rFonts w:ascii="Arial" w:cs="Arial" w:eastAsia="Arial" w:hAnsi="Arial"/>
                <w:sz w:val="16"/>
                <w:szCs w:val="16"/>
                <w:b w:val="1"/>
                <w:bCs w:val="1"/>
                <w:color w:val="FFFFFF"/>
              </w:rPr>
              <w:t>Policy</w:t>
            </w:r>
          </w:p>
        </w:tc>
        <w:tc>
          <w:tcPr>
            <w:tcW w:w="892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100" w:type="dxa"/>
            <w:vAlign w:val="bottom"/>
            <w:tcBorders>
              <w:left w:val="single" w:sz="8" w:color="auto"/>
              <w:right w:val="single" w:sz="8" w:color="auto"/>
            </w:tcBorders>
            <w:shd w:val="clear" w:color="auto" w:fill="32406B"/>
          </w:tcPr>
          <w:p>
            <w:pPr>
              <w:spacing w:after="0"/>
              <w:rPr>
                <w:sz w:val="16"/>
                <w:szCs w:val="16"/>
                <w:color w:val="auto"/>
              </w:rPr>
            </w:pPr>
          </w:p>
        </w:tc>
        <w:tc>
          <w:tcPr>
            <w:tcW w:w="8920" w:type="dxa"/>
            <w:vAlign w:val="bottom"/>
            <w:tcBorders>
              <w:right w:val="single" w:sz="8" w:color="auto"/>
            </w:tcBorders>
          </w:tcPr>
          <w:p>
            <w:pPr>
              <w:ind w:left="820"/>
              <w:spacing w:after="0"/>
              <w:rPr>
                <w:sz w:val="20"/>
                <w:szCs w:val="20"/>
                <w:color w:val="auto"/>
              </w:rPr>
            </w:pPr>
            <w:r>
              <w:rPr>
                <w:rFonts w:ascii="Arial" w:cs="Arial" w:eastAsia="Arial" w:hAnsi="Arial"/>
                <w:sz w:val="16"/>
                <w:szCs w:val="16"/>
                <w:color w:val="auto"/>
              </w:rPr>
              <w:t>Board if he or she does not receive a majority of the votes cast. The Governance and Nominating Committee</w:t>
            </w:r>
          </w:p>
        </w:tc>
        <w:tc>
          <w:tcPr>
            <w:tcW w:w="0" w:type="dxa"/>
            <w:vAlign w:val="bottom"/>
          </w:tcPr>
          <w:p>
            <w:pPr>
              <w:spacing w:after="0"/>
              <w:rPr>
                <w:sz w:val="1"/>
                <w:szCs w:val="1"/>
                <w:color w:val="auto"/>
              </w:rPr>
            </w:pPr>
          </w:p>
        </w:tc>
      </w:tr>
      <w:tr>
        <w:trPr>
          <w:trHeight w:val="194"/>
        </w:trPr>
        <w:tc>
          <w:tcPr>
            <w:tcW w:w="2100" w:type="dxa"/>
            <w:vAlign w:val="bottom"/>
            <w:tcBorders>
              <w:left w:val="single" w:sz="8" w:color="auto"/>
              <w:right w:val="single" w:sz="8" w:color="auto"/>
            </w:tcBorders>
            <w:shd w:val="clear" w:color="auto" w:fill="32406B"/>
          </w:tcPr>
          <w:p>
            <w:pPr>
              <w:spacing w:after="0"/>
              <w:rPr>
                <w:sz w:val="16"/>
                <w:szCs w:val="16"/>
                <w:color w:val="auto"/>
              </w:rPr>
            </w:pPr>
          </w:p>
        </w:tc>
        <w:tc>
          <w:tcPr>
            <w:tcW w:w="8920" w:type="dxa"/>
            <w:vAlign w:val="bottom"/>
            <w:tcBorders>
              <w:right w:val="single" w:sz="8" w:color="auto"/>
            </w:tcBorders>
          </w:tcPr>
          <w:p>
            <w:pPr>
              <w:ind w:left="820"/>
              <w:spacing w:after="0"/>
              <w:rPr>
                <w:sz w:val="20"/>
                <w:szCs w:val="20"/>
                <w:color w:val="auto"/>
              </w:rPr>
            </w:pPr>
            <w:r>
              <w:rPr>
                <w:rFonts w:ascii="Arial" w:cs="Arial" w:eastAsia="Arial" w:hAnsi="Arial"/>
                <w:sz w:val="16"/>
                <w:szCs w:val="16"/>
                <w:color w:val="auto"/>
              </w:rPr>
              <w:t>will recommend to the full Board whether to accept the resignation or whether to take other action.</w:t>
            </w:r>
          </w:p>
        </w:tc>
        <w:tc>
          <w:tcPr>
            <w:tcW w:w="0" w:type="dxa"/>
            <w:vAlign w:val="bottom"/>
          </w:tcPr>
          <w:p>
            <w:pPr>
              <w:spacing w:after="0"/>
              <w:rPr>
                <w:sz w:val="1"/>
                <w:szCs w:val="1"/>
                <w:color w:val="auto"/>
              </w:rPr>
            </w:pPr>
          </w:p>
        </w:tc>
      </w:tr>
      <w:tr>
        <w:trPr>
          <w:trHeight w:val="87"/>
        </w:trPr>
        <w:tc>
          <w:tcPr>
            <w:tcW w:w="2100" w:type="dxa"/>
            <w:vAlign w:val="bottom"/>
            <w:tcBorders>
              <w:left w:val="single" w:sz="8" w:color="auto"/>
              <w:bottom w:val="single" w:sz="8" w:color="auto"/>
              <w:right w:val="single" w:sz="8" w:color="auto"/>
            </w:tcBorders>
            <w:shd w:val="clear" w:color="auto" w:fill="32406B"/>
          </w:tcPr>
          <w:p>
            <w:pPr>
              <w:spacing w:after="0"/>
              <w:rPr>
                <w:sz w:val="7"/>
                <w:szCs w:val="7"/>
                <w:color w:val="auto"/>
              </w:rPr>
            </w:pPr>
          </w:p>
        </w:tc>
        <w:tc>
          <w:tcPr>
            <w:tcW w:w="89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8"/>
        </w:trPr>
        <w:tc>
          <w:tcPr>
            <w:tcW w:w="2100" w:type="dxa"/>
            <w:vAlign w:val="bottom"/>
            <w:tcBorders>
              <w:left w:val="single" w:sz="8" w:color="auto"/>
              <w:right w:val="single" w:sz="8" w:color="auto"/>
            </w:tcBorders>
            <w:shd w:val="clear" w:color="auto" w:fill="32406B"/>
          </w:tcPr>
          <w:p>
            <w:pPr>
              <w:ind w:left="140"/>
              <w:spacing w:after="0"/>
              <w:rPr>
                <w:sz w:val="20"/>
                <w:szCs w:val="20"/>
                <w:color w:val="auto"/>
              </w:rPr>
            </w:pPr>
            <w:r>
              <w:rPr>
                <w:rFonts w:ascii="Arial" w:cs="Arial" w:eastAsia="Arial" w:hAnsi="Arial"/>
                <w:sz w:val="16"/>
                <w:szCs w:val="16"/>
                <w:b w:val="1"/>
                <w:bCs w:val="1"/>
                <w:color w:val="FFFFFF"/>
              </w:rPr>
              <w:t>Proxy Access</w:t>
            </w:r>
          </w:p>
        </w:tc>
        <w:tc>
          <w:tcPr>
            <w:tcW w:w="8920" w:type="dxa"/>
            <w:vAlign w:val="bottom"/>
            <w:tcBorders>
              <w:right w:val="single" w:sz="8" w:color="auto"/>
            </w:tcBorders>
          </w:tcPr>
          <w:p>
            <w:pPr>
              <w:ind w:left="640"/>
              <w:spacing w:after="0"/>
              <w:rPr>
                <w:sz w:val="20"/>
                <w:szCs w:val="20"/>
                <w:color w:val="auto"/>
              </w:rPr>
            </w:pPr>
            <w:r>
              <w:rPr>
                <w:rFonts w:ascii="Arial" w:cs="Arial" w:eastAsia="Arial" w:hAnsi="Arial"/>
                <w:sz w:val="16"/>
                <w:szCs w:val="16"/>
                <w:color w:val="auto"/>
              </w:rPr>
              <w:t>•  Our by-laws permit a shareholder or a group of up to 20 shareholders owning 3% or more of our outstanding</w:t>
            </w:r>
          </w:p>
        </w:tc>
        <w:tc>
          <w:tcPr>
            <w:tcW w:w="0" w:type="dxa"/>
            <w:vAlign w:val="bottom"/>
          </w:tcPr>
          <w:p>
            <w:pPr>
              <w:spacing w:after="0"/>
              <w:rPr>
                <w:sz w:val="1"/>
                <w:szCs w:val="1"/>
                <w:color w:val="auto"/>
              </w:rPr>
            </w:pPr>
          </w:p>
        </w:tc>
      </w:tr>
      <w:tr>
        <w:trPr>
          <w:trHeight w:val="189"/>
        </w:trPr>
        <w:tc>
          <w:tcPr>
            <w:tcW w:w="2100" w:type="dxa"/>
            <w:vAlign w:val="bottom"/>
            <w:tcBorders>
              <w:left w:val="single" w:sz="8" w:color="auto"/>
              <w:right w:val="single" w:sz="8" w:color="auto"/>
            </w:tcBorders>
            <w:shd w:val="clear" w:color="auto" w:fill="32406B"/>
          </w:tcPr>
          <w:p>
            <w:pPr>
              <w:spacing w:after="0"/>
              <w:rPr>
                <w:sz w:val="16"/>
                <w:szCs w:val="16"/>
                <w:color w:val="auto"/>
              </w:rPr>
            </w:pPr>
          </w:p>
        </w:tc>
        <w:tc>
          <w:tcPr>
            <w:tcW w:w="8920" w:type="dxa"/>
            <w:vAlign w:val="bottom"/>
            <w:tcBorders>
              <w:right w:val="single" w:sz="8" w:color="auto"/>
            </w:tcBorders>
          </w:tcPr>
          <w:p>
            <w:pPr>
              <w:ind w:left="820"/>
              <w:spacing w:after="0"/>
              <w:rPr>
                <w:sz w:val="20"/>
                <w:szCs w:val="20"/>
                <w:color w:val="auto"/>
              </w:rPr>
            </w:pPr>
            <w:r>
              <w:rPr>
                <w:rFonts w:ascii="Arial" w:cs="Arial" w:eastAsia="Arial" w:hAnsi="Arial"/>
                <w:sz w:val="16"/>
                <w:szCs w:val="16"/>
                <w:color w:val="auto"/>
              </w:rPr>
              <w:t>common stock continuously for at least three years to nominate and include in our proxy materials director</w:t>
            </w:r>
          </w:p>
        </w:tc>
        <w:tc>
          <w:tcPr>
            <w:tcW w:w="0" w:type="dxa"/>
            <w:vAlign w:val="bottom"/>
          </w:tcPr>
          <w:p>
            <w:pPr>
              <w:spacing w:after="0"/>
              <w:rPr>
                <w:sz w:val="1"/>
                <w:szCs w:val="1"/>
                <w:color w:val="auto"/>
              </w:rPr>
            </w:pPr>
          </w:p>
        </w:tc>
      </w:tr>
      <w:tr>
        <w:trPr>
          <w:trHeight w:val="189"/>
        </w:trPr>
        <w:tc>
          <w:tcPr>
            <w:tcW w:w="2100" w:type="dxa"/>
            <w:vAlign w:val="bottom"/>
            <w:tcBorders>
              <w:left w:val="single" w:sz="8" w:color="auto"/>
              <w:right w:val="single" w:sz="8" w:color="auto"/>
            </w:tcBorders>
            <w:shd w:val="clear" w:color="auto" w:fill="32406B"/>
          </w:tcPr>
          <w:p>
            <w:pPr>
              <w:spacing w:after="0"/>
              <w:rPr>
                <w:sz w:val="16"/>
                <w:szCs w:val="16"/>
                <w:color w:val="auto"/>
              </w:rPr>
            </w:pPr>
          </w:p>
        </w:tc>
        <w:tc>
          <w:tcPr>
            <w:tcW w:w="8920" w:type="dxa"/>
            <w:vAlign w:val="bottom"/>
            <w:tcBorders>
              <w:right w:val="single" w:sz="8" w:color="auto"/>
            </w:tcBorders>
          </w:tcPr>
          <w:p>
            <w:pPr>
              <w:ind w:left="820"/>
              <w:spacing w:after="0"/>
              <w:rPr>
                <w:sz w:val="20"/>
                <w:szCs w:val="20"/>
                <w:color w:val="auto"/>
              </w:rPr>
            </w:pPr>
            <w:r>
              <w:rPr>
                <w:rFonts w:ascii="Arial" w:cs="Arial" w:eastAsia="Arial" w:hAnsi="Arial"/>
                <w:sz w:val="16"/>
                <w:szCs w:val="16"/>
                <w:color w:val="auto"/>
              </w:rPr>
              <w:t>candidates constituting up to the greater of two individuals or 20% of the Board, provided that the shareholder(s)</w:t>
            </w:r>
          </w:p>
        </w:tc>
        <w:tc>
          <w:tcPr>
            <w:tcW w:w="0" w:type="dxa"/>
            <w:vAlign w:val="bottom"/>
          </w:tcPr>
          <w:p>
            <w:pPr>
              <w:spacing w:after="0"/>
              <w:rPr>
                <w:sz w:val="1"/>
                <w:szCs w:val="1"/>
                <w:color w:val="auto"/>
              </w:rPr>
            </w:pPr>
          </w:p>
        </w:tc>
      </w:tr>
      <w:tr>
        <w:trPr>
          <w:trHeight w:val="194"/>
        </w:trPr>
        <w:tc>
          <w:tcPr>
            <w:tcW w:w="2100" w:type="dxa"/>
            <w:vAlign w:val="bottom"/>
            <w:tcBorders>
              <w:left w:val="single" w:sz="8" w:color="auto"/>
              <w:right w:val="single" w:sz="8" w:color="auto"/>
            </w:tcBorders>
            <w:shd w:val="clear" w:color="auto" w:fill="32406B"/>
          </w:tcPr>
          <w:p>
            <w:pPr>
              <w:spacing w:after="0"/>
              <w:rPr>
                <w:sz w:val="16"/>
                <w:szCs w:val="16"/>
                <w:color w:val="auto"/>
              </w:rPr>
            </w:pPr>
          </w:p>
        </w:tc>
        <w:tc>
          <w:tcPr>
            <w:tcW w:w="8920" w:type="dxa"/>
            <w:vAlign w:val="bottom"/>
            <w:tcBorders>
              <w:right w:val="single" w:sz="8" w:color="auto"/>
            </w:tcBorders>
          </w:tcPr>
          <w:p>
            <w:pPr>
              <w:ind w:left="820"/>
              <w:spacing w:after="0"/>
              <w:rPr>
                <w:sz w:val="20"/>
                <w:szCs w:val="20"/>
                <w:color w:val="auto"/>
              </w:rPr>
            </w:pPr>
            <w:r>
              <w:rPr>
                <w:rFonts w:ascii="Arial" w:cs="Arial" w:eastAsia="Arial" w:hAnsi="Arial"/>
                <w:sz w:val="16"/>
                <w:szCs w:val="16"/>
                <w:color w:val="auto"/>
              </w:rPr>
              <w:t>and the nominee(s) satisfy the requirements specified in our by-laws.</w:t>
            </w:r>
          </w:p>
        </w:tc>
        <w:tc>
          <w:tcPr>
            <w:tcW w:w="0" w:type="dxa"/>
            <w:vAlign w:val="bottom"/>
          </w:tcPr>
          <w:p>
            <w:pPr>
              <w:spacing w:after="0"/>
              <w:rPr>
                <w:sz w:val="1"/>
                <w:szCs w:val="1"/>
                <w:color w:val="auto"/>
              </w:rPr>
            </w:pPr>
          </w:p>
        </w:tc>
      </w:tr>
      <w:tr>
        <w:trPr>
          <w:trHeight w:val="87"/>
        </w:trPr>
        <w:tc>
          <w:tcPr>
            <w:tcW w:w="2100" w:type="dxa"/>
            <w:vAlign w:val="bottom"/>
            <w:tcBorders>
              <w:left w:val="single" w:sz="8" w:color="auto"/>
              <w:bottom w:val="single" w:sz="8" w:color="auto"/>
              <w:right w:val="single" w:sz="8" w:color="auto"/>
            </w:tcBorders>
            <w:shd w:val="clear" w:color="auto" w:fill="32406B"/>
          </w:tcPr>
          <w:p>
            <w:pPr>
              <w:spacing w:after="0"/>
              <w:rPr>
                <w:sz w:val="7"/>
                <w:szCs w:val="7"/>
                <w:color w:val="auto"/>
              </w:rPr>
            </w:pPr>
          </w:p>
        </w:tc>
        <w:tc>
          <w:tcPr>
            <w:tcW w:w="89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100" w:type="dxa"/>
            <w:vAlign w:val="bottom"/>
            <w:tcBorders>
              <w:left w:val="single" w:sz="8" w:color="auto"/>
              <w:right w:val="single" w:sz="8" w:color="auto"/>
            </w:tcBorders>
            <w:shd w:val="clear" w:color="auto" w:fill="32406B"/>
          </w:tcPr>
          <w:p>
            <w:pPr>
              <w:ind w:left="140"/>
              <w:spacing w:after="0"/>
              <w:rPr>
                <w:sz w:val="20"/>
                <w:szCs w:val="20"/>
                <w:color w:val="auto"/>
              </w:rPr>
            </w:pPr>
            <w:r>
              <w:rPr>
                <w:rFonts w:ascii="Arial" w:cs="Arial" w:eastAsia="Arial" w:hAnsi="Arial"/>
                <w:sz w:val="16"/>
                <w:szCs w:val="16"/>
                <w:b w:val="1"/>
                <w:bCs w:val="1"/>
                <w:color w:val="FFFFFF"/>
              </w:rPr>
              <w:t>Special Shareholder</w:t>
            </w:r>
          </w:p>
        </w:tc>
        <w:tc>
          <w:tcPr>
            <w:tcW w:w="8920" w:type="dxa"/>
            <w:vAlign w:val="bottom"/>
            <w:tcBorders>
              <w:right w:val="single" w:sz="8" w:color="auto"/>
            </w:tcBorders>
          </w:tcPr>
          <w:p>
            <w:pPr>
              <w:ind w:left="640"/>
              <w:spacing w:after="0"/>
              <w:rPr>
                <w:sz w:val="20"/>
                <w:szCs w:val="20"/>
                <w:color w:val="auto"/>
              </w:rPr>
            </w:pPr>
            <w:r>
              <w:rPr>
                <w:rFonts w:ascii="Arial" w:cs="Arial" w:eastAsia="Arial" w:hAnsi="Arial"/>
                <w:sz w:val="16"/>
                <w:szCs w:val="16"/>
                <w:color w:val="auto"/>
              </w:rPr>
              <w:t>•  Our by-laws provide that shareholders who hold 25% or more of our outstanding stock may call a special</w:t>
            </w:r>
          </w:p>
        </w:tc>
        <w:tc>
          <w:tcPr>
            <w:tcW w:w="0" w:type="dxa"/>
            <w:vAlign w:val="bottom"/>
          </w:tcPr>
          <w:p>
            <w:pPr>
              <w:spacing w:after="0"/>
              <w:rPr>
                <w:sz w:val="1"/>
                <w:szCs w:val="1"/>
                <w:color w:val="auto"/>
              </w:rPr>
            </w:pPr>
          </w:p>
        </w:tc>
      </w:tr>
      <w:tr>
        <w:trPr>
          <w:trHeight w:val="214"/>
        </w:trPr>
        <w:tc>
          <w:tcPr>
            <w:tcW w:w="2100" w:type="dxa"/>
            <w:vAlign w:val="bottom"/>
            <w:tcBorders>
              <w:left w:val="single" w:sz="8" w:color="auto"/>
              <w:right w:val="single" w:sz="8" w:color="auto"/>
            </w:tcBorders>
            <w:shd w:val="clear" w:color="auto" w:fill="32406B"/>
          </w:tcPr>
          <w:p>
            <w:pPr>
              <w:ind w:left="140"/>
              <w:spacing w:after="0"/>
              <w:rPr>
                <w:sz w:val="20"/>
                <w:szCs w:val="20"/>
                <w:color w:val="auto"/>
              </w:rPr>
            </w:pPr>
            <w:r>
              <w:rPr>
                <w:rFonts w:ascii="Arial" w:cs="Arial" w:eastAsia="Arial" w:hAnsi="Arial"/>
                <w:sz w:val="16"/>
                <w:szCs w:val="16"/>
                <w:b w:val="1"/>
                <w:bCs w:val="1"/>
                <w:color w:val="FFFFFF"/>
              </w:rPr>
              <w:t>Meetings</w:t>
            </w:r>
          </w:p>
        </w:tc>
        <w:tc>
          <w:tcPr>
            <w:tcW w:w="8920" w:type="dxa"/>
            <w:vAlign w:val="bottom"/>
            <w:tcBorders>
              <w:right w:val="single" w:sz="8" w:color="auto"/>
            </w:tcBorders>
          </w:tcPr>
          <w:p>
            <w:pPr>
              <w:ind w:left="820"/>
              <w:spacing w:after="0"/>
              <w:rPr>
                <w:sz w:val="20"/>
                <w:szCs w:val="20"/>
                <w:color w:val="auto"/>
              </w:rPr>
            </w:pPr>
            <w:r>
              <w:rPr>
                <w:rFonts w:ascii="Arial" w:cs="Arial" w:eastAsia="Arial" w:hAnsi="Arial"/>
                <w:sz w:val="16"/>
                <w:szCs w:val="16"/>
                <w:color w:val="auto"/>
              </w:rPr>
              <w:t>meeting of shareholders.</w:t>
            </w:r>
          </w:p>
        </w:tc>
        <w:tc>
          <w:tcPr>
            <w:tcW w:w="0" w:type="dxa"/>
            <w:vAlign w:val="bottom"/>
          </w:tcPr>
          <w:p>
            <w:pPr>
              <w:spacing w:after="0"/>
              <w:rPr>
                <w:sz w:val="1"/>
                <w:szCs w:val="1"/>
                <w:color w:val="auto"/>
              </w:rPr>
            </w:pPr>
          </w:p>
        </w:tc>
      </w:tr>
      <w:tr>
        <w:trPr>
          <w:trHeight w:val="87"/>
        </w:trPr>
        <w:tc>
          <w:tcPr>
            <w:tcW w:w="2100" w:type="dxa"/>
            <w:vAlign w:val="bottom"/>
            <w:tcBorders>
              <w:left w:val="single" w:sz="8" w:color="auto"/>
              <w:bottom w:val="single" w:sz="8" w:color="auto"/>
              <w:right w:val="single" w:sz="8" w:color="auto"/>
            </w:tcBorders>
            <w:shd w:val="clear" w:color="auto" w:fill="32406B"/>
          </w:tcPr>
          <w:p>
            <w:pPr>
              <w:spacing w:after="0"/>
              <w:rPr>
                <w:sz w:val="7"/>
                <w:szCs w:val="7"/>
                <w:color w:val="auto"/>
              </w:rPr>
            </w:pPr>
          </w:p>
        </w:tc>
        <w:tc>
          <w:tcPr>
            <w:tcW w:w="89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100" w:type="dxa"/>
            <w:vAlign w:val="bottom"/>
            <w:tcBorders>
              <w:left w:val="single" w:sz="8" w:color="auto"/>
              <w:right w:val="single" w:sz="8" w:color="auto"/>
            </w:tcBorders>
            <w:shd w:val="clear" w:color="auto" w:fill="32406B"/>
          </w:tcPr>
          <w:p>
            <w:pPr>
              <w:ind w:left="140"/>
              <w:spacing w:after="0"/>
              <w:rPr>
                <w:sz w:val="20"/>
                <w:szCs w:val="20"/>
                <w:color w:val="auto"/>
              </w:rPr>
            </w:pPr>
            <w:r>
              <w:rPr>
                <w:rFonts w:ascii="Arial" w:cs="Arial" w:eastAsia="Arial" w:hAnsi="Arial"/>
                <w:sz w:val="16"/>
                <w:szCs w:val="16"/>
                <w:b w:val="1"/>
                <w:bCs w:val="1"/>
                <w:color w:val="FFFFFF"/>
              </w:rPr>
              <w:t>Elimination of</w:t>
            </w:r>
          </w:p>
        </w:tc>
        <w:tc>
          <w:tcPr>
            <w:tcW w:w="8920" w:type="dxa"/>
            <w:vAlign w:val="bottom"/>
            <w:tcBorders>
              <w:right w:val="single" w:sz="8" w:color="auto"/>
            </w:tcBorders>
          </w:tcPr>
          <w:p>
            <w:pPr>
              <w:ind w:left="640"/>
              <w:spacing w:after="0"/>
              <w:rPr>
                <w:sz w:val="20"/>
                <w:szCs w:val="20"/>
                <w:color w:val="auto"/>
              </w:rPr>
            </w:pPr>
            <w:r>
              <w:rPr>
                <w:rFonts w:ascii="Arial" w:cs="Arial" w:eastAsia="Arial" w:hAnsi="Arial"/>
                <w:sz w:val="16"/>
                <w:szCs w:val="16"/>
                <w:color w:val="auto"/>
              </w:rPr>
              <w:t>•  We amended our charter to eliminate the super-majority voting provision applicable to business combinations</w:t>
            </w:r>
          </w:p>
        </w:tc>
        <w:tc>
          <w:tcPr>
            <w:tcW w:w="0" w:type="dxa"/>
            <w:vAlign w:val="bottom"/>
          </w:tcPr>
          <w:p>
            <w:pPr>
              <w:spacing w:after="0"/>
              <w:rPr>
                <w:sz w:val="1"/>
                <w:szCs w:val="1"/>
                <w:color w:val="auto"/>
              </w:rPr>
            </w:pPr>
          </w:p>
        </w:tc>
      </w:tr>
      <w:tr>
        <w:trPr>
          <w:trHeight w:val="189"/>
        </w:trPr>
        <w:tc>
          <w:tcPr>
            <w:tcW w:w="2100" w:type="dxa"/>
            <w:vAlign w:val="bottom"/>
            <w:tcBorders>
              <w:left w:val="single" w:sz="8" w:color="auto"/>
              <w:right w:val="single" w:sz="8" w:color="auto"/>
            </w:tcBorders>
            <w:shd w:val="clear" w:color="auto" w:fill="32406B"/>
          </w:tcPr>
          <w:p>
            <w:pPr>
              <w:ind w:left="140"/>
              <w:spacing w:after="0"/>
              <w:rPr>
                <w:sz w:val="20"/>
                <w:szCs w:val="20"/>
                <w:color w:val="auto"/>
              </w:rPr>
            </w:pPr>
            <w:r>
              <w:rPr>
                <w:rFonts w:ascii="Arial" w:cs="Arial" w:eastAsia="Arial" w:hAnsi="Arial"/>
                <w:sz w:val="16"/>
                <w:szCs w:val="16"/>
                <w:b w:val="1"/>
                <w:bCs w:val="1"/>
                <w:color w:val="FFFFFF"/>
              </w:rPr>
              <w:t>Super-majority</w:t>
            </w:r>
          </w:p>
        </w:tc>
        <w:tc>
          <w:tcPr>
            <w:tcW w:w="8920" w:type="dxa"/>
            <w:vAlign w:val="bottom"/>
            <w:tcBorders>
              <w:right w:val="single" w:sz="8" w:color="auto"/>
            </w:tcBorders>
          </w:tcPr>
          <w:p>
            <w:pPr>
              <w:ind w:left="820"/>
              <w:spacing w:after="0"/>
              <w:rPr>
                <w:sz w:val="20"/>
                <w:szCs w:val="20"/>
                <w:color w:val="auto"/>
              </w:rPr>
            </w:pPr>
            <w:r>
              <w:rPr>
                <w:rFonts w:ascii="Arial" w:cs="Arial" w:eastAsia="Arial" w:hAnsi="Arial"/>
                <w:sz w:val="16"/>
                <w:szCs w:val="16"/>
                <w:color w:val="auto"/>
              </w:rPr>
              <w:t>with related persons.</w:t>
            </w:r>
          </w:p>
        </w:tc>
        <w:tc>
          <w:tcPr>
            <w:tcW w:w="0" w:type="dxa"/>
            <w:vAlign w:val="bottom"/>
          </w:tcPr>
          <w:p>
            <w:pPr>
              <w:spacing w:after="0"/>
              <w:rPr>
                <w:sz w:val="1"/>
                <w:szCs w:val="1"/>
                <w:color w:val="auto"/>
              </w:rPr>
            </w:pPr>
          </w:p>
        </w:tc>
      </w:tr>
      <w:tr>
        <w:trPr>
          <w:trHeight w:val="214"/>
        </w:trPr>
        <w:tc>
          <w:tcPr>
            <w:tcW w:w="2100" w:type="dxa"/>
            <w:vAlign w:val="bottom"/>
            <w:tcBorders>
              <w:left w:val="single" w:sz="8" w:color="auto"/>
              <w:right w:val="single" w:sz="8" w:color="auto"/>
            </w:tcBorders>
            <w:shd w:val="clear" w:color="auto" w:fill="32406B"/>
          </w:tcPr>
          <w:p>
            <w:pPr>
              <w:ind w:left="140"/>
              <w:spacing w:after="0"/>
              <w:rPr>
                <w:sz w:val="20"/>
                <w:szCs w:val="20"/>
                <w:color w:val="auto"/>
              </w:rPr>
            </w:pPr>
            <w:r>
              <w:rPr>
                <w:rFonts w:ascii="Arial" w:cs="Arial" w:eastAsia="Arial" w:hAnsi="Arial"/>
                <w:sz w:val="16"/>
                <w:szCs w:val="16"/>
                <w:b w:val="1"/>
                <w:bCs w:val="1"/>
                <w:color w:val="FFFFFF"/>
              </w:rPr>
              <w:t>Provisions</w:t>
            </w:r>
          </w:p>
        </w:tc>
        <w:tc>
          <w:tcPr>
            <w:tcW w:w="8920" w:type="dxa"/>
            <w:vAlign w:val="bottom"/>
            <w:tcBorders>
              <w:right w:val="single" w:sz="8" w:color="auto"/>
            </w:tcBorders>
            <w:vMerge w:val="restart"/>
          </w:tcPr>
          <w:p>
            <w:pPr>
              <w:ind w:left="640"/>
              <w:spacing w:after="0"/>
              <w:rPr>
                <w:sz w:val="20"/>
                <w:szCs w:val="20"/>
                <w:color w:val="auto"/>
              </w:rPr>
            </w:pPr>
            <w:r>
              <w:rPr>
                <w:rFonts w:ascii="Arial" w:cs="Arial" w:eastAsia="Arial" w:hAnsi="Arial"/>
                <w:sz w:val="16"/>
                <w:szCs w:val="16"/>
                <w:b w:val="1"/>
                <w:bCs w:val="1"/>
                <w:color w:val="32406B"/>
              </w:rPr>
              <w:t>•  At this Annual Meeting, the Board is recommending to shareholders that they approve the Board’s</w:t>
            </w:r>
          </w:p>
        </w:tc>
        <w:tc>
          <w:tcPr>
            <w:tcW w:w="0" w:type="dxa"/>
            <w:vAlign w:val="bottom"/>
          </w:tcPr>
          <w:p>
            <w:pPr>
              <w:spacing w:after="0"/>
              <w:rPr>
                <w:sz w:val="1"/>
                <w:szCs w:val="1"/>
                <w:color w:val="auto"/>
              </w:rPr>
            </w:pPr>
          </w:p>
        </w:tc>
      </w:tr>
      <w:tr>
        <w:trPr>
          <w:trHeight w:val="55"/>
        </w:trPr>
        <w:tc>
          <w:tcPr>
            <w:tcW w:w="2100" w:type="dxa"/>
            <w:vAlign w:val="bottom"/>
            <w:tcBorders>
              <w:left w:val="single" w:sz="8" w:color="auto"/>
              <w:right w:val="single" w:sz="8" w:color="auto"/>
            </w:tcBorders>
            <w:shd w:val="clear" w:color="auto" w:fill="32406B"/>
          </w:tcPr>
          <w:p>
            <w:pPr>
              <w:spacing w:after="0"/>
              <w:rPr>
                <w:sz w:val="4"/>
                <w:szCs w:val="4"/>
                <w:color w:val="auto"/>
              </w:rPr>
            </w:pPr>
          </w:p>
        </w:tc>
        <w:tc>
          <w:tcPr>
            <w:tcW w:w="892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2100" w:type="dxa"/>
            <w:vAlign w:val="bottom"/>
            <w:tcBorders>
              <w:left w:val="single" w:sz="8" w:color="auto"/>
              <w:right w:val="single" w:sz="8" w:color="auto"/>
            </w:tcBorders>
            <w:shd w:val="clear" w:color="auto" w:fill="32406B"/>
          </w:tcPr>
          <w:p>
            <w:pPr>
              <w:spacing w:after="0"/>
              <w:rPr>
                <w:sz w:val="18"/>
                <w:szCs w:val="18"/>
                <w:color w:val="auto"/>
              </w:rPr>
            </w:pPr>
          </w:p>
        </w:tc>
        <w:tc>
          <w:tcPr>
            <w:tcW w:w="8920" w:type="dxa"/>
            <w:vAlign w:val="bottom"/>
            <w:tcBorders>
              <w:right w:val="single" w:sz="8" w:color="auto"/>
            </w:tcBorders>
          </w:tcPr>
          <w:p>
            <w:pPr>
              <w:ind w:left="820"/>
              <w:spacing w:after="0"/>
              <w:rPr>
                <w:sz w:val="20"/>
                <w:szCs w:val="20"/>
                <w:color w:val="auto"/>
              </w:rPr>
            </w:pPr>
            <w:r>
              <w:rPr>
                <w:rFonts w:ascii="Arial" w:cs="Arial" w:eastAsia="Arial" w:hAnsi="Arial"/>
                <w:sz w:val="16"/>
                <w:szCs w:val="16"/>
                <w:b w:val="1"/>
                <w:bCs w:val="1"/>
                <w:color w:val="32406B"/>
              </w:rPr>
              <w:t>proposals to amend our charter to remove our remaining super-majority voting provisions.</w:t>
            </w:r>
          </w:p>
        </w:tc>
        <w:tc>
          <w:tcPr>
            <w:tcW w:w="0" w:type="dxa"/>
            <w:vAlign w:val="bottom"/>
          </w:tcPr>
          <w:p>
            <w:pPr>
              <w:spacing w:after="0"/>
              <w:rPr>
                <w:sz w:val="1"/>
                <w:szCs w:val="1"/>
                <w:color w:val="auto"/>
              </w:rPr>
            </w:pPr>
          </w:p>
        </w:tc>
      </w:tr>
      <w:tr>
        <w:trPr>
          <w:trHeight w:val="87"/>
        </w:trPr>
        <w:tc>
          <w:tcPr>
            <w:tcW w:w="2100" w:type="dxa"/>
            <w:vAlign w:val="bottom"/>
            <w:tcBorders>
              <w:left w:val="single" w:sz="8" w:color="auto"/>
              <w:bottom w:val="single" w:sz="8" w:color="auto"/>
              <w:right w:val="single" w:sz="8" w:color="auto"/>
            </w:tcBorders>
            <w:shd w:val="clear" w:color="auto" w:fill="32406B"/>
          </w:tcPr>
          <w:p>
            <w:pPr>
              <w:spacing w:after="0"/>
              <w:rPr>
                <w:sz w:val="7"/>
                <w:szCs w:val="7"/>
                <w:color w:val="auto"/>
              </w:rPr>
            </w:pPr>
          </w:p>
        </w:tc>
        <w:tc>
          <w:tcPr>
            <w:tcW w:w="89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32406B"/>
        </w:rPr>
        <w:t>Director Independence</w:t>
      </w:r>
    </w:p>
    <w:p>
      <w:pPr>
        <w:spacing w:after="0" w:line="92" w:lineRule="exact"/>
        <w:rPr>
          <w:sz w:val="20"/>
          <w:szCs w:val="20"/>
          <w:color w:val="auto"/>
        </w:rPr>
      </w:pPr>
    </w:p>
    <w:p>
      <w:pPr>
        <w:ind w:left="220" w:right="220"/>
        <w:spacing w:after="0" w:line="250" w:lineRule="auto"/>
        <w:rPr>
          <w:sz w:val="20"/>
          <w:szCs w:val="20"/>
          <w:color w:val="auto"/>
        </w:rPr>
      </w:pPr>
      <w:r>
        <w:rPr>
          <w:rFonts w:ascii="Arial" w:cs="Arial" w:eastAsia="Arial" w:hAnsi="Arial"/>
          <w:sz w:val="16"/>
          <w:szCs w:val="16"/>
          <w:color w:val="auto"/>
        </w:rPr>
        <w:t>Our Board has determined that each of the current members of the Board, except for Robert A. Livingston who is our CEO, has no material relationship with Dover and satisfies all the criteria for being “independent” members of our Board. This includes the criteria established by the U.S. Securities and Exchange Commission (“SEC”) and the New York Stock Exchange (“NYSE”) listing standards, as well as our standards for classification as an independent director</w:t>
      </w:r>
    </w:p>
    <w:p>
      <w:pPr>
        <w:spacing w:after="0" w:line="117" w:lineRule="exact"/>
        <w:rPr>
          <w:sz w:val="20"/>
          <w:szCs w:val="20"/>
          <w:color w:val="auto"/>
        </w:rPr>
      </w:pPr>
    </w:p>
    <w:p>
      <w:pPr>
        <w:ind w:left="7380"/>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20</w:t>
      </w:r>
    </w:p>
    <w:p>
      <w:pPr>
        <w:sectPr>
          <w:pgSz w:w="11900" w:h="16838" w:orient="portrait"/>
          <w:cols w:equalWidth="0" w:num="1">
            <w:col w:w="11240"/>
          </w:cols>
          <w:pgMar w:left="240" w:top="459" w:right="41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PROPOSAL 1 — ELECTION OF DIRECTORS</w:t>
      </w:r>
    </w:p>
    <w:p>
      <w:pPr>
        <w:spacing w:after="0" w:line="173" w:lineRule="exact"/>
        <w:rPr>
          <w:sz w:val="20"/>
          <w:szCs w:val="20"/>
          <w:color w:val="auto"/>
        </w:rPr>
      </w:pPr>
    </w:p>
    <w:p>
      <w:pPr>
        <w:ind w:left="220" w:right="20"/>
        <w:spacing w:after="0" w:line="250" w:lineRule="auto"/>
        <w:rPr>
          <w:sz w:val="20"/>
          <w:szCs w:val="20"/>
          <w:color w:val="auto"/>
        </w:rPr>
      </w:pPr>
      <w:r>
        <w:rPr>
          <w:rFonts w:ascii="Arial" w:cs="Arial" w:eastAsia="Arial" w:hAnsi="Arial"/>
          <w:sz w:val="16"/>
          <w:szCs w:val="16"/>
          <w:color w:val="auto"/>
        </w:rPr>
        <w:t>which are available on our website at www.dovercorporation.com. Our Board makes an annual determination of the independence of each nominee for director prior to his or her nomination for re-election. No director may be deemed independent unless the Board determines that he or she has no material relationship with Dover, directly or as an officer, shareholder or partner of an organization that has a material relationship with Dover. Mr. Tobin upon his appointment as President and CEO effective May 1, 2018, will cease to be an “independent” member of the Board.</w:t>
      </w:r>
    </w:p>
    <w:p>
      <w:pPr>
        <w:spacing w:after="0" w:line="185"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32406B"/>
        </w:rPr>
        <w:t>Shareholder Engagement</w:t>
      </w:r>
    </w:p>
    <w:p>
      <w:pPr>
        <w:spacing w:after="0" w:line="106" w:lineRule="exact"/>
        <w:rPr>
          <w:sz w:val="20"/>
          <w:szCs w:val="20"/>
          <w:color w:val="auto"/>
        </w:rPr>
      </w:pPr>
    </w:p>
    <w:p>
      <w:pPr>
        <w:ind w:left="220" w:right="440"/>
        <w:spacing w:after="0" w:line="260" w:lineRule="auto"/>
        <w:rPr>
          <w:sz w:val="20"/>
          <w:szCs w:val="20"/>
          <w:color w:val="auto"/>
        </w:rPr>
      </w:pPr>
      <w:r>
        <w:rPr>
          <w:rFonts w:ascii="Arial" w:cs="Arial" w:eastAsia="Arial" w:hAnsi="Arial"/>
          <w:sz w:val="16"/>
          <w:szCs w:val="16"/>
          <w:color w:val="auto"/>
        </w:rPr>
        <w:t>In 2017, we continued our focus on regularly engaging with our shareholders. We reached out to holders of over 53% of our shares outstanding and engaged with governance professionals and portfolio managers at investors holding 33% of our shares outstanding.</w:t>
      </w:r>
    </w:p>
    <w:p>
      <w:pPr>
        <w:spacing w:after="0" w:line="154" w:lineRule="exact"/>
        <w:rPr>
          <w:sz w:val="20"/>
          <w:szCs w:val="20"/>
          <w:color w:val="auto"/>
        </w:rPr>
      </w:pPr>
    </w:p>
    <w:p>
      <w:pPr>
        <w:ind w:left="220" w:right="80"/>
        <w:spacing w:after="0" w:line="249" w:lineRule="auto"/>
        <w:rPr>
          <w:sz w:val="20"/>
          <w:szCs w:val="20"/>
          <w:color w:val="auto"/>
        </w:rPr>
      </w:pPr>
      <w:r>
        <w:rPr>
          <w:rFonts w:ascii="Arial" w:cs="Arial" w:eastAsia="Arial" w:hAnsi="Arial"/>
          <w:sz w:val="16"/>
          <w:szCs w:val="16"/>
          <w:color w:val="auto"/>
        </w:rPr>
        <w:t>Topics of discussion focused on Board oversight of our long-term business strategy, including our evolution over the past ten years and the Apergy separation plan, our key governance and compensation practices, and our Board refreshment practices. Our shareholders expressed their broad support for our governance practices and shareholder rights, including our Board leadership structure, thoughtful and active refreshment process, the formulation of our special meeting right and our use of annual director elections. We also discussed super-majority voting provisions, our executive compensation program and how the metrics in our compensation program, including our internal Total Shareholder Return (“iTSR”) metric, align our strategy with performance, and how we address sustainability, an area of increasing focus for both our shareholders and our Board.</w:t>
      </w:r>
    </w:p>
    <w:p>
      <w:pPr>
        <w:spacing w:after="0" w:line="163" w:lineRule="exact"/>
        <w:rPr>
          <w:sz w:val="20"/>
          <w:szCs w:val="20"/>
          <w:color w:val="auto"/>
        </w:rPr>
      </w:pPr>
    </w:p>
    <w:p>
      <w:pPr>
        <w:ind w:left="220" w:right="500"/>
        <w:spacing w:after="0" w:line="260" w:lineRule="auto"/>
        <w:rPr>
          <w:sz w:val="20"/>
          <w:szCs w:val="20"/>
          <w:color w:val="auto"/>
        </w:rPr>
      </w:pPr>
      <w:r>
        <w:rPr>
          <w:rFonts w:ascii="Arial" w:cs="Arial" w:eastAsia="Arial" w:hAnsi="Arial"/>
          <w:sz w:val="16"/>
          <w:szCs w:val="16"/>
          <w:color w:val="auto"/>
        </w:rPr>
        <w:t>The Board continues to find the feedback it receives from these discussions to be invaluable. We plan to continue our program of proactive, regular engagement to further deepen our relationship with our investors.</w:t>
      </w:r>
    </w:p>
    <w:p>
      <w:pPr>
        <w:spacing w:after="0" w:line="175"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32406B"/>
        </w:rPr>
        <w:t>Sustainability</w:t>
      </w:r>
    </w:p>
    <w:p>
      <w:pPr>
        <w:spacing w:after="0" w:line="106" w:lineRule="exact"/>
        <w:rPr>
          <w:sz w:val="20"/>
          <w:szCs w:val="20"/>
          <w:color w:val="auto"/>
        </w:rPr>
      </w:pPr>
    </w:p>
    <w:p>
      <w:pPr>
        <w:ind w:left="220" w:right="40"/>
        <w:spacing w:after="0" w:line="248" w:lineRule="auto"/>
        <w:rPr>
          <w:sz w:val="20"/>
          <w:szCs w:val="20"/>
          <w:color w:val="auto"/>
        </w:rPr>
      </w:pPr>
      <w:r>
        <w:rPr>
          <w:rFonts w:ascii="Arial" w:cs="Arial" w:eastAsia="Arial" w:hAnsi="Arial"/>
          <w:sz w:val="16"/>
          <w:szCs w:val="16"/>
          <w:color w:val="auto"/>
        </w:rPr>
        <w:t>In response to concerns around global sustainability, in 2010, we developed and implemented a process to conduct an inventory of our greenhouse gas emissions. Since then, we have evaluated our climate change risks and opportunities, as well as developed an energy and climate change strategy that includes goals, objectives and related projects for reducing energy use and greenhouse gas emissions. To further promote our sustainability efforts, we have committed to reducing our overall energy and greenhouse gas intensity indexed to net revenue by 20% from 2010 to 2020. We are near our goal for reducing overall energy intensity and have surpassed our goal for reducing greenhouse gas intensity. Dover will continue to work proactively to reduce energy usage and carbon emissions amidst acquisition and business growth. We have also participated as a voluntary respondent in the Carbon Disclosure Project since 2010 and have maintained our scoring range since we began reporting.</w:t>
      </w:r>
    </w:p>
    <w:p>
      <w:pPr>
        <w:spacing w:after="0" w:line="167" w:lineRule="exact"/>
        <w:rPr>
          <w:sz w:val="20"/>
          <w:szCs w:val="20"/>
          <w:color w:val="auto"/>
        </w:rPr>
      </w:pPr>
    </w:p>
    <w:p>
      <w:pPr>
        <w:ind w:left="220" w:right="300"/>
        <w:spacing w:after="0" w:line="250" w:lineRule="auto"/>
        <w:rPr>
          <w:sz w:val="20"/>
          <w:szCs w:val="20"/>
          <w:color w:val="auto"/>
        </w:rPr>
      </w:pPr>
      <w:r>
        <w:rPr>
          <w:rFonts w:ascii="Arial" w:cs="Arial" w:eastAsia="Arial" w:hAnsi="Arial"/>
          <w:sz w:val="16"/>
          <w:szCs w:val="16"/>
          <w:color w:val="auto"/>
        </w:rPr>
        <w:t>We believe that enhancing efficiency in our operations reduces costs, improves margins and helps us achieve operational excellence. Our businesses assess the energy efficiencies related to their operations and the opportunities associated with the use of their products and services by customers. In some instances, our businesses may be able to help customers reduce energy use and greenhouse gas emissions. Sustainability-driven innovation presents a significant growth opportunity, while contributing to enhanced resource efficiency and reduced waste.</w:t>
      </w:r>
    </w:p>
    <w:p>
      <w:pPr>
        <w:spacing w:after="0" w:line="185"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32406B"/>
        </w:rPr>
        <w:t>Board Leadership Structure</w:t>
      </w:r>
    </w:p>
    <w:p>
      <w:pPr>
        <w:spacing w:after="0" w:line="92" w:lineRule="exact"/>
        <w:rPr>
          <w:sz w:val="20"/>
          <w:szCs w:val="20"/>
          <w:color w:val="auto"/>
        </w:rPr>
      </w:pPr>
    </w:p>
    <w:p>
      <w:pPr>
        <w:ind w:left="220" w:right="80"/>
        <w:spacing w:after="0" w:line="249" w:lineRule="auto"/>
        <w:rPr>
          <w:sz w:val="20"/>
          <w:szCs w:val="20"/>
          <w:color w:val="auto"/>
        </w:rPr>
      </w:pPr>
      <w:r>
        <w:rPr>
          <w:rFonts w:ascii="Arial" w:cs="Arial" w:eastAsia="Arial" w:hAnsi="Arial"/>
          <w:sz w:val="16"/>
          <w:szCs w:val="16"/>
          <w:color w:val="auto"/>
        </w:rPr>
        <w:t>The Chairman of our Board is an independent director. We believe that having a Chairman independent of management provides strong leadership for the Board and helps ensure critical and independent thinking with respect to our Company’s strategy and performance. Our CEO is also a member of the Board as a management representative. We believe this is important to make information and insight directly available to the directors in their deliberations. In our view, this board leadership structure gives us an appropriate, well-functioning balance between non-management and management directors that combines experience, accountability and effective risk oversight.</w:t>
      </w:r>
    </w:p>
    <w:p>
      <w:pPr>
        <w:spacing w:after="0" w:line="11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21</w:t>
      </w:r>
    </w:p>
    <w:p>
      <w:pPr>
        <w:sectPr>
          <w:pgSz w:w="11900" w:h="16838" w:orient="portrait"/>
          <w:cols w:equalWidth="0" w:num="1">
            <w:col w:w="11220"/>
          </w:cols>
          <w:pgMar w:left="24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PROPOSAL 1 — ELECTION OF DIRECTORS</w:t>
      </w:r>
    </w:p>
    <w:p>
      <w:pPr>
        <w:spacing w:after="0" w:line="153"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32406B"/>
        </w:rPr>
        <w:t>Board, Committee and Individual Director Evaluations</w:t>
      </w:r>
    </w:p>
    <w:p>
      <w:pPr>
        <w:spacing w:after="0" w:line="106" w:lineRule="exact"/>
        <w:rPr>
          <w:sz w:val="20"/>
          <w:szCs w:val="20"/>
          <w:color w:val="auto"/>
        </w:rPr>
      </w:pPr>
    </w:p>
    <w:p>
      <w:pPr>
        <w:ind w:left="220" w:right="20"/>
        <w:spacing w:after="0" w:line="250" w:lineRule="auto"/>
        <w:rPr>
          <w:sz w:val="20"/>
          <w:szCs w:val="20"/>
          <w:color w:val="auto"/>
        </w:rPr>
      </w:pPr>
      <w:r>
        <w:rPr>
          <w:rFonts w:ascii="Arial" w:cs="Arial" w:eastAsia="Arial" w:hAnsi="Arial"/>
          <w:sz w:val="16"/>
          <w:szCs w:val="16"/>
          <w:color w:val="auto"/>
        </w:rPr>
        <w:t>Our Board and its committees conduct robust annual self-evaluations of their performance. In addition, our Board evaluates one-third of our directors on a rotating individual basis each year with the purpose of assisting each director to be a more effective member of the Board. New directors undergo the evaluation process in each of their first two years on the Board. Our directors believe the rotational nature of our evaluation process enables a more in-depth, comprehensive evaluation for each of our directors.</w:t>
      </w:r>
    </w:p>
    <w:p>
      <w:pPr>
        <w:spacing w:after="0" w:line="185"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32406B"/>
        </w:rPr>
        <w:t>Majority Standard for Election of Directors and Mandatory Resignation Policy</w:t>
      </w:r>
    </w:p>
    <w:p>
      <w:pPr>
        <w:spacing w:after="0" w:line="92" w:lineRule="exact"/>
        <w:rPr>
          <w:sz w:val="20"/>
          <w:szCs w:val="20"/>
          <w:color w:val="auto"/>
        </w:rPr>
      </w:pPr>
    </w:p>
    <w:p>
      <w:pPr>
        <w:ind w:left="220" w:right="40"/>
        <w:spacing w:after="0" w:line="250" w:lineRule="auto"/>
        <w:rPr>
          <w:sz w:val="20"/>
          <w:szCs w:val="20"/>
          <w:color w:val="auto"/>
        </w:rPr>
      </w:pPr>
      <w:r>
        <w:rPr>
          <w:rFonts w:ascii="Arial" w:cs="Arial" w:eastAsia="Arial" w:hAnsi="Arial"/>
          <w:sz w:val="16"/>
          <w:szCs w:val="16"/>
          <w:color w:val="auto"/>
        </w:rPr>
        <w:t>Under our by-laws and corporate governance guidelines, the voting standard in director elections is a majority of the votes cast. Under the majority standard, a director must receive more votes in favor of his or her election than votes against his or her election. Abstentions and broker non-votes do not count as votes cast with respect to a director’s election. In contested director elections (where there are more nominees than available seats on the board), the plurality standard will apply.</w:t>
      </w:r>
    </w:p>
    <w:p>
      <w:pPr>
        <w:spacing w:after="0" w:line="164" w:lineRule="exact"/>
        <w:rPr>
          <w:sz w:val="20"/>
          <w:szCs w:val="20"/>
          <w:color w:val="auto"/>
        </w:rPr>
      </w:pPr>
    </w:p>
    <w:p>
      <w:pPr>
        <w:ind w:left="220" w:right="160"/>
        <w:spacing w:after="0" w:line="249" w:lineRule="auto"/>
        <w:rPr>
          <w:sz w:val="20"/>
          <w:szCs w:val="20"/>
          <w:color w:val="auto"/>
        </w:rPr>
      </w:pPr>
      <w:r>
        <w:rPr>
          <w:rFonts w:ascii="Arial" w:cs="Arial" w:eastAsia="Arial" w:hAnsi="Arial"/>
          <w:sz w:val="16"/>
          <w:szCs w:val="16"/>
          <w:color w:val="auto"/>
        </w:rPr>
        <w:t>For an incumbent director to be nominated for re-election, he or she must submit an irrevocable resignation letter. The resignation will be contingent on the nominee not receiving a majority of the votes cast in an uncontested election and on the Board’s acceptance of the resignation. If an incumbent director fails to receive a majority of the votes cast in an uncontested election, the Governance and Nominating Committee will make a recommendation to our Board concerning the resignation. Our Board will act on the resignation within 90 days following certification of the election results, taking into account the committee’s recommendation. The Board will publicly announce its decision and, if the resignation is rejected, the rationale for its decision.</w:t>
      </w:r>
    </w:p>
    <w:p>
      <w:pPr>
        <w:spacing w:after="0" w:line="11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22</w:t>
      </w:r>
    </w:p>
    <w:p>
      <w:pPr>
        <w:sectPr>
          <w:pgSz w:w="11900" w:h="16838" w:orient="portrait"/>
          <w:cols w:equalWidth="0" w:num="1">
            <w:col w:w="11220"/>
          </w:cols>
          <w:pgMar w:left="24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32406B"/>
        </w:rPr>
        <w:t>Key Areas of Board Oversight</w:t>
      </w:r>
    </w:p>
    <w:p>
      <w:pPr>
        <w:spacing w:after="0" w:line="246" w:lineRule="exact"/>
        <w:rPr>
          <w:sz w:val="20"/>
          <w:szCs w:val="20"/>
          <w:color w:val="auto"/>
        </w:rPr>
      </w:pPr>
    </w:p>
    <w:tbl>
      <w:tblPr>
        <w:tblLayout w:type="fixed"/>
        <w:tblInd w:w="230" w:type="dxa"/>
        <w:tblCellMar>
          <w:top w:w="0" w:type="dxa"/>
          <w:left w:w="0" w:type="dxa"/>
          <w:bottom w:w="0" w:type="dxa"/>
          <w:right w:w="0" w:type="dxa"/>
        </w:tblCellMar>
      </w:tblPr>
      <w:tr>
        <w:trPr>
          <w:trHeight w:val="238"/>
        </w:trPr>
        <w:tc>
          <w:tcPr>
            <w:tcW w:w="2200" w:type="dxa"/>
            <w:vAlign w:val="bottom"/>
            <w:tcBorders>
              <w:top w:val="single" w:sz="8" w:color="auto"/>
              <w:left w:val="single" w:sz="8" w:color="auto"/>
              <w:right w:val="single" w:sz="8" w:color="auto"/>
            </w:tcBorders>
            <w:shd w:val="clear" w:color="auto" w:fill="32406B"/>
          </w:tcPr>
          <w:p>
            <w:pPr>
              <w:ind w:left="240"/>
              <w:spacing w:after="0"/>
              <w:rPr>
                <w:sz w:val="20"/>
                <w:szCs w:val="20"/>
                <w:color w:val="auto"/>
              </w:rPr>
            </w:pPr>
            <w:r>
              <w:rPr>
                <w:rFonts w:ascii="Arial" w:cs="Arial" w:eastAsia="Arial" w:hAnsi="Arial"/>
                <w:sz w:val="16"/>
                <w:szCs w:val="16"/>
                <w:b w:val="1"/>
                <w:bCs w:val="1"/>
                <w:color w:val="FFFFFF"/>
              </w:rPr>
              <w:t>Long-Term</w:t>
            </w:r>
          </w:p>
        </w:tc>
        <w:tc>
          <w:tcPr>
            <w:tcW w:w="8820" w:type="dxa"/>
            <w:vAlign w:val="bottom"/>
            <w:tcBorders>
              <w:top w:val="single" w:sz="8" w:color="auto"/>
              <w:right w:val="single" w:sz="8" w:color="auto"/>
            </w:tcBorders>
          </w:tcPr>
          <w:p>
            <w:pPr>
              <w:ind w:left="540"/>
              <w:spacing w:after="0"/>
              <w:rPr>
                <w:sz w:val="20"/>
                <w:szCs w:val="20"/>
                <w:color w:val="auto"/>
              </w:rPr>
            </w:pPr>
            <w:r>
              <w:rPr>
                <w:rFonts w:ascii="Arial" w:cs="Arial" w:eastAsia="Arial" w:hAnsi="Arial"/>
                <w:sz w:val="16"/>
                <w:szCs w:val="16"/>
                <w:color w:val="auto"/>
              </w:rPr>
              <w:t xml:space="preserve">•  One of the primary responsibilities of our Board is the </w:t>
            </w:r>
            <w:r>
              <w:rPr>
                <w:rFonts w:ascii="Arial" w:cs="Arial" w:eastAsia="Arial" w:hAnsi="Arial"/>
                <w:sz w:val="16"/>
                <w:szCs w:val="16"/>
                <w:b w:val="1"/>
                <w:bCs w:val="1"/>
                <w:color w:val="32406B"/>
              </w:rPr>
              <w:t>oversight of management’s long-term strategy and</w:t>
            </w:r>
          </w:p>
        </w:tc>
      </w:tr>
      <w:tr>
        <w:trPr>
          <w:trHeight w:val="209"/>
        </w:trPr>
        <w:tc>
          <w:tcPr>
            <w:tcW w:w="2200" w:type="dxa"/>
            <w:vAlign w:val="bottom"/>
            <w:tcBorders>
              <w:left w:val="single" w:sz="8" w:color="auto"/>
              <w:right w:val="single" w:sz="8" w:color="auto"/>
            </w:tcBorders>
            <w:shd w:val="clear" w:color="auto" w:fill="32406B"/>
          </w:tcPr>
          <w:p>
            <w:pPr>
              <w:ind w:left="240"/>
              <w:spacing w:after="0"/>
              <w:rPr>
                <w:sz w:val="20"/>
                <w:szCs w:val="20"/>
                <w:color w:val="auto"/>
              </w:rPr>
            </w:pPr>
            <w:r>
              <w:rPr>
                <w:rFonts w:ascii="Arial" w:cs="Arial" w:eastAsia="Arial" w:hAnsi="Arial"/>
                <w:sz w:val="16"/>
                <w:szCs w:val="16"/>
                <w:b w:val="1"/>
                <w:bCs w:val="1"/>
                <w:color w:val="FFFFFF"/>
              </w:rPr>
              <w:t>Business Strategy</w:t>
            </w:r>
          </w:p>
        </w:tc>
        <w:tc>
          <w:tcPr>
            <w:tcW w:w="8820" w:type="dxa"/>
            <w:vAlign w:val="bottom"/>
            <w:tcBorders>
              <w:right w:val="single" w:sz="8" w:color="auto"/>
            </w:tcBorders>
          </w:tcPr>
          <w:p>
            <w:pPr>
              <w:ind w:left="720"/>
              <w:spacing w:after="0"/>
              <w:rPr>
                <w:sz w:val="20"/>
                <w:szCs w:val="20"/>
                <w:color w:val="auto"/>
              </w:rPr>
            </w:pPr>
            <w:r>
              <w:rPr>
                <w:rFonts w:ascii="Arial" w:cs="Arial" w:eastAsia="Arial" w:hAnsi="Arial"/>
                <w:sz w:val="16"/>
                <w:szCs w:val="16"/>
                <w:b w:val="1"/>
                <w:bCs w:val="1"/>
                <w:color w:val="32406B"/>
              </w:rPr>
              <w:t>planning</w:t>
            </w:r>
            <w:r>
              <w:rPr>
                <w:rFonts w:ascii="Arial" w:cs="Arial" w:eastAsia="Arial" w:hAnsi="Arial"/>
                <w:sz w:val="16"/>
                <w:szCs w:val="16"/>
                <w:color w:val="000000"/>
              </w:rPr>
              <w:t>. Accordingly, our Board maintains a deep level of engagement with management in setting and</w:t>
            </w:r>
          </w:p>
        </w:tc>
      </w:tr>
      <w:tr>
        <w:trPr>
          <w:trHeight w:val="194"/>
        </w:trPr>
        <w:tc>
          <w:tcPr>
            <w:tcW w:w="2200" w:type="dxa"/>
            <w:vAlign w:val="bottom"/>
            <w:tcBorders>
              <w:left w:val="single" w:sz="8" w:color="auto"/>
              <w:right w:val="single" w:sz="8" w:color="auto"/>
            </w:tcBorders>
            <w:shd w:val="clear" w:color="auto" w:fill="32406B"/>
          </w:tcPr>
          <w:p>
            <w:pPr>
              <w:spacing w:after="0"/>
              <w:rPr>
                <w:sz w:val="16"/>
                <w:szCs w:val="16"/>
                <w:color w:val="auto"/>
              </w:rPr>
            </w:pPr>
          </w:p>
        </w:tc>
        <w:tc>
          <w:tcPr>
            <w:tcW w:w="8820" w:type="dxa"/>
            <w:vAlign w:val="bottom"/>
            <w:tcBorders>
              <w:right w:val="single" w:sz="8" w:color="auto"/>
            </w:tcBorders>
          </w:tcPr>
          <w:p>
            <w:pPr>
              <w:ind w:left="720"/>
              <w:spacing w:after="0"/>
              <w:rPr>
                <w:sz w:val="20"/>
                <w:szCs w:val="20"/>
                <w:color w:val="auto"/>
              </w:rPr>
            </w:pPr>
            <w:r>
              <w:rPr>
                <w:rFonts w:ascii="Arial" w:cs="Arial" w:eastAsia="Arial" w:hAnsi="Arial"/>
                <w:sz w:val="16"/>
                <w:szCs w:val="16"/>
                <w:color w:val="auto"/>
              </w:rPr>
              <w:t>overseeing Dover’s long-term business strategy.</w:t>
            </w:r>
          </w:p>
        </w:tc>
      </w:tr>
      <w:tr>
        <w:trPr>
          <w:trHeight w:val="244"/>
        </w:trPr>
        <w:tc>
          <w:tcPr>
            <w:tcW w:w="2200" w:type="dxa"/>
            <w:vAlign w:val="bottom"/>
            <w:tcBorders>
              <w:left w:val="single" w:sz="8" w:color="auto"/>
              <w:right w:val="single" w:sz="8" w:color="auto"/>
            </w:tcBorders>
            <w:shd w:val="clear" w:color="auto" w:fill="32406B"/>
          </w:tcPr>
          <w:p>
            <w:pPr>
              <w:spacing w:after="0"/>
              <w:rPr>
                <w:sz w:val="21"/>
                <w:szCs w:val="21"/>
                <w:color w:val="auto"/>
              </w:rPr>
            </w:pPr>
          </w:p>
        </w:tc>
        <w:tc>
          <w:tcPr>
            <w:tcW w:w="8820" w:type="dxa"/>
            <w:vAlign w:val="bottom"/>
            <w:tcBorders>
              <w:right w:val="single" w:sz="8" w:color="auto"/>
            </w:tcBorders>
          </w:tcPr>
          <w:p>
            <w:pPr>
              <w:ind w:left="540"/>
              <w:spacing w:after="0"/>
              <w:rPr>
                <w:sz w:val="20"/>
                <w:szCs w:val="20"/>
                <w:color w:val="auto"/>
              </w:rPr>
            </w:pPr>
            <w:r>
              <w:rPr>
                <w:rFonts w:ascii="Arial" w:cs="Arial" w:eastAsia="Arial" w:hAnsi="Arial"/>
                <w:sz w:val="16"/>
                <w:szCs w:val="16"/>
                <w:color w:val="auto"/>
              </w:rPr>
              <w:t xml:space="preserve">•  The Apergy spin-off announcement was the culmination of a </w:t>
            </w:r>
            <w:r>
              <w:rPr>
                <w:rFonts w:ascii="Arial" w:cs="Arial" w:eastAsia="Arial" w:hAnsi="Arial"/>
                <w:sz w:val="16"/>
                <w:szCs w:val="16"/>
                <w:b w:val="1"/>
                <w:bCs w:val="1"/>
                <w:color w:val="32406B"/>
              </w:rPr>
              <w:t>comprehensive process publicly announced on</w:t>
            </w:r>
          </w:p>
        </w:tc>
      </w:tr>
      <w:tr>
        <w:trPr>
          <w:trHeight w:val="214"/>
        </w:trPr>
        <w:tc>
          <w:tcPr>
            <w:tcW w:w="2200" w:type="dxa"/>
            <w:vAlign w:val="bottom"/>
            <w:tcBorders>
              <w:left w:val="single" w:sz="8" w:color="auto"/>
              <w:right w:val="single" w:sz="8" w:color="auto"/>
            </w:tcBorders>
            <w:shd w:val="clear" w:color="auto" w:fill="32406B"/>
          </w:tcPr>
          <w:p>
            <w:pPr>
              <w:spacing w:after="0"/>
              <w:rPr>
                <w:sz w:val="18"/>
                <w:szCs w:val="18"/>
                <w:color w:val="auto"/>
              </w:rPr>
            </w:pPr>
          </w:p>
        </w:tc>
        <w:tc>
          <w:tcPr>
            <w:tcW w:w="8820" w:type="dxa"/>
            <w:vAlign w:val="bottom"/>
            <w:tcBorders>
              <w:right w:val="single" w:sz="8" w:color="auto"/>
            </w:tcBorders>
          </w:tcPr>
          <w:p>
            <w:pPr>
              <w:ind w:left="720"/>
              <w:spacing w:after="0"/>
              <w:rPr>
                <w:sz w:val="20"/>
                <w:szCs w:val="20"/>
                <w:color w:val="auto"/>
              </w:rPr>
            </w:pPr>
            <w:r>
              <w:rPr>
                <w:rFonts w:ascii="Arial" w:cs="Arial" w:eastAsia="Arial" w:hAnsi="Arial"/>
                <w:sz w:val="16"/>
                <w:szCs w:val="16"/>
                <w:b w:val="1"/>
                <w:bCs w:val="1"/>
                <w:color w:val="32406B"/>
              </w:rPr>
              <w:t>September 12, 2017 to determine the best separation alternative to maximize shareholder value</w:t>
            </w:r>
            <w:r>
              <w:rPr>
                <w:rFonts w:ascii="Arial" w:cs="Arial" w:eastAsia="Arial" w:hAnsi="Arial"/>
                <w:sz w:val="16"/>
                <w:szCs w:val="16"/>
                <w:color w:val="000000"/>
              </w:rPr>
              <w:t>.</w:t>
            </w:r>
          </w:p>
        </w:tc>
      </w:tr>
      <w:tr>
        <w:trPr>
          <w:trHeight w:val="264"/>
        </w:trPr>
        <w:tc>
          <w:tcPr>
            <w:tcW w:w="2200" w:type="dxa"/>
            <w:vAlign w:val="bottom"/>
            <w:tcBorders>
              <w:left w:val="single" w:sz="8" w:color="auto"/>
              <w:right w:val="single" w:sz="8" w:color="auto"/>
            </w:tcBorders>
            <w:shd w:val="clear" w:color="auto" w:fill="32406B"/>
          </w:tcPr>
          <w:p>
            <w:pPr>
              <w:spacing w:after="0"/>
              <w:rPr>
                <w:sz w:val="22"/>
                <w:szCs w:val="22"/>
                <w:color w:val="auto"/>
              </w:rPr>
            </w:pPr>
          </w:p>
        </w:tc>
        <w:tc>
          <w:tcPr>
            <w:tcW w:w="8820" w:type="dxa"/>
            <w:vAlign w:val="bottom"/>
            <w:tcBorders>
              <w:right w:val="single" w:sz="8" w:color="auto"/>
            </w:tcBorders>
          </w:tcPr>
          <w:p>
            <w:pPr>
              <w:ind w:left="540"/>
              <w:spacing w:after="0"/>
              <w:rPr>
                <w:sz w:val="20"/>
                <w:szCs w:val="20"/>
                <w:color w:val="auto"/>
              </w:rPr>
            </w:pPr>
            <w:r>
              <w:rPr>
                <w:rFonts w:ascii="Arial" w:cs="Arial" w:eastAsia="Arial" w:hAnsi="Arial"/>
                <w:sz w:val="16"/>
                <w:szCs w:val="16"/>
                <w:color w:val="auto"/>
              </w:rPr>
              <w:t>•  As part of its review of strategic alternatives for the separation of Apergy, our Board considered a number of</w:t>
            </w:r>
          </w:p>
        </w:tc>
      </w:tr>
      <w:tr>
        <w:trPr>
          <w:trHeight w:val="169"/>
        </w:trPr>
        <w:tc>
          <w:tcPr>
            <w:tcW w:w="2200" w:type="dxa"/>
            <w:vAlign w:val="bottom"/>
            <w:tcBorders>
              <w:left w:val="single" w:sz="8" w:color="auto"/>
              <w:right w:val="single" w:sz="8" w:color="auto"/>
            </w:tcBorders>
            <w:shd w:val="clear" w:color="auto" w:fill="32406B"/>
          </w:tcPr>
          <w:p>
            <w:pPr>
              <w:spacing w:after="0"/>
              <w:rPr>
                <w:sz w:val="14"/>
                <w:szCs w:val="14"/>
                <w:color w:val="auto"/>
              </w:rPr>
            </w:pPr>
          </w:p>
        </w:tc>
        <w:tc>
          <w:tcPr>
            <w:tcW w:w="8820" w:type="dxa"/>
            <w:vAlign w:val="bottom"/>
            <w:tcBorders>
              <w:right w:val="single" w:sz="8" w:color="auto"/>
            </w:tcBorders>
          </w:tcPr>
          <w:p>
            <w:pPr>
              <w:ind w:left="720"/>
              <w:spacing w:after="0" w:line="169" w:lineRule="exact"/>
              <w:rPr>
                <w:sz w:val="20"/>
                <w:szCs w:val="20"/>
                <w:color w:val="auto"/>
              </w:rPr>
            </w:pPr>
            <w:r>
              <w:rPr>
                <w:rFonts w:ascii="Arial" w:cs="Arial" w:eastAsia="Arial" w:hAnsi="Arial"/>
                <w:sz w:val="16"/>
                <w:szCs w:val="16"/>
                <w:color w:val="auto"/>
              </w:rPr>
              <w:t>options, including a tax-free spin-off, sale or other strategic combination. Upon completing this assessment, our</w:t>
            </w:r>
          </w:p>
        </w:tc>
      </w:tr>
      <w:tr>
        <w:trPr>
          <w:trHeight w:val="189"/>
        </w:trPr>
        <w:tc>
          <w:tcPr>
            <w:tcW w:w="2200" w:type="dxa"/>
            <w:vAlign w:val="bottom"/>
            <w:tcBorders>
              <w:left w:val="single" w:sz="8" w:color="auto"/>
              <w:right w:val="single" w:sz="8" w:color="auto"/>
            </w:tcBorders>
            <w:shd w:val="clear" w:color="auto" w:fill="32406B"/>
          </w:tcPr>
          <w:p>
            <w:pPr>
              <w:spacing w:after="0"/>
              <w:rPr>
                <w:sz w:val="16"/>
                <w:szCs w:val="16"/>
                <w:color w:val="auto"/>
              </w:rPr>
            </w:pPr>
          </w:p>
        </w:tc>
        <w:tc>
          <w:tcPr>
            <w:tcW w:w="8820" w:type="dxa"/>
            <w:vAlign w:val="bottom"/>
            <w:tcBorders>
              <w:right w:val="single" w:sz="8" w:color="auto"/>
            </w:tcBorders>
          </w:tcPr>
          <w:p>
            <w:pPr>
              <w:ind w:left="720"/>
              <w:spacing w:after="0"/>
              <w:rPr>
                <w:sz w:val="20"/>
                <w:szCs w:val="20"/>
                <w:color w:val="auto"/>
              </w:rPr>
            </w:pPr>
            <w:r>
              <w:rPr>
                <w:rFonts w:ascii="Arial" w:cs="Arial" w:eastAsia="Arial" w:hAnsi="Arial"/>
                <w:sz w:val="16"/>
                <w:szCs w:val="16"/>
                <w:color w:val="auto"/>
              </w:rPr>
              <w:t xml:space="preserve">Board determined that a </w:t>
            </w:r>
            <w:r>
              <w:rPr>
                <w:rFonts w:ascii="Arial" w:cs="Arial" w:eastAsia="Arial" w:hAnsi="Arial"/>
                <w:sz w:val="16"/>
                <w:szCs w:val="16"/>
                <w:b w:val="1"/>
                <w:bCs w:val="1"/>
                <w:color w:val="32406B"/>
              </w:rPr>
              <w:t>tax-free spin-off was the option that would create the best long-term results for</w:t>
            </w:r>
          </w:p>
        </w:tc>
      </w:tr>
      <w:tr>
        <w:trPr>
          <w:trHeight w:val="214"/>
        </w:trPr>
        <w:tc>
          <w:tcPr>
            <w:tcW w:w="2200" w:type="dxa"/>
            <w:vAlign w:val="bottom"/>
            <w:tcBorders>
              <w:left w:val="single" w:sz="8" w:color="auto"/>
              <w:right w:val="single" w:sz="8" w:color="auto"/>
            </w:tcBorders>
            <w:shd w:val="clear" w:color="auto" w:fill="32406B"/>
          </w:tcPr>
          <w:p>
            <w:pPr>
              <w:spacing w:after="0"/>
              <w:rPr>
                <w:sz w:val="18"/>
                <w:szCs w:val="18"/>
                <w:color w:val="auto"/>
              </w:rPr>
            </w:pPr>
          </w:p>
        </w:tc>
        <w:tc>
          <w:tcPr>
            <w:tcW w:w="8820" w:type="dxa"/>
            <w:vAlign w:val="bottom"/>
            <w:tcBorders>
              <w:right w:val="single" w:sz="8" w:color="auto"/>
            </w:tcBorders>
          </w:tcPr>
          <w:p>
            <w:pPr>
              <w:ind w:left="720"/>
              <w:spacing w:after="0"/>
              <w:rPr>
                <w:sz w:val="20"/>
                <w:szCs w:val="20"/>
                <w:color w:val="auto"/>
              </w:rPr>
            </w:pPr>
            <w:r>
              <w:rPr>
                <w:rFonts w:ascii="Arial" w:cs="Arial" w:eastAsia="Arial" w:hAnsi="Arial"/>
                <w:sz w:val="16"/>
                <w:szCs w:val="16"/>
                <w:b w:val="1"/>
                <w:bCs w:val="1"/>
                <w:color w:val="32406B"/>
              </w:rPr>
              <w:t>the businesses and the most value for shareholders</w:t>
            </w:r>
            <w:r>
              <w:rPr>
                <w:rFonts w:ascii="Arial" w:cs="Arial" w:eastAsia="Arial" w:hAnsi="Arial"/>
                <w:sz w:val="16"/>
                <w:szCs w:val="16"/>
                <w:color w:val="000000"/>
              </w:rPr>
              <w:t>.</w:t>
            </w:r>
          </w:p>
        </w:tc>
      </w:tr>
      <w:tr>
        <w:trPr>
          <w:trHeight w:val="270"/>
        </w:trPr>
        <w:tc>
          <w:tcPr>
            <w:tcW w:w="2200" w:type="dxa"/>
            <w:vAlign w:val="bottom"/>
            <w:tcBorders>
              <w:left w:val="single" w:sz="8" w:color="auto"/>
              <w:right w:val="single" w:sz="8" w:color="auto"/>
            </w:tcBorders>
            <w:shd w:val="clear" w:color="auto" w:fill="32406B"/>
          </w:tcPr>
          <w:p>
            <w:pPr>
              <w:spacing w:after="0"/>
              <w:rPr>
                <w:sz w:val="23"/>
                <w:szCs w:val="23"/>
                <w:color w:val="auto"/>
              </w:rPr>
            </w:pPr>
          </w:p>
        </w:tc>
        <w:tc>
          <w:tcPr>
            <w:tcW w:w="8820" w:type="dxa"/>
            <w:vAlign w:val="bottom"/>
            <w:tcBorders>
              <w:right w:val="single" w:sz="8" w:color="auto"/>
            </w:tcBorders>
          </w:tcPr>
          <w:p>
            <w:pPr>
              <w:ind w:left="540"/>
              <w:spacing w:after="0"/>
              <w:rPr>
                <w:sz w:val="20"/>
                <w:szCs w:val="20"/>
                <w:color w:val="auto"/>
              </w:rPr>
            </w:pPr>
            <w:r>
              <w:rPr>
                <w:rFonts w:ascii="Arial" w:cs="Arial" w:eastAsia="Arial" w:hAnsi="Arial"/>
                <w:sz w:val="16"/>
                <w:szCs w:val="16"/>
                <w:color w:val="auto"/>
              </w:rPr>
              <w:t xml:space="preserve">•  We believe our </w:t>
            </w:r>
            <w:r>
              <w:rPr>
                <w:rFonts w:ascii="Arial" w:cs="Arial" w:eastAsia="Arial" w:hAnsi="Arial"/>
                <w:sz w:val="16"/>
                <w:szCs w:val="16"/>
                <w:b w:val="1"/>
                <w:bCs w:val="1"/>
                <w:color w:val="32406B"/>
              </w:rPr>
              <w:t>core platform businesses</w:t>
            </w:r>
            <w:r>
              <w:rPr>
                <w:rFonts w:ascii="Arial" w:cs="Arial" w:eastAsia="Arial" w:hAnsi="Arial"/>
                <w:sz w:val="16"/>
                <w:szCs w:val="16"/>
                <w:color w:val="auto"/>
              </w:rPr>
              <w:t xml:space="preserve"> are well-positioned for </w:t>
            </w:r>
            <w:r>
              <w:rPr>
                <w:rFonts w:ascii="Arial" w:cs="Arial" w:eastAsia="Arial" w:hAnsi="Arial"/>
                <w:sz w:val="16"/>
                <w:szCs w:val="16"/>
                <w:b w:val="1"/>
                <w:bCs w:val="1"/>
                <w:color w:val="32406B"/>
              </w:rPr>
              <w:t>long-term sustainable growth and returns</w:t>
            </w:r>
            <w:r>
              <w:rPr>
                <w:rFonts w:ascii="Arial" w:cs="Arial" w:eastAsia="Arial" w:hAnsi="Arial"/>
                <w:sz w:val="16"/>
                <w:szCs w:val="16"/>
                <w:color w:val="auto"/>
              </w:rPr>
              <w:t>.</w:t>
            </w:r>
          </w:p>
        </w:tc>
      </w:tr>
      <w:tr>
        <w:trPr>
          <w:trHeight w:val="87"/>
        </w:trPr>
        <w:tc>
          <w:tcPr>
            <w:tcW w:w="2200" w:type="dxa"/>
            <w:vAlign w:val="bottom"/>
            <w:tcBorders>
              <w:left w:val="single" w:sz="8" w:color="auto"/>
              <w:bottom w:val="single" w:sz="8" w:color="auto"/>
              <w:right w:val="single" w:sz="8" w:color="auto"/>
            </w:tcBorders>
            <w:shd w:val="clear" w:color="auto" w:fill="32406B"/>
          </w:tcPr>
          <w:p>
            <w:pPr>
              <w:spacing w:after="0"/>
              <w:rPr>
                <w:sz w:val="7"/>
                <w:szCs w:val="7"/>
                <w:color w:val="auto"/>
              </w:rPr>
            </w:pPr>
          </w:p>
        </w:tc>
        <w:tc>
          <w:tcPr>
            <w:tcW w:w="8820" w:type="dxa"/>
            <w:vAlign w:val="bottom"/>
            <w:tcBorders>
              <w:bottom w:val="single" w:sz="8" w:color="auto"/>
              <w:right w:val="single" w:sz="8" w:color="auto"/>
            </w:tcBorders>
          </w:tcPr>
          <w:p>
            <w:pPr>
              <w:spacing w:after="0"/>
              <w:rPr>
                <w:sz w:val="7"/>
                <w:szCs w:val="7"/>
                <w:color w:val="auto"/>
              </w:rPr>
            </w:pPr>
          </w:p>
        </w:tc>
      </w:tr>
      <w:tr>
        <w:trPr>
          <w:trHeight w:val="218"/>
        </w:trPr>
        <w:tc>
          <w:tcPr>
            <w:tcW w:w="2200" w:type="dxa"/>
            <w:vAlign w:val="bottom"/>
            <w:tcBorders>
              <w:left w:val="single" w:sz="8" w:color="auto"/>
              <w:right w:val="single" w:sz="8" w:color="auto"/>
            </w:tcBorders>
            <w:shd w:val="clear" w:color="auto" w:fill="32406B"/>
          </w:tcPr>
          <w:p>
            <w:pPr>
              <w:ind w:left="240"/>
              <w:spacing w:after="0"/>
              <w:rPr>
                <w:sz w:val="20"/>
                <w:szCs w:val="20"/>
                <w:color w:val="auto"/>
              </w:rPr>
            </w:pPr>
            <w:r>
              <w:rPr>
                <w:rFonts w:ascii="Arial" w:cs="Arial" w:eastAsia="Arial" w:hAnsi="Arial"/>
                <w:sz w:val="16"/>
                <w:szCs w:val="16"/>
                <w:b w:val="1"/>
                <w:bCs w:val="1"/>
                <w:color w:val="FFFFFF"/>
              </w:rPr>
              <w:t>Capital Allocation</w:t>
            </w:r>
          </w:p>
        </w:tc>
        <w:tc>
          <w:tcPr>
            <w:tcW w:w="8820" w:type="dxa"/>
            <w:vAlign w:val="bottom"/>
            <w:tcBorders>
              <w:right w:val="single" w:sz="8" w:color="auto"/>
            </w:tcBorders>
          </w:tcPr>
          <w:p>
            <w:pPr>
              <w:ind w:left="540"/>
              <w:spacing w:after="0"/>
              <w:rPr>
                <w:sz w:val="20"/>
                <w:szCs w:val="20"/>
                <w:color w:val="auto"/>
              </w:rPr>
            </w:pPr>
            <w:r>
              <w:rPr>
                <w:rFonts w:ascii="Arial" w:cs="Arial" w:eastAsia="Arial" w:hAnsi="Arial"/>
                <w:sz w:val="16"/>
                <w:szCs w:val="16"/>
                <w:color w:val="auto"/>
              </w:rPr>
              <w:t xml:space="preserve">•  Our Board is focused on the </w:t>
            </w:r>
            <w:r>
              <w:rPr>
                <w:rFonts w:ascii="Arial" w:cs="Arial" w:eastAsia="Arial" w:hAnsi="Arial"/>
                <w:sz w:val="16"/>
                <w:szCs w:val="16"/>
                <w:b w:val="1"/>
                <w:bCs w:val="1"/>
                <w:color w:val="32406B"/>
              </w:rPr>
              <w:t>efficient allocation of capital to drive growth and provide returns to our</w:t>
            </w:r>
          </w:p>
        </w:tc>
      </w:tr>
      <w:tr>
        <w:trPr>
          <w:trHeight w:val="214"/>
        </w:trPr>
        <w:tc>
          <w:tcPr>
            <w:tcW w:w="2200" w:type="dxa"/>
            <w:vAlign w:val="bottom"/>
            <w:tcBorders>
              <w:left w:val="single" w:sz="8" w:color="auto"/>
              <w:right w:val="single" w:sz="8" w:color="auto"/>
            </w:tcBorders>
            <w:shd w:val="clear" w:color="auto" w:fill="32406B"/>
          </w:tcPr>
          <w:p>
            <w:pPr>
              <w:spacing w:after="0"/>
              <w:rPr>
                <w:sz w:val="18"/>
                <w:szCs w:val="18"/>
                <w:color w:val="auto"/>
              </w:rPr>
            </w:pPr>
          </w:p>
        </w:tc>
        <w:tc>
          <w:tcPr>
            <w:tcW w:w="8820" w:type="dxa"/>
            <w:vAlign w:val="bottom"/>
            <w:tcBorders>
              <w:right w:val="single" w:sz="8" w:color="auto"/>
            </w:tcBorders>
          </w:tcPr>
          <w:p>
            <w:pPr>
              <w:ind w:left="720"/>
              <w:spacing w:after="0"/>
              <w:rPr>
                <w:sz w:val="20"/>
                <w:szCs w:val="20"/>
                <w:color w:val="auto"/>
              </w:rPr>
            </w:pPr>
            <w:r>
              <w:rPr>
                <w:rFonts w:ascii="Arial" w:cs="Arial" w:eastAsia="Arial" w:hAnsi="Arial"/>
                <w:sz w:val="16"/>
                <w:szCs w:val="16"/>
                <w:b w:val="1"/>
                <w:bCs w:val="1"/>
                <w:color w:val="32406B"/>
              </w:rPr>
              <w:t>shareholders</w:t>
            </w:r>
            <w:r>
              <w:rPr>
                <w:rFonts w:ascii="Arial" w:cs="Arial" w:eastAsia="Arial" w:hAnsi="Arial"/>
                <w:sz w:val="16"/>
                <w:szCs w:val="16"/>
                <w:color w:val="000000"/>
              </w:rPr>
              <w:t>.</w:t>
            </w:r>
          </w:p>
        </w:tc>
      </w:tr>
      <w:tr>
        <w:trPr>
          <w:trHeight w:val="244"/>
        </w:trPr>
        <w:tc>
          <w:tcPr>
            <w:tcW w:w="2200" w:type="dxa"/>
            <w:vAlign w:val="bottom"/>
            <w:tcBorders>
              <w:left w:val="single" w:sz="8" w:color="auto"/>
              <w:right w:val="single" w:sz="8" w:color="auto"/>
            </w:tcBorders>
            <w:shd w:val="clear" w:color="auto" w:fill="32406B"/>
          </w:tcPr>
          <w:p>
            <w:pPr>
              <w:spacing w:after="0"/>
              <w:rPr>
                <w:sz w:val="21"/>
                <w:szCs w:val="21"/>
                <w:color w:val="auto"/>
              </w:rPr>
            </w:pPr>
          </w:p>
        </w:tc>
        <w:tc>
          <w:tcPr>
            <w:tcW w:w="8820" w:type="dxa"/>
            <w:vAlign w:val="bottom"/>
            <w:tcBorders>
              <w:right w:val="single" w:sz="8" w:color="auto"/>
            </w:tcBorders>
          </w:tcPr>
          <w:p>
            <w:pPr>
              <w:ind w:left="540"/>
              <w:spacing w:after="0"/>
              <w:rPr>
                <w:sz w:val="20"/>
                <w:szCs w:val="20"/>
                <w:color w:val="auto"/>
              </w:rPr>
            </w:pPr>
            <w:r>
              <w:rPr>
                <w:rFonts w:ascii="Arial" w:cs="Arial" w:eastAsia="Arial" w:hAnsi="Arial"/>
                <w:sz w:val="16"/>
                <w:szCs w:val="16"/>
                <w:color w:val="auto"/>
              </w:rPr>
              <w:t xml:space="preserve">•  Businesses in our portfolio are continually evaluated for </w:t>
            </w:r>
            <w:r>
              <w:rPr>
                <w:rFonts w:ascii="Arial" w:cs="Arial" w:eastAsia="Arial" w:hAnsi="Arial"/>
                <w:sz w:val="16"/>
                <w:szCs w:val="16"/>
                <w:b w:val="1"/>
                <w:bCs w:val="1"/>
                <w:color w:val="32406B"/>
              </w:rPr>
              <w:t>strategic fit</w:t>
            </w:r>
            <w:r>
              <w:rPr>
                <w:rFonts w:ascii="Arial" w:cs="Arial" w:eastAsia="Arial" w:hAnsi="Arial"/>
                <w:sz w:val="16"/>
                <w:szCs w:val="16"/>
                <w:color w:val="auto"/>
              </w:rPr>
              <w:t xml:space="preserve"> and our acquisitions are </w:t>
            </w:r>
            <w:r>
              <w:rPr>
                <w:rFonts w:ascii="Arial" w:cs="Arial" w:eastAsia="Arial" w:hAnsi="Arial"/>
                <w:sz w:val="16"/>
                <w:szCs w:val="16"/>
                <w:b w:val="1"/>
                <w:bCs w:val="1"/>
                <w:color w:val="32406B"/>
              </w:rPr>
              <w:t>targeted in our</w:t>
            </w:r>
          </w:p>
        </w:tc>
      </w:tr>
      <w:tr>
        <w:trPr>
          <w:trHeight w:val="209"/>
        </w:trPr>
        <w:tc>
          <w:tcPr>
            <w:tcW w:w="2200" w:type="dxa"/>
            <w:vAlign w:val="bottom"/>
            <w:tcBorders>
              <w:left w:val="single" w:sz="8" w:color="auto"/>
              <w:right w:val="single" w:sz="8" w:color="auto"/>
            </w:tcBorders>
            <w:shd w:val="clear" w:color="auto" w:fill="32406B"/>
          </w:tcPr>
          <w:p>
            <w:pPr>
              <w:spacing w:after="0"/>
              <w:rPr>
                <w:sz w:val="18"/>
                <w:szCs w:val="18"/>
                <w:color w:val="auto"/>
              </w:rPr>
            </w:pPr>
          </w:p>
        </w:tc>
        <w:tc>
          <w:tcPr>
            <w:tcW w:w="8820" w:type="dxa"/>
            <w:vAlign w:val="bottom"/>
            <w:tcBorders>
              <w:right w:val="single" w:sz="8" w:color="auto"/>
            </w:tcBorders>
          </w:tcPr>
          <w:p>
            <w:pPr>
              <w:ind w:left="720"/>
              <w:spacing w:after="0"/>
              <w:rPr>
                <w:sz w:val="20"/>
                <w:szCs w:val="20"/>
                <w:color w:val="auto"/>
              </w:rPr>
            </w:pPr>
            <w:r>
              <w:rPr>
                <w:rFonts w:ascii="Arial" w:cs="Arial" w:eastAsia="Arial" w:hAnsi="Arial"/>
                <w:sz w:val="16"/>
                <w:szCs w:val="16"/>
                <w:b w:val="1"/>
                <w:bCs w:val="1"/>
                <w:color w:val="32406B"/>
              </w:rPr>
              <w:t xml:space="preserve">key growth markets </w:t>
            </w:r>
            <w:r>
              <w:rPr>
                <w:rFonts w:ascii="Arial" w:cs="Arial" w:eastAsia="Arial" w:hAnsi="Arial"/>
                <w:sz w:val="16"/>
                <w:szCs w:val="16"/>
                <w:color w:val="000000"/>
              </w:rPr>
              <w:t>which include printing and identification, refrigeration and food equipment, pumps, fueling</w:t>
            </w:r>
          </w:p>
        </w:tc>
      </w:tr>
      <w:tr>
        <w:trPr>
          <w:trHeight w:val="194"/>
        </w:trPr>
        <w:tc>
          <w:tcPr>
            <w:tcW w:w="2200" w:type="dxa"/>
            <w:vAlign w:val="bottom"/>
            <w:tcBorders>
              <w:left w:val="single" w:sz="8" w:color="auto"/>
              <w:right w:val="single" w:sz="8" w:color="auto"/>
            </w:tcBorders>
            <w:shd w:val="clear" w:color="auto" w:fill="32406B"/>
          </w:tcPr>
          <w:p>
            <w:pPr>
              <w:spacing w:after="0"/>
              <w:rPr>
                <w:sz w:val="16"/>
                <w:szCs w:val="16"/>
                <w:color w:val="auto"/>
              </w:rPr>
            </w:pPr>
          </w:p>
        </w:tc>
        <w:tc>
          <w:tcPr>
            <w:tcW w:w="8820" w:type="dxa"/>
            <w:vAlign w:val="bottom"/>
            <w:tcBorders>
              <w:right w:val="single" w:sz="8" w:color="auto"/>
            </w:tcBorders>
          </w:tcPr>
          <w:p>
            <w:pPr>
              <w:ind w:left="720"/>
              <w:spacing w:after="0"/>
              <w:rPr>
                <w:sz w:val="20"/>
                <w:szCs w:val="20"/>
                <w:color w:val="auto"/>
              </w:rPr>
            </w:pPr>
            <w:r>
              <w:rPr>
                <w:rFonts w:ascii="Arial" w:cs="Arial" w:eastAsia="Arial" w:hAnsi="Arial"/>
                <w:sz w:val="16"/>
                <w:szCs w:val="16"/>
                <w:color w:val="auto"/>
              </w:rPr>
              <w:t>and transport, hygienic and pharma and select energy markets.</w:t>
            </w:r>
          </w:p>
        </w:tc>
      </w:tr>
      <w:tr>
        <w:trPr>
          <w:trHeight w:val="244"/>
        </w:trPr>
        <w:tc>
          <w:tcPr>
            <w:tcW w:w="2200" w:type="dxa"/>
            <w:vAlign w:val="bottom"/>
            <w:tcBorders>
              <w:left w:val="single" w:sz="8" w:color="auto"/>
              <w:right w:val="single" w:sz="8" w:color="auto"/>
            </w:tcBorders>
            <w:shd w:val="clear" w:color="auto" w:fill="32406B"/>
          </w:tcPr>
          <w:p>
            <w:pPr>
              <w:spacing w:after="0"/>
              <w:rPr>
                <w:sz w:val="21"/>
                <w:szCs w:val="21"/>
                <w:color w:val="auto"/>
              </w:rPr>
            </w:pPr>
          </w:p>
        </w:tc>
        <w:tc>
          <w:tcPr>
            <w:tcW w:w="8820" w:type="dxa"/>
            <w:vAlign w:val="bottom"/>
            <w:tcBorders>
              <w:right w:val="single" w:sz="8" w:color="auto"/>
            </w:tcBorders>
          </w:tcPr>
          <w:p>
            <w:pPr>
              <w:ind w:left="540"/>
              <w:spacing w:after="0"/>
              <w:rPr>
                <w:sz w:val="20"/>
                <w:szCs w:val="20"/>
                <w:color w:val="auto"/>
              </w:rPr>
            </w:pPr>
            <w:r>
              <w:rPr>
                <w:rFonts w:ascii="Arial" w:cs="Arial" w:eastAsia="Arial" w:hAnsi="Arial"/>
                <w:sz w:val="16"/>
                <w:szCs w:val="16"/>
                <w:color w:val="auto"/>
              </w:rPr>
              <w:t xml:space="preserve">•  We consistently </w:t>
            </w:r>
            <w:r>
              <w:rPr>
                <w:rFonts w:ascii="Arial" w:cs="Arial" w:eastAsia="Arial" w:hAnsi="Arial"/>
                <w:sz w:val="16"/>
                <w:szCs w:val="16"/>
                <w:b w:val="1"/>
                <w:bCs w:val="1"/>
                <w:color w:val="32406B"/>
              </w:rPr>
              <w:t>return cash to shareholders</w:t>
            </w:r>
            <w:r>
              <w:rPr>
                <w:rFonts w:ascii="Arial" w:cs="Arial" w:eastAsia="Arial" w:hAnsi="Arial"/>
                <w:sz w:val="16"/>
                <w:szCs w:val="16"/>
                <w:color w:val="auto"/>
              </w:rPr>
              <w:t xml:space="preserve"> by paying </w:t>
            </w:r>
            <w:r>
              <w:rPr>
                <w:rFonts w:ascii="Arial" w:cs="Arial" w:eastAsia="Arial" w:hAnsi="Arial"/>
                <w:sz w:val="16"/>
                <w:szCs w:val="16"/>
                <w:b w:val="1"/>
                <w:bCs w:val="1"/>
                <w:color w:val="32406B"/>
              </w:rPr>
              <w:t>dividends</w:t>
            </w:r>
            <w:r>
              <w:rPr>
                <w:rFonts w:ascii="Arial" w:cs="Arial" w:eastAsia="Arial" w:hAnsi="Arial"/>
                <w:sz w:val="16"/>
                <w:szCs w:val="16"/>
                <w:color w:val="auto"/>
              </w:rPr>
              <w:t xml:space="preserve">, which </w:t>
            </w:r>
            <w:r>
              <w:rPr>
                <w:rFonts w:ascii="Arial" w:cs="Arial" w:eastAsia="Arial" w:hAnsi="Arial"/>
                <w:sz w:val="16"/>
                <w:szCs w:val="16"/>
                <w:b w:val="1"/>
                <w:bCs w:val="1"/>
                <w:color w:val="32406B"/>
              </w:rPr>
              <w:t>have increased annually over</w:t>
            </w:r>
          </w:p>
        </w:tc>
      </w:tr>
      <w:tr>
        <w:trPr>
          <w:trHeight w:val="214"/>
        </w:trPr>
        <w:tc>
          <w:tcPr>
            <w:tcW w:w="2200" w:type="dxa"/>
            <w:vAlign w:val="bottom"/>
            <w:tcBorders>
              <w:left w:val="single" w:sz="8" w:color="auto"/>
              <w:right w:val="single" w:sz="8" w:color="auto"/>
            </w:tcBorders>
            <w:shd w:val="clear" w:color="auto" w:fill="32406B"/>
          </w:tcPr>
          <w:p>
            <w:pPr>
              <w:spacing w:after="0"/>
              <w:rPr>
                <w:sz w:val="18"/>
                <w:szCs w:val="18"/>
                <w:color w:val="auto"/>
              </w:rPr>
            </w:pPr>
          </w:p>
        </w:tc>
        <w:tc>
          <w:tcPr>
            <w:tcW w:w="8820" w:type="dxa"/>
            <w:vAlign w:val="bottom"/>
            <w:tcBorders>
              <w:right w:val="single" w:sz="8" w:color="auto"/>
            </w:tcBorders>
          </w:tcPr>
          <w:p>
            <w:pPr>
              <w:ind w:left="720"/>
              <w:spacing w:after="0"/>
              <w:rPr>
                <w:sz w:val="20"/>
                <w:szCs w:val="20"/>
                <w:color w:val="auto"/>
              </w:rPr>
            </w:pPr>
            <w:r>
              <w:rPr>
                <w:rFonts w:ascii="Arial" w:cs="Arial" w:eastAsia="Arial" w:hAnsi="Arial"/>
                <w:sz w:val="16"/>
                <w:szCs w:val="16"/>
                <w:b w:val="1"/>
                <w:bCs w:val="1"/>
                <w:color w:val="32406B"/>
              </w:rPr>
              <w:t>each of the last 62 years</w:t>
            </w:r>
            <w:r>
              <w:rPr>
                <w:rFonts w:ascii="Arial" w:cs="Arial" w:eastAsia="Arial" w:hAnsi="Arial"/>
                <w:sz w:val="16"/>
                <w:szCs w:val="16"/>
                <w:color w:val="000000"/>
              </w:rPr>
              <w:t>.</w:t>
            </w:r>
          </w:p>
        </w:tc>
      </w:tr>
      <w:tr>
        <w:trPr>
          <w:trHeight w:val="264"/>
        </w:trPr>
        <w:tc>
          <w:tcPr>
            <w:tcW w:w="2200" w:type="dxa"/>
            <w:vAlign w:val="bottom"/>
            <w:tcBorders>
              <w:left w:val="single" w:sz="8" w:color="auto"/>
              <w:right w:val="single" w:sz="8" w:color="auto"/>
            </w:tcBorders>
            <w:shd w:val="clear" w:color="auto" w:fill="32406B"/>
          </w:tcPr>
          <w:p>
            <w:pPr>
              <w:spacing w:after="0"/>
              <w:rPr>
                <w:sz w:val="22"/>
                <w:szCs w:val="22"/>
                <w:color w:val="auto"/>
              </w:rPr>
            </w:pPr>
          </w:p>
        </w:tc>
        <w:tc>
          <w:tcPr>
            <w:tcW w:w="8820" w:type="dxa"/>
            <w:vAlign w:val="bottom"/>
            <w:tcBorders>
              <w:right w:val="single" w:sz="8" w:color="auto"/>
            </w:tcBorders>
          </w:tcPr>
          <w:p>
            <w:pPr>
              <w:ind w:left="540"/>
              <w:spacing w:after="0"/>
              <w:rPr>
                <w:sz w:val="20"/>
                <w:szCs w:val="20"/>
                <w:color w:val="auto"/>
              </w:rPr>
            </w:pPr>
            <w:r>
              <w:rPr>
                <w:rFonts w:ascii="Arial" w:cs="Arial" w:eastAsia="Arial" w:hAnsi="Arial"/>
                <w:sz w:val="16"/>
                <w:szCs w:val="16"/>
                <w:color w:val="auto"/>
              </w:rPr>
              <w:t xml:space="preserve">•  We will also plan to complete </w:t>
            </w:r>
            <w:r>
              <w:rPr>
                <w:rFonts w:ascii="Arial" w:cs="Arial" w:eastAsia="Arial" w:hAnsi="Arial"/>
                <w:sz w:val="16"/>
                <w:szCs w:val="16"/>
                <w:b w:val="1"/>
                <w:bCs w:val="1"/>
                <w:color w:val="32406B"/>
              </w:rPr>
              <w:t>$1 billion of share repurchases</w:t>
            </w:r>
            <w:r>
              <w:rPr>
                <w:rFonts w:ascii="Arial" w:cs="Arial" w:eastAsia="Arial" w:hAnsi="Arial"/>
                <w:sz w:val="16"/>
                <w:szCs w:val="16"/>
                <w:color w:val="auto"/>
              </w:rPr>
              <w:t xml:space="preserve"> by the end of 2018 as part of our capital</w:t>
            </w:r>
          </w:p>
        </w:tc>
      </w:tr>
      <w:tr>
        <w:trPr>
          <w:trHeight w:val="194"/>
        </w:trPr>
        <w:tc>
          <w:tcPr>
            <w:tcW w:w="2200" w:type="dxa"/>
            <w:vAlign w:val="bottom"/>
            <w:tcBorders>
              <w:left w:val="single" w:sz="8" w:color="auto"/>
              <w:right w:val="single" w:sz="8" w:color="auto"/>
            </w:tcBorders>
            <w:shd w:val="clear" w:color="auto" w:fill="32406B"/>
          </w:tcPr>
          <w:p>
            <w:pPr>
              <w:spacing w:after="0"/>
              <w:rPr>
                <w:sz w:val="16"/>
                <w:szCs w:val="16"/>
                <w:color w:val="auto"/>
              </w:rPr>
            </w:pPr>
          </w:p>
        </w:tc>
        <w:tc>
          <w:tcPr>
            <w:tcW w:w="8820" w:type="dxa"/>
            <w:vAlign w:val="bottom"/>
            <w:tcBorders>
              <w:right w:val="single" w:sz="8" w:color="auto"/>
            </w:tcBorders>
          </w:tcPr>
          <w:p>
            <w:pPr>
              <w:ind w:left="720"/>
              <w:spacing w:after="0"/>
              <w:rPr>
                <w:sz w:val="20"/>
                <w:szCs w:val="20"/>
                <w:color w:val="auto"/>
              </w:rPr>
            </w:pPr>
            <w:r>
              <w:rPr>
                <w:rFonts w:ascii="Arial" w:cs="Arial" w:eastAsia="Arial" w:hAnsi="Arial"/>
                <w:sz w:val="16"/>
                <w:szCs w:val="16"/>
                <w:color w:val="auto"/>
              </w:rPr>
              <w:t>allocation strategy.</w:t>
            </w:r>
          </w:p>
        </w:tc>
      </w:tr>
      <w:tr>
        <w:trPr>
          <w:trHeight w:val="87"/>
        </w:trPr>
        <w:tc>
          <w:tcPr>
            <w:tcW w:w="2200" w:type="dxa"/>
            <w:vAlign w:val="bottom"/>
            <w:tcBorders>
              <w:left w:val="single" w:sz="8" w:color="auto"/>
              <w:bottom w:val="single" w:sz="8" w:color="auto"/>
              <w:right w:val="single" w:sz="8" w:color="auto"/>
            </w:tcBorders>
            <w:shd w:val="clear" w:color="auto" w:fill="32406B"/>
          </w:tcPr>
          <w:p>
            <w:pPr>
              <w:spacing w:after="0"/>
              <w:rPr>
                <w:sz w:val="7"/>
                <w:szCs w:val="7"/>
                <w:color w:val="auto"/>
              </w:rPr>
            </w:pPr>
          </w:p>
        </w:tc>
        <w:tc>
          <w:tcPr>
            <w:tcW w:w="8820" w:type="dxa"/>
            <w:vAlign w:val="bottom"/>
            <w:tcBorders>
              <w:bottom w:val="single" w:sz="8" w:color="auto"/>
              <w:right w:val="single" w:sz="8" w:color="auto"/>
            </w:tcBorders>
          </w:tcPr>
          <w:p>
            <w:pPr>
              <w:spacing w:after="0"/>
              <w:rPr>
                <w:sz w:val="7"/>
                <w:szCs w:val="7"/>
                <w:color w:val="auto"/>
              </w:rPr>
            </w:pPr>
          </w:p>
        </w:tc>
      </w:tr>
      <w:tr>
        <w:trPr>
          <w:trHeight w:val="238"/>
        </w:trPr>
        <w:tc>
          <w:tcPr>
            <w:tcW w:w="2200" w:type="dxa"/>
            <w:vAlign w:val="bottom"/>
            <w:tcBorders>
              <w:left w:val="single" w:sz="8" w:color="auto"/>
              <w:right w:val="single" w:sz="8" w:color="auto"/>
            </w:tcBorders>
            <w:shd w:val="clear" w:color="auto" w:fill="32406B"/>
          </w:tcPr>
          <w:p>
            <w:pPr>
              <w:ind w:left="240"/>
              <w:spacing w:after="0"/>
              <w:rPr>
                <w:sz w:val="20"/>
                <w:szCs w:val="20"/>
                <w:color w:val="auto"/>
              </w:rPr>
            </w:pPr>
            <w:r>
              <w:rPr>
                <w:rFonts w:ascii="Arial" w:cs="Arial" w:eastAsia="Arial" w:hAnsi="Arial"/>
                <w:sz w:val="16"/>
                <w:szCs w:val="16"/>
                <w:b w:val="1"/>
                <w:bCs w:val="1"/>
                <w:color w:val="FFFFFF"/>
              </w:rPr>
              <w:t>Risk Management</w:t>
            </w:r>
          </w:p>
        </w:tc>
        <w:tc>
          <w:tcPr>
            <w:tcW w:w="8820" w:type="dxa"/>
            <w:vAlign w:val="bottom"/>
            <w:tcBorders>
              <w:right w:val="single" w:sz="8" w:color="auto"/>
            </w:tcBorders>
          </w:tcPr>
          <w:p>
            <w:pPr>
              <w:ind w:left="540"/>
              <w:spacing w:after="0"/>
              <w:rPr>
                <w:sz w:val="20"/>
                <w:szCs w:val="20"/>
                <w:color w:val="auto"/>
              </w:rPr>
            </w:pPr>
            <w:r>
              <w:rPr>
                <w:rFonts w:ascii="Arial" w:cs="Arial" w:eastAsia="Arial" w:hAnsi="Arial"/>
                <w:sz w:val="16"/>
                <w:szCs w:val="16"/>
                <w:color w:val="auto"/>
              </w:rPr>
              <w:t xml:space="preserve">•  Our Board believes that </w:t>
            </w:r>
            <w:r>
              <w:rPr>
                <w:rFonts w:ascii="Arial" w:cs="Arial" w:eastAsia="Arial" w:hAnsi="Arial"/>
                <w:sz w:val="16"/>
                <w:szCs w:val="16"/>
                <w:b w:val="1"/>
                <w:bCs w:val="1"/>
                <w:color w:val="32406B"/>
              </w:rPr>
              <w:t>risk oversight</w:t>
            </w:r>
            <w:r>
              <w:rPr>
                <w:rFonts w:ascii="Arial" w:cs="Arial" w:eastAsia="Arial" w:hAnsi="Arial"/>
                <w:sz w:val="16"/>
                <w:szCs w:val="16"/>
                <w:color w:val="auto"/>
              </w:rPr>
              <w:t xml:space="preserve"> is the responsibility of the Board as a whole and not of any one of its</w:t>
            </w:r>
          </w:p>
        </w:tc>
      </w:tr>
      <w:tr>
        <w:trPr>
          <w:trHeight w:val="194"/>
        </w:trPr>
        <w:tc>
          <w:tcPr>
            <w:tcW w:w="2200" w:type="dxa"/>
            <w:vAlign w:val="bottom"/>
            <w:tcBorders>
              <w:left w:val="single" w:sz="8" w:color="auto"/>
              <w:right w:val="single" w:sz="8" w:color="auto"/>
            </w:tcBorders>
            <w:shd w:val="clear" w:color="auto" w:fill="32406B"/>
          </w:tcPr>
          <w:p>
            <w:pPr>
              <w:spacing w:after="0"/>
              <w:rPr>
                <w:sz w:val="16"/>
                <w:szCs w:val="16"/>
                <w:color w:val="auto"/>
              </w:rPr>
            </w:pPr>
          </w:p>
        </w:tc>
        <w:tc>
          <w:tcPr>
            <w:tcW w:w="8820" w:type="dxa"/>
            <w:vAlign w:val="bottom"/>
            <w:tcBorders>
              <w:right w:val="single" w:sz="8" w:color="auto"/>
            </w:tcBorders>
          </w:tcPr>
          <w:p>
            <w:pPr>
              <w:ind w:left="720"/>
              <w:spacing w:after="0"/>
              <w:rPr>
                <w:sz w:val="20"/>
                <w:szCs w:val="20"/>
                <w:color w:val="auto"/>
              </w:rPr>
            </w:pPr>
            <w:r>
              <w:rPr>
                <w:rFonts w:ascii="Arial" w:cs="Arial" w:eastAsia="Arial" w:hAnsi="Arial"/>
                <w:sz w:val="16"/>
                <w:szCs w:val="16"/>
                <w:color w:val="auto"/>
              </w:rPr>
              <w:t>committees.</w:t>
            </w:r>
          </w:p>
        </w:tc>
      </w:tr>
      <w:tr>
        <w:trPr>
          <w:trHeight w:val="244"/>
        </w:trPr>
        <w:tc>
          <w:tcPr>
            <w:tcW w:w="2200" w:type="dxa"/>
            <w:vAlign w:val="bottom"/>
            <w:tcBorders>
              <w:left w:val="single" w:sz="8" w:color="auto"/>
              <w:right w:val="single" w:sz="8" w:color="auto"/>
            </w:tcBorders>
            <w:shd w:val="clear" w:color="auto" w:fill="32406B"/>
          </w:tcPr>
          <w:p>
            <w:pPr>
              <w:spacing w:after="0"/>
              <w:rPr>
                <w:sz w:val="21"/>
                <w:szCs w:val="21"/>
                <w:color w:val="auto"/>
              </w:rPr>
            </w:pPr>
          </w:p>
        </w:tc>
        <w:tc>
          <w:tcPr>
            <w:tcW w:w="8820" w:type="dxa"/>
            <w:vAlign w:val="bottom"/>
            <w:tcBorders>
              <w:right w:val="single" w:sz="8" w:color="auto"/>
            </w:tcBorders>
          </w:tcPr>
          <w:p>
            <w:pPr>
              <w:ind w:left="540"/>
              <w:spacing w:after="0"/>
              <w:rPr>
                <w:sz w:val="20"/>
                <w:szCs w:val="20"/>
                <w:color w:val="auto"/>
              </w:rPr>
            </w:pPr>
            <w:r>
              <w:rPr>
                <w:rFonts w:ascii="Arial" w:cs="Arial" w:eastAsia="Arial" w:hAnsi="Arial"/>
                <w:sz w:val="16"/>
                <w:szCs w:val="16"/>
                <w:color w:val="auto"/>
              </w:rPr>
              <w:t>•  The Board periodically reviews the processes established by management to identify and manage risks and</w:t>
            </w:r>
          </w:p>
        </w:tc>
      </w:tr>
      <w:tr>
        <w:trPr>
          <w:trHeight w:val="214"/>
        </w:trPr>
        <w:tc>
          <w:tcPr>
            <w:tcW w:w="2200" w:type="dxa"/>
            <w:vAlign w:val="bottom"/>
            <w:tcBorders>
              <w:left w:val="single" w:sz="8" w:color="auto"/>
              <w:right w:val="single" w:sz="8" w:color="auto"/>
            </w:tcBorders>
            <w:shd w:val="clear" w:color="auto" w:fill="32406B"/>
          </w:tcPr>
          <w:p>
            <w:pPr>
              <w:spacing w:after="0"/>
              <w:rPr>
                <w:sz w:val="18"/>
                <w:szCs w:val="18"/>
                <w:color w:val="auto"/>
              </w:rPr>
            </w:pPr>
          </w:p>
        </w:tc>
        <w:tc>
          <w:tcPr>
            <w:tcW w:w="8820" w:type="dxa"/>
            <w:vAlign w:val="bottom"/>
            <w:tcBorders>
              <w:right w:val="single" w:sz="8" w:color="auto"/>
            </w:tcBorders>
          </w:tcPr>
          <w:p>
            <w:pPr>
              <w:ind w:left="720"/>
              <w:spacing w:after="0"/>
              <w:rPr>
                <w:sz w:val="20"/>
                <w:szCs w:val="20"/>
                <w:color w:val="auto"/>
              </w:rPr>
            </w:pPr>
            <w:r>
              <w:rPr>
                <w:rFonts w:ascii="Arial" w:cs="Arial" w:eastAsia="Arial" w:hAnsi="Arial"/>
                <w:sz w:val="16"/>
                <w:szCs w:val="16"/>
                <w:b w:val="1"/>
                <w:bCs w:val="1"/>
                <w:color w:val="32406B"/>
              </w:rPr>
              <w:t xml:space="preserve">communicates </w:t>
            </w:r>
            <w:r>
              <w:rPr>
                <w:rFonts w:ascii="Arial" w:cs="Arial" w:eastAsia="Arial" w:hAnsi="Arial"/>
                <w:sz w:val="16"/>
                <w:szCs w:val="16"/>
                <w:color w:val="000000"/>
              </w:rPr>
              <w:t>with management about these processes.</w:t>
            </w:r>
          </w:p>
        </w:tc>
      </w:tr>
      <w:tr>
        <w:trPr>
          <w:trHeight w:val="264"/>
        </w:trPr>
        <w:tc>
          <w:tcPr>
            <w:tcW w:w="2200" w:type="dxa"/>
            <w:vAlign w:val="bottom"/>
            <w:tcBorders>
              <w:left w:val="single" w:sz="8" w:color="auto"/>
              <w:right w:val="single" w:sz="8" w:color="auto"/>
            </w:tcBorders>
            <w:shd w:val="clear" w:color="auto" w:fill="32406B"/>
          </w:tcPr>
          <w:p>
            <w:pPr>
              <w:spacing w:after="0"/>
              <w:rPr>
                <w:sz w:val="22"/>
                <w:szCs w:val="22"/>
                <w:color w:val="auto"/>
              </w:rPr>
            </w:pPr>
          </w:p>
        </w:tc>
        <w:tc>
          <w:tcPr>
            <w:tcW w:w="8820" w:type="dxa"/>
            <w:vAlign w:val="bottom"/>
            <w:tcBorders>
              <w:right w:val="single" w:sz="8" w:color="auto"/>
            </w:tcBorders>
          </w:tcPr>
          <w:p>
            <w:pPr>
              <w:ind w:left="540"/>
              <w:spacing w:after="0"/>
              <w:rPr>
                <w:sz w:val="20"/>
                <w:szCs w:val="20"/>
                <w:color w:val="auto"/>
              </w:rPr>
            </w:pPr>
            <w:r>
              <w:rPr>
                <w:rFonts w:ascii="Arial" w:cs="Arial" w:eastAsia="Arial" w:hAnsi="Arial"/>
                <w:sz w:val="16"/>
                <w:szCs w:val="16"/>
                <w:color w:val="auto"/>
              </w:rPr>
              <w:t>•  We have established a risk assessment team consisting of senior executives, which annually, with the</w:t>
            </w:r>
          </w:p>
        </w:tc>
      </w:tr>
      <w:tr>
        <w:trPr>
          <w:trHeight w:val="189"/>
        </w:trPr>
        <w:tc>
          <w:tcPr>
            <w:tcW w:w="2200" w:type="dxa"/>
            <w:vAlign w:val="bottom"/>
            <w:tcBorders>
              <w:left w:val="single" w:sz="8" w:color="auto"/>
              <w:right w:val="single" w:sz="8" w:color="auto"/>
            </w:tcBorders>
            <w:shd w:val="clear" w:color="auto" w:fill="32406B"/>
          </w:tcPr>
          <w:p>
            <w:pPr>
              <w:spacing w:after="0"/>
              <w:rPr>
                <w:sz w:val="16"/>
                <w:szCs w:val="16"/>
                <w:color w:val="auto"/>
              </w:rPr>
            </w:pPr>
          </w:p>
        </w:tc>
        <w:tc>
          <w:tcPr>
            <w:tcW w:w="8820" w:type="dxa"/>
            <w:vAlign w:val="bottom"/>
            <w:tcBorders>
              <w:right w:val="single" w:sz="8" w:color="auto"/>
            </w:tcBorders>
          </w:tcPr>
          <w:p>
            <w:pPr>
              <w:ind w:left="720"/>
              <w:spacing w:after="0"/>
              <w:rPr>
                <w:sz w:val="20"/>
                <w:szCs w:val="20"/>
                <w:color w:val="auto"/>
              </w:rPr>
            </w:pPr>
            <w:r>
              <w:rPr>
                <w:rFonts w:ascii="Arial" w:cs="Arial" w:eastAsia="Arial" w:hAnsi="Arial"/>
                <w:sz w:val="16"/>
                <w:szCs w:val="16"/>
                <w:color w:val="auto"/>
              </w:rPr>
              <w:t>assistance of a consultant, oversees a risk assessment made at the segment and operating company levels</w:t>
            </w:r>
          </w:p>
        </w:tc>
      </w:tr>
      <w:tr>
        <w:trPr>
          <w:trHeight w:val="189"/>
        </w:trPr>
        <w:tc>
          <w:tcPr>
            <w:tcW w:w="2200" w:type="dxa"/>
            <w:vAlign w:val="bottom"/>
            <w:tcBorders>
              <w:left w:val="single" w:sz="8" w:color="auto"/>
              <w:right w:val="single" w:sz="8" w:color="auto"/>
            </w:tcBorders>
            <w:shd w:val="clear" w:color="auto" w:fill="32406B"/>
          </w:tcPr>
          <w:p>
            <w:pPr>
              <w:spacing w:after="0"/>
              <w:rPr>
                <w:sz w:val="16"/>
                <w:szCs w:val="16"/>
                <w:color w:val="auto"/>
              </w:rPr>
            </w:pPr>
          </w:p>
        </w:tc>
        <w:tc>
          <w:tcPr>
            <w:tcW w:w="8820" w:type="dxa"/>
            <w:vAlign w:val="bottom"/>
            <w:tcBorders>
              <w:right w:val="single" w:sz="8" w:color="auto"/>
            </w:tcBorders>
          </w:tcPr>
          <w:p>
            <w:pPr>
              <w:ind w:left="720"/>
              <w:spacing w:after="0"/>
              <w:rPr>
                <w:sz w:val="20"/>
                <w:szCs w:val="20"/>
                <w:color w:val="auto"/>
              </w:rPr>
            </w:pPr>
            <w:r>
              <w:rPr>
                <w:rFonts w:ascii="Arial" w:cs="Arial" w:eastAsia="Arial" w:hAnsi="Arial"/>
                <w:sz w:val="16"/>
                <w:szCs w:val="16"/>
                <w:color w:val="auto"/>
              </w:rPr>
              <w:t>and, with that information in mind, performs an assessment of the overall risks our company may face. Each</w:t>
            </w:r>
          </w:p>
        </w:tc>
      </w:tr>
      <w:tr>
        <w:trPr>
          <w:trHeight w:val="169"/>
        </w:trPr>
        <w:tc>
          <w:tcPr>
            <w:tcW w:w="2200" w:type="dxa"/>
            <w:vAlign w:val="bottom"/>
            <w:tcBorders>
              <w:left w:val="single" w:sz="8" w:color="auto"/>
              <w:right w:val="single" w:sz="8" w:color="auto"/>
            </w:tcBorders>
            <w:shd w:val="clear" w:color="auto" w:fill="32406B"/>
          </w:tcPr>
          <w:p>
            <w:pPr>
              <w:spacing w:after="0"/>
              <w:rPr>
                <w:sz w:val="14"/>
                <w:szCs w:val="14"/>
                <w:color w:val="auto"/>
              </w:rPr>
            </w:pPr>
          </w:p>
        </w:tc>
        <w:tc>
          <w:tcPr>
            <w:tcW w:w="8820" w:type="dxa"/>
            <w:vAlign w:val="bottom"/>
            <w:tcBorders>
              <w:right w:val="single" w:sz="8" w:color="auto"/>
            </w:tcBorders>
          </w:tcPr>
          <w:p>
            <w:pPr>
              <w:ind w:left="720"/>
              <w:spacing w:after="0" w:line="169" w:lineRule="exact"/>
              <w:rPr>
                <w:sz w:val="20"/>
                <w:szCs w:val="20"/>
                <w:color w:val="auto"/>
              </w:rPr>
            </w:pPr>
            <w:r>
              <w:rPr>
                <w:rFonts w:ascii="Arial" w:cs="Arial" w:eastAsia="Arial" w:hAnsi="Arial"/>
                <w:sz w:val="16"/>
                <w:szCs w:val="16"/>
                <w:color w:val="auto"/>
              </w:rPr>
              <w:t>quarter, this team reassesses the risks at the Dover level, the severity of these risks and the status of efforts to</w:t>
            </w:r>
          </w:p>
        </w:tc>
      </w:tr>
      <w:tr>
        <w:trPr>
          <w:trHeight w:val="214"/>
        </w:trPr>
        <w:tc>
          <w:tcPr>
            <w:tcW w:w="2200" w:type="dxa"/>
            <w:vAlign w:val="bottom"/>
            <w:tcBorders>
              <w:left w:val="single" w:sz="8" w:color="auto"/>
              <w:right w:val="single" w:sz="8" w:color="auto"/>
            </w:tcBorders>
            <w:shd w:val="clear" w:color="auto" w:fill="32406B"/>
          </w:tcPr>
          <w:p>
            <w:pPr>
              <w:spacing w:after="0"/>
              <w:rPr>
                <w:sz w:val="18"/>
                <w:szCs w:val="18"/>
                <w:color w:val="auto"/>
              </w:rPr>
            </w:pPr>
          </w:p>
        </w:tc>
        <w:tc>
          <w:tcPr>
            <w:tcW w:w="8820" w:type="dxa"/>
            <w:vAlign w:val="bottom"/>
            <w:tcBorders>
              <w:right w:val="single" w:sz="8" w:color="auto"/>
            </w:tcBorders>
          </w:tcPr>
          <w:p>
            <w:pPr>
              <w:ind w:left="720"/>
              <w:spacing w:after="0"/>
              <w:rPr>
                <w:sz w:val="20"/>
                <w:szCs w:val="20"/>
                <w:color w:val="auto"/>
              </w:rPr>
            </w:pPr>
            <w:r>
              <w:rPr>
                <w:rFonts w:ascii="Arial" w:cs="Arial" w:eastAsia="Arial" w:hAnsi="Arial"/>
                <w:sz w:val="16"/>
                <w:szCs w:val="16"/>
                <w:color w:val="auto"/>
              </w:rPr>
              <w:t xml:space="preserve">mitigate them and </w:t>
            </w:r>
            <w:r>
              <w:rPr>
                <w:rFonts w:ascii="Arial" w:cs="Arial" w:eastAsia="Arial" w:hAnsi="Arial"/>
                <w:sz w:val="16"/>
                <w:szCs w:val="16"/>
                <w:b w:val="1"/>
                <w:bCs w:val="1"/>
                <w:color w:val="32406B"/>
              </w:rPr>
              <w:t>reports to the Board</w:t>
            </w:r>
            <w:r>
              <w:rPr>
                <w:rFonts w:ascii="Arial" w:cs="Arial" w:eastAsia="Arial" w:hAnsi="Arial"/>
                <w:sz w:val="16"/>
                <w:szCs w:val="16"/>
                <w:color w:val="auto"/>
              </w:rPr>
              <w:t xml:space="preserve"> on that reassessment.</w:t>
            </w:r>
          </w:p>
        </w:tc>
      </w:tr>
      <w:tr>
        <w:trPr>
          <w:trHeight w:val="87"/>
        </w:trPr>
        <w:tc>
          <w:tcPr>
            <w:tcW w:w="2200" w:type="dxa"/>
            <w:vAlign w:val="bottom"/>
            <w:tcBorders>
              <w:left w:val="single" w:sz="8" w:color="auto"/>
              <w:bottom w:val="single" w:sz="8" w:color="auto"/>
              <w:right w:val="single" w:sz="8" w:color="auto"/>
            </w:tcBorders>
            <w:shd w:val="clear" w:color="auto" w:fill="32406B"/>
          </w:tcPr>
          <w:p>
            <w:pPr>
              <w:spacing w:after="0"/>
              <w:rPr>
                <w:sz w:val="7"/>
                <w:szCs w:val="7"/>
                <w:color w:val="auto"/>
              </w:rPr>
            </w:pPr>
          </w:p>
        </w:tc>
        <w:tc>
          <w:tcPr>
            <w:tcW w:w="8820" w:type="dxa"/>
            <w:vAlign w:val="bottom"/>
            <w:tcBorders>
              <w:bottom w:val="single" w:sz="8" w:color="auto"/>
              <w:right w:val="single" w:sz="8" w:color="auto"/>
            </w:tcBorders>
          </w:tcPr>
          <w:p>
            <w:pPr>
              <w:spacing w:after="0"/>
              <w:rPr>
                <w:sz w:val="7"/>
                <w:szCs w:val="7"/>
                <w:color w:val="auto"/>
              </w:rPr>
            </w:pPr>
          </w:p>
        </w:tc>
      </w:tr>
      <w:tr>
        <w:trPr>
          <w:trHeight w:val="218"/>
        </w:trPr>
        <w:tc>
          <w:tcPr>
            <w:tcW w:w="2200" w:type="dxa"/>
            <w:vAlign w:val="bottom"/>
            <w:tcBorders>
              <w:left w:val="single" w:sz="8" w:color="auto"/>
              <w:right w:val="single" w:sz="8" w:color="auto"/>
            </w:tcBorders>
            <w:shd w:val="clear" w:color="auto" w:fill="32406B"/>
          </w:tcPr>
          <w:p>
            <w:pPr>
              <w:ind w:left="240"/>
              <w:spacing w:after="0"/>
              <w:rPr>
                <w:sz w:val="20"/>
                <w:szCs w:val="20"/>
                <w:color w:val="auto"/>
              </w:rPr>
            </w:pPr>
            <w:r>
              <w:rPr>
                <w:rFonts w:ascii="Arial" w:cs="Arial" w:eastAsia="Arial" w:hAnsi="Arial"/>
                <w:sz w:val="16"/>
                <w:szCs w:val="16"/>
                <w:b w:val="1"/>
                <w:bCs w:val="1"/>
                <w:color w:val="FFFFFF"/>
              </w:rPr>
              <w:t>Succession Planning</w:t>
            </w:r>
          </w:p>
        </w:tc>
        <w:tc>
          <w:tcPr>
            <w:tcW w:w="8820" w:type="dxa"/>
            <w:vAlign w:val="bottom"/>
            <w:tcBorders>
              <w:right w:val="single" w:sz="8" w:color="auto"/>
            </w:tcBorders>
          </w:tcPr>
          <w:p>
            <w:pPr>
              <w:ind w:left="540"/>
              <w:spacing w:after="0"/>
              <w:rPr>
                <w:sz w:val="20"/>
                <w:szCs w:val="20"/>
                <w:color w:val="auto"/>
              </w:rPr>
            </w:pPr>
            <w:r>
              <w:rPr>
                <w:rFonts w:ascii="Arial" w:cs="Arial" w:eastAsia="Arial" w:hAnsi="Arial"/>
                <w:sz w:val="16"/>
                <w:szCs w:val="16"/>
                <w:color w:val="auto"/>
              </w:rPr>
              <w:t xml:space="preserve">•  Another of the Board’s primary responsibilities is </w:t>
            </w:r>
            <w:r>
              <w:rPr>
                <w:rFonts w:ascii="Arial" w:cs="Arial" w:eastAsia="Arial" w:hAnsi="Arial"/>
                <w:sz w:val="16"/>
                <w:szCs w:val="16"/>
                <w:b w:val="1"/>
                <w:bCs w:val="1"/>
                <w:color w:val="32406B"/>
              </w:rPr>
              <w:t>overseeing a sound Board and management succession</w:t>
            </w:r>
          </w:p>
        </w:tc>
      </w:tr>
      <w:tr>
        <w:trPr>
          <w:trHeight w:val="209"/>
        </w:trPr>
        <w:tc>
          <w:tcPr>
            <w:tcW w:w="2200" w:type="dxa"/>
            <w:vAlign w:val="bottom"/>
            <w:tcBorders>
              <w:left w:val="single" w:sz="8" w:color="auto"/>
              <w:right w:val="single" w:sz="8" w:color="auto"/>
            </w:tcBorders>
            <w:shd w:val="clear" w:color="auto" w:fill="32406B"/>
          </w:tcPr>
          <w:p>
            <w:pPr>
              <w:spacing w:after="0"/>
              <w:rPr>
                <w:sz w:val="18"/>
                <w:szCs w:val="18"/>
                <w:color w:val="auto"/>
              </w:rPr>
            </w:pPr>
          </w:p>
        </w:tc>
        <w:tc>
          <w:tcPr>
            <w:tcW w:w="8820" w:type="dxa"/>
            <w:vAlign w:val="bottom"/>
            <w:tcBorders>
              <w:right w:val="single" w:sz="8" w:color="auto"/>
            </w:tcBorders>
          </w:tcPr>
          <w:p>
            <w:pPr>
              <w:ind w:left="720"/>
              <w:spacing w:after="0"/>
              <w:rPr>
                <w:sz w:val="20"/>
                <w:szCs w:val="20"/>
                <w:color w:val="auto"/>
              </w:rPr>
            </w:pPr>
            <w:r>
              <w:rPr>
                <w:rFonts w:ascii="Arial" w:cs="Arial" w:eastAsia="Arial" w:hAnsi="Arial"/>
                <w:sz w:val="16"/>
                <w:szCs w:val="16"/>
                <w:b w:val="1"/>
                <w:bCs w:val="1"/>
                <w:color w:val="32406B"/>
              </w:rPr>
              <w:t>process</w:t>
            </w:r>
            <w:r>
              <w:rPr>
                <w:rFonts w:ascii="Arial" w:cs="Arial" w:eastAsia="Arial" w:hAnsi="Arial"/>
                <w:sz w:val="16"/>
                <w:szCs w:val="16"/>
                <w:color w:val="000000"/>
              </w:rPr>
              <w:t>. The Board has developed a</w:t>
            </w:r>
            <w:r>
              <w:rPr>
                <w:rFonts w:ascii="Arial" w:cs="Arial" w:eastAsia="Arial" w:hAnsi="Arial"/>
                <w:sz w:val="16"/>
                <w:szCs w:val="16"/>
                <w:b w:val="1"/>
                <w:bCs w:val="1"/>
                <w:color w:val="32406B"/>
              </w:rPr>
              <w:t xml:space="preserve"> comprehensive plan </w:t>
            </w:r>
            <w:r>
              <w:rPr>
                <w:rFonts w:ascii="Arial" w:cs="Arial" w:eastAsia="Arial" w:hAnsi="Arial"/>
                <w:sz w:val="16"/>
                <w:szCs w:val="16"/>
                <w:color w:val="000000"/>
              </w:rPr>
              <w:t>to address management succession — both over</w:t>
            </w:r>
          </w:p>
        </w:tc>
      </w:tr>
      <w:tr>
        <w:trPr>
          <w:trHeight w:val="189"/>
        </w:trPr>
        <w:tc>
          <w:tcPr>
            <w:tcW w:w="2200" w:type="dxa"/>
            <w:vAlign w:val="bottom"/>
            <w:tcBorders>
              <w:left w:val="single" w:sz="8" w:color="auto"/>
              <w:right w:val="single" w:sz="8" w:color="auto"/>
            </w:tcBorders>
            <w:shd w:val="clear" w:color="auto" w:fill="32406B"/>
          </w:tcPr>
          <w:p>
            <w:pPr>
              <w:spacing w:after="0"/>
              <w:rPr>
                <w:sz w:val="16"/>
                <w:szCs w:val="16"/>
                <w:color w:val="auto"/>
              </w:rPr>
            </w:pPr>
          </w:p>
        </w:tc>
        <w:tc>
          <w:tcPr>
            <w:tcW w:w="8820" w:type="dxa"/>
            <w:vAlign w:val="bottom"/>
            <w:tcBorders>
              <w:right w:val="single" w:sz="8" w:color="auto"/>
            </w:tcBorders>
          </w:tcPr>
          <w:p>
            <w:pPr>
              <w:ind w:left="720"/>
              <w:spacing w:after="0"/>
              <w:rPr>
                <w:sz w:val="20"/>
                <w:szCs w:val="20"/>
                <w:color w:val="auto"/>
              </w:rPr>
            </w:pPr>
            <w:r>
              <w:rPr>
                <w:rFonts w:ascii="Arial" w:cs="Arial" w:eastAsia="Arial" w:hAnsi="Arial"/>
                <w:sz w:val="16"/>
                <w:szCs w:val="16"/>
                <w:color w:val="auto"/>
              </w:rPr>
              <w:t>the long term and for emergency purposes. The framework for the long-term plan includes thoughtful, deliberate</w:t>
            </w:r>
          </w:p>
        </w:tc>
      </w:tr>
      <w:tr>
        <w:trPr>
          <w:trHeight w:val="189"/>
        </w:trPr>
        <w:tc>
          <w:tcPr>
            <w:tcW w:w="2200" w:type="dxa"/>
            <w:vAlign w:val="bottom"/>
            <w:tcBorders>
              <w:left w:val="single" w:sz="8" w:color="auto"/>
              <w:right w:val="single" w:sz="8" w:color="auto"/>
            </w:tcBorders>
            <w:shd w:val="clear" w:color="auto" w:fill="32406B"/>
          </w:tcPr>
          <w:p>
            <w:pPr>
              <w:spacing w:after="0"/>
              <w:rPr>
                <w:sz w:val="16"/>
                <w:szCs w:val="16"/>
                <w:color w:val="auto"/>
              </w:rPr>
            </w:pPr>
          </w:p>
        </w:tc>
        <w:tc>
          <w:tcPr>
            <w:tcW w:w="8820" w:type="dxa"/>
            <w:vAlign w:val="bottom"/>
            <w:tcBorders>
              <w:right w:val="single" w:sz="8" w:color="auto"/>
            </w:tcBorders>
          </w:tcPr>
          <w:p>
            <w:pPr>
              <w:ind w:left="720"/>
              <w:spacing w:after="0"/>
              <w:rPr>
                <w:sz w:val="20"/>
                <w:szCs w:val="20"/>
                <w:color w:val="auto"/>
              </w:rPr>
            </w:pPr>
            <w:r>
              <w:rPr>
                <w:rFonts w:ascii="Arial" w:cs="Arial" w:eastAsia="Arial" w:hAnsi="Arial"/>
                <w:sz w:val="16"/>
                <w:szCs w:val="16"/>
                <w:color w:val="auto"/>
              </w:rPr>
              <w:t>monitoring of management beyond our top executives to ensure Dover continues to build a deep internal bench</w:t>
            </w:r>
          </w:p>
        </w:tc>
      </w:tr>
      <w:tr>
        <w:trPr>
          <w:trHeight w:val="194"/>
        </w:trPr>
        <w:tc>
          <w:tcPr>
            <w:tcW w:w="2200" w:type="dxa"/>
            <w:vAlign w:val="bottom"/>
            <w:tcBorders>
              <w:left w:val="single" w:sz="8" w:color="auto"/>
              <w:right w:val="single" w:sz="8" w:color="auto"/>
            </w:tcBorders>
            <w:shd w:val="clear" w:color="auto" w:fill="32406B"/>
          </w:tcPr>
          <w:p>
            <w:pPr>
              <w:spacing w:after="0"/>
              <w:rPr>
                <w:sz w:val="16"/>
                <w:szCs w:val="16"/>
                <w:color w:val="auto"/>
              </w:rPr>
            </w:pPr>
          </w:p>
        </w:tc>
        <w:tc>
          <w:tcPr>
            <w:tcW w:w="8820" w:type="dxa"/>
            <w:vAlign w:val="bottom"/>
            <w:tcBorders>
              <w:right w:val="single" w:sz="8" w:color="auto"/>
            </w:tcBorders>
          </w:tcPr>
          <w:p>
            <w:pPr>
              <w:ind w:left="720"/>
              <w:spacing w:after="0"/>
              <w:rPr>
                <w:sz w:val="20"/>
                <w:szCs w:val="20"/>
                <w:color w:val="auto"/>
              </w:rPr>
            </w:pPr>
            <w:r>
              <w:rPr>
                <w:rFonts w:ascii="Arial" w:cs="Arial" w:eastAsia="Arial" w:hAnsi="Arial"/>
                <w:sz w:val="16"/>
                <w:szCs w:val="16"/>
                <w:color w:val="auto"/>
              </w:rPr>
              <w:t>of talent.</w:t>
            </w:r>
          </w:p>
        </w:tc>
      </w:tr>
      <w:tr>
        <w:trPr>
          <w:trHeight w:val="264"/>
        </w:trPr>
        <w:tc>
          <w:tcPr>
            <w:tcW w:w="2200" w:type="dxa"/>
            <w:vAlign w:val="bottom"/>
            <w:tcBorders>
              <w:left w:val="single" w:sz="8" w:color="auto"/>
              <w:right w:val="single" w:sz="8" w:color="auto"/>
            </w:tcBorders>
            <w:shd w:val="clear" w:color="auto" w:fill="32406B"/>
          </w:tcPr>
          <w:p>
            <w:pPr>
              <w:spacing w:after="0"/>
              <w:rPr>
                <w:sz w:val="22"/>
                <w:szCs w:val="22"/>
                <w:color w:val="auto"/>
              </w:rPr>
            </w:pPr>
          </w:p>
        </w:tc>
        <w:tc>
          <w:tcPr>
            <w:tcW w:w="8820" w:type="dxa"/>
            <w:vAlign w:val="bottom"/>
            <w:tcBorders>
              <w:right w:val="single" w:sz="8" w:color="auto"/>
            </w:tcBorders>
          </w:tcPr>
          <w:p>
            <w:pPr>
              <w:ind w:left="540"/>
              <w:spacing w:after="0"/>
              <w:rPr>
                <w:sz w:val="20"/>
                <w:szCs w:val="20"/>
                <w:color w:val="auto"/>
              </w:rPr>
            </w:pPr>
            <w:r>
              <w:rPr>
                <w:rFonts w:ascii="Arial" w:cs="Arial" w:eastAsia="Arial" w:hAnsi="Arial"/>
                <w:sz w:val="16"/>
                <w:szCs w:val="16"/>
                <w:color w:val="auto"/>
              </w:rPr>
              <w:t>•  The recent appointment of Mr. Tobin as our incoming President and CEO represents the culmination of our</w:t>
            </w:r>
          </w:p>
        </w:tc>
      </w:tr>
      <w:tr>
        <w:trPr>
          <w:trHeight w:val="194"/>
        </w:trPr>
        <w:tc>
          <w:tcPr>
            <w:tcW w:w="2200" w:type="dxa"/>
            <w:vAlign w:val="bottom"/>
            <w:tcBorders>
              <w:left w:val="single" w:sz="8" w:color="auto"/>
              <w:right w:val="single" w:sz="8" w:color="auto"/>
            </w:tcBorders>
            <w:shd w:val="clear" w:color="auto" w:fill="32406B"/>
          </w:tcPr>
          <w:p>
            <w:pPr>
              <w:spacing w:after="0"/>
              <w:rPr>
                <w:sz w:val="16"/>
                <w:szCs w:val="16"/>
                <w:color w:val="auto"/>
              </w:rPr>
            </w:pPr>
          </w:p>
        </w:tc>
        <w:tc>
          <w:tcPr>
            <w:tcW w:w="8820" w:type="dxa"/>
            <w:vAlign w:val="bottom"/>
            <w:tcBorders>
              <w:right w:val="single" w:sz="8" w:color="auto"/>
            </w:tcBorders>
          </w:tcPr>
          <w:p>
            <w:pPr>
              <w:ind w:left="720"/>
              <w:spacing w:after="0"/>
              <w:rPr>
                <w:sz w:val="20"/>
                <w:szCs w:val="20"/>
                <w:color w:val="auto"/>
              </w:rPr>
            </w:pPr>
            <w:r>
              <w:rPr>
                <w:rFonts w:ascii="Arial" w:cs="Arial" w:eastAsia="Arial" w:hAnsi="Arial"/>
                <w:sz w:val="16"/>
                <w:szCs w:val="16"/>
                <w:color w:val="auto"/>
              </w:rPr>
              <w:t>Board’s active engagement in a thoughtful and comprehensive succession planning process.</w:t>
            </w:r>
          </w:p>
        </w:tc>
      </w:tr>
      <w:tr>
        <w:trPr>
          <w:trHeight w:val="244"/>
        </w:trPr>
        <w:tc>
          <w:tcPr>
            <w:tcW w:w="2200" w:type="dxa"/>
            <w:vAlign w:val="bottom"/>
            <w:tcBorders>
              <w:left w:val="single" w:sz="8" w:color="auto"/>
              <w:right w:val="single" w:sz="8" w:color="auto"/>
            </w:tcBorders>
            <w:shd w:val="clear" w:color="auto" w:fill="32406B"/>
          </w:tcPr>
          <w:p>
            <w:pPr>
              <w:spacing w:after="0"/>
              <w:rPr>
                <w:sz w:val="21"/>
                <w:szCs w:val="21"/>
                <w:color w:val="auto"/>
              </w:rPr>
            </w:pPr>
          </w:p>
        </w:tc>
        <w:tc>
          <w:tcPr>
            <w:tcW w:w="8820" w:type="dxa"/>
            <w:vAlign w:val="bottom"/>
            <w:tcBorders>
              <w:right w:val="single" w:sz="8" w:color="auto"/>
            </w:tcBorders>
          </w:tcPr>
          <w:p>
            <w:pPr>
              <w:ind w:left="540"/>
              <w:spacing w:after="0"/>
              <w:rPr>
                <w:sz w:val="20"/>
                <w:szCs w:val="20"/>
                <w:color w:val="auto"/>
              </w:rPr>
            </w:pPr>
            <w:r>
              <w:rPr>
                <w:rFonts w:ascii="Arial" w:cs="Arial" w:eastAsia="Arial" w:hAnsi="Arial"/>
                <w:sz w:val="16"/>
                <w:szCs w:val="16"/>
                <w:color w:val="auto"/>
              </w:rPr>
              <w:t xml:space="preserve">•  The Board has also focused on its </w:t>
            </w:r>
            <w:r>
              <w:rPr>
                <w:rFonts w:ascii="Arial" w:cs="Arial" w:eastAsia="Arial" w:hAnsi="Arial"/>
                <w:sz w:val="16"/>
                <w:szCs w:val="16"/>
                <w:b w:val="1"/>
                <w:bCs w:val="1"/>
                <w:color w:val="32406B"/>
              </w:rPr>
              <w:t>own succession plan</w:t>
            </w:r>
            <w:r>
              <w:rPr>
                <w:rFonts w:ascii="Arial" w:cs="Arial" w:eastAsia="Arial" w:hAnsi="Arial"/>
                <w:sz w:val="16"/>
                <w:szCs w:val="16"/>
                <w:color w:val="auto"/>
              </w:rPr>
              <w:t>, which drives not only our director selection efforts,</w:t>
            </w:r>
          </w:p>
        </w:tc>
      </w:tr>
      <w:tr>
        <w:trPr>
          <w:trHeight w:val="189"/>
        </w:trPr>
        <w:tc>
          <w:tcPr>
            <w:tcW w:w="2200" w:type="dxa"/>
            <w:vAlign w:val="bottom"/>
            <w:tcBorders>
              <w:left w:val="single" w:sz="8" w:color="auto"/>
              <w:right w:val="single" w:sz="8" w:color="auto"/>
            </w:tcBorders>
            <w:shd w:val="clear" w:color="auto" w:fill="32406B"/>
          </w:tcPr>
          <w:p>
            <w:pPr>
              <w:spacing w:after="0"/>
              <w:rPr>
                <w:sz w:val="16"/>
                <w:szCs w:val="16"/>
                <w:color w:val="auto"/>
              </w:rPr>
            </w:pPr>
          </w:p>
        </w:tc>
        <w:tc>
          <w:tcPr>
            <w:tcW w:w="8820" w:type="dxa"/>
            <w:vAlign w:val="bottom"/>
            <w:tcBorders>
              <w:right w:val="single" w:sz="8" w:color="auto"/>
            </w:tcBorders>
          </w:tcPr>
          <w:p>
            <w:pPr>
              <w:ind w:left="720"/>
              <w:spacing w:after="0"/>
              <w:rPr>
                <w:sz w:val="20"/>
                <w:szCs w:val="20"/>
                <w:color w:val="auto"/>
              </w:rPr>
            </w:pPr>
            <w:r>
              <w:rPr>
                <w:rFonts w:ascii="Arial" w:cs="Arial" w:eastAsia="Arial" w:hAnsi="Arial"/>
                <w:sz w:val="16"/>
                <w:szCs w:val="16"/>
                <w:color w:val="auto"/>
              </w:rPr>
              <w:t xml:space="preserve">but also how we approach Board and committee leadership structure and membership, with a </w:t>
            </w:r>
            <w:r>
              <w:rPr>
                <w:rFonts w:ascii="Arial" w:cs="Arial" w:eastAsia="Arial" w:hAnsi="Arial"/>
                <w:sz w:val="16"/>
                <w:szCs w:val="16"/>
                <w:b w:val="1"/>
                <w:bCs w:val="1"/>
                <w:color w:val="32406B"/>
              </w:rPr>
              <w:t>focus on critical</w:t>
            </w:r>
          </w:p>
        </w:tc>
      </w:tr>
      <w:tr>
        <w:trPr>
          <w:trHeight w:val="214"/>
        </w:trPr>
        <w:tc>
          <w:tcPr>
            <w:tcW w:w="2200" w:type="dxa"/>
            <w:vAlign w:val="bottom"/>
            <w:tcBorders>
              <w:left w:val="single" w:sz="8" w:color="auto"/>
              <w:right w:val="single" w:sz="8" w:color="auto"/>
            </w:tcBorders>
            <w:shd w:val="clear" w:color="auto" w:fill="32406B"/>
          </w:tcPr>
          <w:p>
            <w:pPr>
              <w:spacing w:after="0"/>
              <w:rPr>
                <w:sz w:val="18"/>
                <w:szCs w:val="18"/>
                <w:color w:val="auto"/>
              </w:rPr>
            </w:pPr>
          </w:p>
        </w:tc>
        <w:tc>
          <w:tcPr>
            <w:tcW w:w="8820" w:type="dxa"/>
            <w:vAlign w:val="bottom"/>
            <w:tcBorders>
              <w:right w:val="single" w:sz="8" w:color="auto"/>
            </w:tcBorders>
          </w:tcPr>
          <w:p>
            <w:pPr>
              <w:ind w:left="720"/>
              <w:spacing w:after="0"/>
              <w:rPr>
                <w:sz w:val="20"/>
                <w:szCs w:val="20"/>
                <w:color w:val="auto"/>
              </w:rPr>
            </w:pPr>
            <w:r>
              <w:rPr>
                <w:rFonts w:ascii="Arial" w:cs="Arial" w:eastAsia="Arial" w:hAnsi="Arial"/>
                <w:sz w:val="16"/>
                <w:szCs w:val="16"/>
                <w:b w:val="1"/>
                <w:bCs w:val="1"/>
                <w:color w:val="32406B"/>
              </w:rPr>
              <w:t>board skills, diversity and independence</w:t>
            </w:r>
            <w:r>
              <w:rPr>
                <w:rFonts w:ascii="Arial" w:cs="Arial" w:eastAsia="Arial" w:hAnsi="Arial"/>
                <w:sz w:val="16"/>
                <w:szCs w:val="16"/>
                <w:color w:val="000000"/>
              </w:rPr>
              <w:t>.</w:t>
            </w:r>
          </w:p>
        </w:tc>
      </w:tr>
      <w:tr>
        <w:trPr>
          <w:trHeight w:val="87"/>
        </w:trPr>
        <w:tc>
          <w:tcPr>
            <w:tcW w:w="2200" w:type="dxa"/>
            <w:vAlign w:val="bottom"/>
            <w:tcBorders>
              <w:left w:val="single" w:sz="8" w:color="auto"/>
              <w:bottom w:val="single" w:sz="8" w:color="auto"/>
              <w:right w:val="single" w:sz="8" w:color="auto"/>
            </w:tcBorders>
            <w:shd w:val="clear" w:color="auto" w:fill="32406B"/>
          </w:tcPr>
          <w:p>
            <w:pPr>
              <w:spacing w:after="0"/>
              <w:rPr>
                <w:sz w:val="7"/>
                <w:szCs w:val="7"/>
                <w:color w:val="auto"/>
              </w:rPr>
            </w:pPr>
          </w:p>
        </w:tc>
        <w:tc>
          <w:tcPr>
            <w:tcW w:w="8820" w:type="dxa"/>
            <w:vAlign w:val="bottom"/>
            <w:tcBorders>
              <w:bottom w:val="single" w:sz="8" w:color="auto"/>
              <w:right w:val="single" w:sz="8" w:color="auto"/>
            </w:tcBorders>
          </w:tcPr>
          <w:p>
            <w:pPr>
              <w:spacing w:after="0"/>
              <w:rPr>
                <w:sz w:val="7"/>
                <w:szCs w:val="7"/>
                <w:color w:val="auto"/>
              </w:rPr>
            </w:pPr>
          </w:p>
        </w:tc>
      </w:tr>
      <w:tr>
        <w:trPr>
          <w:trHeight w:val="238"/>
        </w:trPr>
        <w:tc>
          <w:tcPr>
            <w:tcW w:w="2200" w:type="dxa"/>
            <w:vAlign w:val="bottom"/>
            <w:tcBorders>
              <w:left w:val="single" w:sz="8" w:color="auto"/>
              <w:right w:val="single" w:sz="8" w:color="auto"/>
            </w:tcBorders>
            <w:shd w:val="clear" w:color="auto" w:fill="32406B"/>
          </w:tcPr>
          <w:p>
            <w:pPr>
              <w:ind w:left="240"/>
              <w:spacing w:after="0"/>
              <w:rPr>
                <w:sz w:val="20"/>
                <w:szCs w:val="20"/>
                <w:color w:val="auto"/>
              </w:rPr>
            </w:pPr>
            <w:r>
              <w:rPr>
                <w:rFonts w:ascii="Arial" w:cs="Arial" w:eastAsia="Arial" w:hAnsi="Arial"/>
                <w:sz w:val="16"/>
                <w:szCs w:val="16"/>
                <w:b w:val="1"/>
                <w:bCs w:val="1"/>
                <w:color w:val="FFFFFF"/>
              </w:rPr>
              <w:t>Cybersecurity</w:t>
            </w:r>
          </w:p>
        </w:tc>
        <w:tc>
          <w:tcPr>
            <w:tcW w:w="8820" w:type="dxa"/>
            <w:vAlign w:val="bottom"/>
            <w:tcBorders>
              <w:right w:val="single" w:sz="8" w:color="auto"/>
            </w:tcBorders>
          </w:tcPr>
          <w:p>
            <w:pPr>
              <w:ind w:left="540"/>
              <w:spacing w:after="0"/>
              <w:rPr>
                <w:sz w:val="20"/>
                <w:szCs w:val="20"/>
                <w:color w:val="auto"/>
              </w:rPr>
            </w:pPr>
            <w:r>
              <w:rPr>
                <w:rFonts w:ascii="Arial" w:cs="Arial" w:eastAsia="Arial" w:hAnsi="Arial"/>
                <w:sz w:val="16"/>
                <w:szCs w:val="16"/>
                <w:color w:val="auto"/>
              </w:rPr>
              <w:t xml:space="preserve">•  The full Board has been briefed on enterprise-wide </w:t>
            </w:r>
            <w:r>
              <w:rPr>
                <w:rFonts w:ascii="Arial" w:cs="Arial" w:eastAsia="Arial" w:hAnsi="Arial"/>
                <w:sz w:val="16"/>
                <w:szCs w:val="16"/>
                <w:b w:val="1"/>
                <w:bCs w:val="1"/>
                <w:color w:val="32406B"/>
              </w:rPr>
              <w:t>cybersecurity risk management</w:t>
            </w:r>
            <w:r>
              <w:rPr>
                <w:rFonts w:ascii="Arial" w:cs="Arial" w:eastAsia="Arial" w:hAnsi="Arial"/>
                <w:sz w:val="16"/>
                <w:szCs w:val="16"/>
                <w:color w:val="auto"/>
              </w:rPr>
              <w:t xml:space="preserve"> and the overall</w:t>
            </w:r>
          </w:p>
        </w:tc>
      </w:tr>
      <w:tr>
        <w:trPr>
          <w:trHeight w:val="189"/>
        </w:trPr>
        <w:tc>
          <w:tcPr>
            <w:tcW w:w="2200" w:type="dxa"/>
            <w:vAlign w:val="bottom"/>
            <w:tcBorders>
              <w:left w:val="single" w:sz="8" w:color="auto"/>
              <w:right w:val="single" w:sz="8" w:color="auto"/>
            </w:tcBorders>
            <w:shd w:val="clear" w:color="auto" w:fill="32406B"/>
          </w:tcPr>
          <w:p>
            <w:pPr>
              <w:spacing w:after="0"/>
              <w:rPr>
                <w:sz w:val="16"/>
                <w:szCs w:val="16"/>
                <w:color w:val="auto"/>
              </w:rPr>
            </w:pPr>
          </w:p>
        </w:tc>
        <w:tc>
          <w:tcPr>
            <w:tcW w:w="8820" w:type="dxa"/>
            <w:vAlign w:val="bottom"/>
            <w:tcBorders>
              <w:right w:val="single" w:sz="8" w:color="auto"/>
            </w:tcBorders>
          </w:tcPr>
          <w:p>
            <w:pPr>
              <w:ind w:left="720"/>
              <w:spacing w:after="0"/>
              <w:rPr>
                <w:sz w:val="20"/>
                <w:szCs w:val="20"/>
                <w:color w:val="auto"/>
              </w:rPr>
            </w:pPr>
            <w:r>
              <w:rPr>
                <w:rFonts w:ascii="Arial" w:cs="Arial" w:eastAsia="Arial" w:hAnsi="Arial"/>
                <w:sz w:val="16"/>
                <w:szCs w:val="16"/>
                <w:color w:val="auto"/>
              </w:rPr>
              <w:t>cybersecurity risk environment. The Audit Committee oversees major tasks related to cybersecurity risk</w:t>
            </w:r>
          </w:p>
        </w:tc>
      </w:tr>
      <w:tr>
        <w:trPr>
          <w:trHeight w:val="189"/>
        </w:trPr>
        <w:tc>
          <w:tcPr>
            <w:tcW w:w="2200" w:type="dxa"/>
            <w:vAlign w:val="bottom"/>
            <w:tcBorders>
              <w:left w:val="single" w:sz="8" w:color="auto"/>
              <w:right w:val="single" w:sz="8" w:color="auto"/>
            </w:tcBorders>
            <w:shd w:val="clear" w:color="auto" w:fill="32406B"/>
          </w:tcPr>
          <w:p>
            <w:pPr>
              <w:spacing w:after="0"/>
              <w:rPr>
                <w:sz w:val="16"/>
                <w:szCs w:val="16"/>
                <w:color w:val="auto"/>
              </w:rPr>
            </w:pPr>
          </w:p>
        </w:tc>
        <w:tc>
          <w:tcPr>
            <w:tcW w:w="8820" w:type="dxa"/>
            <w:vAlign w:val="bottom"/>
            <w:tcBorders>
              <w:right w:val="single" w:sz="8" w:color="auto"/>
            </w:tcBorders>
          </w:tcPr>
          <w:p>
            <w:pPr>
              <w:ind w:left="720"/>
              <w:spacing w:after="0"/>
              <w:rPr>
                <w:sz w:val="20"/>
                <w:szCs w:val="20"/>
                <w:color w:val="auto"/>
              </w:rPr>
            </w:pPr>
            <w:r>
              <w:rPr>
                <w:rFonts w:ascii="Arial" w:cs="Arial" w:eastAsia="Arial" w:hAnsi="Arial"/>
                <w:sz w:val="16"/>
                <w:szCs w:val="16"/>
                <w:color w:val="auto"/>
              </w:rPr>
              <w:t>management, periodically monitors the Company’s response systems and meets with the Chief Information</w:t>
            </w:r>
          </w:p>
        </w:tc>
      </w:tr>
      <w:tr>
        <w:trPr>
          <w:trHeight w:val="194"/>
        </w:trPr>
        <w:tc>
          <w:tcPr>
            <w:tcW w:w="2200" w:type="dxa"/>
            <w:vAlign w:val="bottom"/>
            <w:tcBorders>
              <w:left w:val="single" w:sz="8" w:color="auto"/>
              <w:right w:val="single" w:sz="8" w:color="auto"/>
            </w:tcBorders>
            <w:shd w:val="clear" w:color="auto" w:fill="32406B"/>
          </w:tcPr>
          <w:p>
            <w:pPr>
              <w:spacing w:after="0"/>
              <w:rPr>
                <w:sz w:val="16"/>
                <w:szCs w:val="16"/>
                <w:color w:val="auto"/>
              </w:rPr>
            </w:pPr>
          </w:p>
        </w:tc>
        <w:tc>
          <w:tcPr>
            <w:tcW w:w="8820" w:type="dxa"/>
            <w:vAlign w:val="bottom"/>
            <w:tcBorders>
              <w:right w:val="single" w:sz="8" w:color="auto"/>
            </w:tcBorders>
          </w:tcPr>
          <w:p>
            <w:pPr>
              <w:ind w:left="720"/>
              <w:spacing w:after="0"/>
              <w:rPr>
                <w:sz w:val="20"/>
                <w:szCs w:val="20"/>
                <w:color w:val="auto"/>
              </w:rPr>
            </w:pPr>
            <w:r>
              <w:rPr>
                <w:rFonts w:ascii="Arial" w:cs="Arial" w:eastAsia="Arial" w:hAnsi="Arial"/>
                <w:sz w:val="16"/>
                <w:szCs w:val="16"/>
                <w:color w:val="auto"/>
              </w:rPr>
              <w:t>Officer on at least an annual basis.</w:t>
            </w:r>
          </w:p>
        </w:tc>
      </w:tr>
      <w:tr>
        <w:trPr>
          <w:trHeight w:val="244"/>
        </w:trPr>
        <w:tc>
          <w:tcPr>
            <w:tcW w:w="2200" w:type="dxa"/>
            <w:vAlign w:val="bottom"/>
            <w:tcBorders>
              <w:left w:val="single" w:sz="8" w:color="auto"/>
              <w:right w:val="single" w:sz="8" w:color="auto"/>
            </w:tcBorders>
            <w:shd w:val="clear" w:color="auto" w:fill="32406B"/>
          </w:tcPr>
          <w:p>
            <w:pPr>
              <w:spacing w:after="0"/>
              <w:rPr>
                <w:sz w:val="21"/>
                <w:szCs w:val="21"/>
                <w:color w:val="auto"/>
              </w:rPr>
            </w:pPr>
          </w:p>
        </w:tc>
        <w:tc>
          <w:tcPr>
            <w:tcW w:w="8820" w:type="dxa"/>
            <w:vAlign w:val="bottom"/>
            <w:tcBorders>
              <w:right w:val="single" w:sz="8" w:color="auto"/>
            </w:tcBorders>
          </w:tcPr>
          <w:p>
            <w:pPr>
              <w:ind w:left="540"/>
              <w:spacing w:after="0"/>
              <w:rPr>
                <w:sz w:val="20"/>
                <w:szCs w:val="20"/>
                <w:color w:val="auto"/>
              </w:rPr>
            </w:pPr>
            <w:r>
              <w:rPr>
                <w:rFonts w:ascii="Arial" w:cs="Arial" w:eastAsia="Arial" w:hAnsi="Arial"/>
                <w:sz w:val="16"/>
                <w:szCs w:val="16"/>
                <w:color w:val="auto"/>
              </w:rPr>
              <w:t>•  Dover employs the National Institute of Standards &amp; Technology Framework for Improving Critical Infrastructure</w:t>
            </w:r>
          </w:p>
        </w:tc>
      </w:tr>
      <w:tr>
        <w:trPr>
          <w:trHeight w:val="209"/>
        </w:trPr>
        <w:tc>
          <w:tcPr>
            <w:tcW w:w="2200" w:type="dxa"/>
            <w:vAlign w:val="bottom"/>
            <w:tcBorders>
              <w:left w:val="single" w:sz="8" w:color="auto"/>
              <w:right w:val="single" w:sz="8" w:color="auto"/>
            </w:tcBorders>
            <w:shd w:val="clear" w:color="auto" w:fill="32406B"/>
          </w:tcPr>
          <w:p>
            <w:pPr>
              <w:spacing w:after="0"/>
              <w:rPr>
                <w:sz w:val="18"/>
                <w:szCs w:val="18"/>
                <w:color w:val="auto"/>
              </w:rPr>
            </w:pPr>
          </w:p>
        </w:tc>
        <w:tc>
          <w:tcPr>
            <w:tcW w:w="8820" w:type="dxa"/>
            <w:vAlign w:val="bottom"/>
            <w:tcBorders>
              <w:right w:val="single" w:sz="8" w:color="auto"/>
            </w:tcBorders>
          </w:tcPr>
          <w:p>
            <w:pPr>
              <w:ind w:left="720"/>
              <w:spacing w:after="0"/>
              <w:rPr>
                <w:sz w:val="20"/>
                <w:szCs w:val="20"/>
                <w:color w:val="auto"/>
              </w:rPr>
            </w:pPr>
            <w:r>
              <w:rPr>
                <w:rFonts w:ascii="Arial" w:cs="Arial" w:eastAsia="Arial" w:hAnsi="Arial"/>
                <w:sz w:val="16"/>
                <w:szCs w:val="16"/>
                <w:color w:val="auto"/>
              </w:rPr>
              <w:t>Cybersecurity (</w:t>
            </w:r>
            <w:r>
              <w:rPr>
                <w:rFonts w:ascii="Arial" w:cs="Arial" w:eastAsia="Arial" w:hAnsi="Arial"/>
                <w:sz w:val="16"/>
                <w:szCs w:val="16"/>
                <w:b w:val="1"/>
                <w:bCs w:val="1"/>
                <w:color w:val="32406B"/>
              </w:rPr>
              <w:t>The NIST Framework</w:t>
            </w:r>
            <w:r>
              <w:rPr>
                <w:rFonts w:ascii="Arial" w:cs="Arial" w:eastAsia="Arial" w:hAnsi="Arial"/>
                <w:sz w:val="16"/>
                <w:szCs w:val="16"/>
                <w:color w:val="auto"/>
              </w:rPr>
              <w:t>). This voluntary guidance developed with much private sector input</w:t>
            </w:r>
          </w:p>
        </w:tc>
      </w:tr>
      <w:tr>
        <w:trPr>
          <w:trHeight w:val="194"/>
        </w:trPr>
        <w:tc>
          <w:tcPr>
            <w:tcW w:w="2200" w:type="dxa"/>
            <w:vAlign w:val="bottom"/>
            <w:tcBorders>
              <w:left w:val="single" w:sz="8" w:color="auto"/>
              <w:right w:val="single" w:sz="8" w:color="auto"/>
            </w:tcBorders>
            <w:shd w:val="clear" w:color="auto" w:fill="32406B"/>
          </w:tcPr>
          <w:p>
            <w:pPr>
              <w:spacing w:after="0"/>
              <w:rPr>
                <w:sz w:val="16"/>
                <w:szCs w:val="16"/>
                <w:color w:val="auto"/>
              </w:rPr>
            </w:pPr>
          </w:p>
        </w:tc>
        <w:tc>
          <w:tcPr>
            <w:tcW w:w="8820" w:type="dxa"/>
            <w:vAlign w:val="bottom"/>
            <w:tcBorders>
              <w:right w:val="single" w:sz="8" w:color="auto"/>
            </w:tcBorders>
          </w:tcPr>
          <w:p>
            <w:pPr>
              <w:ind w:left="720"/>
              <w:spacing w:after="0"/>
              <w:rPr>
                <w:sz w:val="20"/>
                <w:szCs w:val="20"/>
                <w:color w:val="auto"/>
              </w:rPr>
            </w:pPr>
            <w:r>
              <w:rPr>
                <w:rFonts w:ascii="Arial" w:cs="Arial" w:eastAsia="Arial" w:hAnsi="Arial"/>
                <w:sz w:val="16"/>
                <w:szCs w:val="16"/>
                <w:color w:val="auto"/>
              </w:rPr>
              <w:t>provides a framework and a toolkit for organizations to manage cybersecurity risk.</w:t>
            </w:r>
          </w:p>
        </w:tc>
      </w:tr>
      <w:tr>
        <w:trPr>
          <w:trHeight w:val="87"/>
        </w:trPr>
        <w:tc>
          <w:tcPr>
            <w:tcW w:w="2200" w:type="dxa"/>
            <w:vAlign w:val="bottom"/>
            <w:tcBorders>
              <w:left w:val="single" w:sz="8" w:color="auto"/>
              <w:bottom w:val="single" w:sz="8" w:color="auto"/>
              <w:right w:val="single" w:sz="8" w:color="auto"/>
            </w:tcBorders>
            <w:shd w:val="clear" w:color="auto" w:fill="32406B"/>
          </w:tcPr>
          <w:p>
            <w:pPr>
              <w:spacing w:after="0"/>
              <w:rPr>
                <w:sz w:val="7"/>
                <w:szCs w:val="7"/>
                <w:color w:val="auto"/>
              </w:rPr>
            </w:pPr>
          </w:p>
        </w:tc>
        <w:tc>
          <w:tcPr>
            <w:tcW w:w="8820" w:type="dxa"/>
            <w:vAlign w:val="bottom"/>
            <w:tcBorders>
              <w:bottom w:val="single" w:sz="8" w:color="auto"/>
              <w:right w:val="single" w:sz="8" w:color="auto"/>
            </w:tcBorders>
          </w:tcPr>
          <w:p>
            <w:pPr>
              <w:spacing w:after="0"/>
              <w:rPr>
                <w:sz w:val="7"/>
                <w:szCs w:val="7"/>
                <w:color w:val="auto"/>
              </w:rPr>
            </w:pPr>
          </w:p>
        </w:tc>
      </w:tr>
      <w:tr>
        <w:trPr>
          <w:trHeight w:val="338"/>
        </w:trPr>
        <w:tc>
          <w:tcPr>
            <w:tcW w:w="2200" w:type="dxa"/>
            <w:vAlign w:val="bottom"/>
          </w:tcPr>
          <w:p>
            <w:pPr>
              <w:spacing w:after="0"/>
              <w:rPr>
                <w:sz w:val="24"/>
                <w:szCs w:val="24"/>
                <w:color w:val="auto"/>
              </w:rPr>
            </w:pPr>
          </w:p>
        </w:tc>
        <w:tc>
          <w:tcPr>
            <w:tcW w:w="8820" w:type="dxa"/>
            <w:vAlign w:val="bottom"/>
          </w:tcPr>
          <w:p>
            <w:pPr>
              <w:ind w:left="4960"/>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23</w:t>
            </w:r>
          </w:p>
        </w:tc>
      </w:tr>
    </w:tbl>
    <w:p>
      <w:pPr>
        <w:sectPr>
          <w:pgSz w:w="11900" w:h="16838" w:orient="portrait"/>
          <w:cols w:equalWidth="0" w:num="1">
            <w:col w:w="11240"/>
          </w:cols>
          <w:pgMar w:left="240" w:top="459" w:right="41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PROPOSAL 1 — ELECTION OF DIRECTORS</w:t>
      </w:r>
    </w:p>
    <w:p>
      <w:pPr>
        <w:spacing w:after="0" w:line="153"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32406B"/>
        </w:rPr>
        <w:t>Governance Guidelines and Code of Ethics</w:t>
      </w:r>
    </w:p>
    <w:p>
      <w:pPr>
        <w:spacing w:after="0" w:line="106" w:lineRule="exact"/>
        <w:rPr>
          <w:sz w:val="20"/>
          <w:szCs w:val="20"/>
          <w:color w:val="auto"/>
        </w:rPr>
      </w:pPr>
    </w:p>
    <w:p>
      <w:pPr>
        <w:ind w:left="220" w:right="20"/>
        <w:spacing w:after="0" w:line="249" w:lineRule="auto"/>
        <w:rPr>
          <w:sz w:val="20"/>
          <w:szCs w:val="20"/>
          <w:color w:val="auto"/>
        </w:rPr>
      </w:pPr>
      <w:r>
        <w:rPr>
          <w:rFonts w:ascii="Arial" w:cs="Arial" w:eastAsia="Arial" w:hAnsi="Arial"/>
          <w:sz w:val="16"/>
          <w:szCs w:val="16"/>
          <w:color w:val="auto"/>
        </w:rPr>
        <w:t>Our Board long ago adopted written corporate governance guidelines that set forth the responsibilities of our Board and the qualifications and independence of its members and the members of its standing committees. The Board reviews these guidelines at least annually, in light of evolving best practices, shareholder feedback and the evolution of our business. In addition, our Board has a long-standing code of business conduct and ethics setting forth standards applicable to all of our companies and their employees, a code of ethics for our CEO and senior financial officers, and charters for each of its standing committees. All of these documents (referred to collectively as “governance materials”) are available on our website at www.dovercorporation.com.</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32406B"/>
        </w:rPr>
        <w:t>Directors’ Meetings and Attendance</w:t>
      </w:r>
    </w:p>
    <w:p>
      <w:pPr>
        <w:spacing w:after="0" w:line="92" w:lineRule="exact"/>
        <w:rPr>
          <w:sz w:val="20"/>
          <w:szCs w:val="20"/>
          <w:color w:val="auto"/>
        </w:rPr>
      </w:pPr>
    </w:p>
    <w:p>
      <w:pPr>
        <w:ind w:left="220" w:right="180"/>
        <w:spacing w:after="0" w:line="250" w:lineRule="auto"/>
        <w:rPr>
          <w:sz w:val="20"/>
          <w:szCs w:val="20"/>
          <w:color w:val="auto"/>
        </w:rPr>
      </w:pPr>
      <w:r>
        <w:rPr>
          <w:rFonts w:ascii="Arial" w:cs="Arial" w:eastAsia="Arial" w:hAnsi="Arial"/>
          <w:sz w:val="16"/>
          <w:szCs w:val="16"/>
          <w:color w:val="auto"/>
        </w:rPr>
        <w:t>During 2017, the Board met 10 times. No director attended less than 75% of the board and standing committee meetings held while he or she was a member of the Board and relevant standing committee. Average board attendance was 96% in 2017. Our independent directors meet at regularly scheduled executive sessions at least quarterly without management representatives or non-independent directors present. The Chairman of the Board presides at these sessions.</w:t>
      </w:r>
    </w:p>
    <w:p>
      <w:pPr>
        <w:spacing w:after="0" w:line="164" w:lineRule="exact"/>
        <w:rPr>
          <w:sz w:val="20"/>
          <w:szCs w:val="20"/>
          <w:color w:val="auto"/>
        </w:rPr>
      </w:pPr>
    </w:p>
    <w:p>
      <w:pPr>
        <w:ind w:left="220"/>
        <w:spacing w:after="0"/>
        <w:rPr>
          <w:sz w:val="20"/>
          <w:szCs w:val="20"/>
          <w:color w:val="auto"/>
        </w:rPr>
      </w:pPr>
      <w:r>
        <w:rPr>
          <w:rFonts w:ascii="Arial" w:cs="Arial" w:eastAsia="Arial" w:hAnsi="Arial"/>
          <w:sz w:val="16"/>
          <w:szCs w:val="16"/>
          <w:color w:val="auto"/>
        </w:rPr>
        <w:t>We expect our directors to attend the Annual Meeting. 11 of the 12 directors then on the Board attended the Annual Meeting held on May 5, 2017.</w:t>
      </w:r>
    </w:p>
    <w:p>
      <w:pPr>
        <w:spacing w:after="0" w:line="201"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32406B"/>
        </w:rPr>
        <w:t>Board Site Visits; Strategic Planning Meetings</w:t>
      </w:r>
    </w:p>
    <w:p>
      <w:pPr>
        <w:spacing w:after="0" w:line="106" w:lineRule="exact"/>
        <w:rPr>
          <w:sz w:val="20"/>
          <w:szCs w:val="20"/>
          <w:color w:val="auto"/>
        </w:rPr>
      </w:pPr>
    </w:p>
    <w:p>
      <w:pPr>
        <w:ind w:left="220" w:right="220"/>
        <w:spacing w:after="0" w:line="249" w:lineRule="auto"/>
        <w:rPr>
          <w:sz w:val="20"/>
          <w:szCs w:val="20"/>
          <w:color w:val="auto"/>
        </w:rPr>
      </w:pPr>
      <w:r>
        <w:rPr>
          <w:rFonts w:ascii="Arial" w:cs="Arial" w:eastAsia="Arial" w:hAnsi="Arial"/>
          <w:sz w:val="16"/>
          <w:szCs w:val="16"/>
          <w:color w:val="auto"/>
        </w:rPr>
        <w:t>We encourage our directors to meet with senior managers throughout the enterprise. When considering businesses to visit, priority goes to those businesses identified as strategically important as well as those that were recently acquired. In 2017, the Board made on-site visits to a business in the U.S. in the retail fueling portfolio in our Fluids segment as well as to several businesses in Italy in the Industrials platform and Printing &amp; Identification platform in our Engineered Systems segment, touring the manufacturing facilities and meeting face-to-face with company management. Directors also participated in a multi-day onsite strategic meeting with senior-level corporate, segment and operating company management. These visits serve as an important tool in the Board’s succession planning process for our senior leadership team.</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32406B"/>
        </w:rPr>
        <w:t>Director Orientation and Education</w:t>
      </w:r>
    </w:p>
    <w:p>
      <w:pPr>
        <w:spacing w:after="0" w:line="92" w:lineRule="exact"/>
        <w:rPr>
          <w:sz w:val="20"/>
          <w:szCs w:val="20"/>
          <w:color w:val="auto"/>
        </w:rPr>
      </w:pPr>
    </w:p>
    <w:p>
      <w:pPr>
        <w:ind w:left="220" w:right="60"/>
        <w:spacing w:after="0" w:line="250" w:lineRule="auto"/>
        <w:rPr>
          <w:sz w:val="20"/>
          <w:szCs w:val="20"/>
          <w:color w:val="auto"/>
        </w:rPr>
      </w:pPr>
      <w:r>
        <w:rPr>
          <w:rFonts w:ascii="Arial" w:cs="Arial" w:eastAsia="Arial" w:hAnsi="Arial"/>
          <w:sz w:val="16"/>
          <w:szCs w:val="16"/>
          <w:color w:val="auto"/>
        </w:rPr>
        <w:t>All new directors participate in our director orientation program. New directors meet in-person with senior corporate and segment leaders to review and discuss our businesses, operations, strategy, end markets, governance and culture. We believe that our on-boarding approach, coupled with participation in regular Board and committee meetings, provides new directors a strong foundation in our businesses and accelerates their effectiveness to fully engage in Board deliberations.</w:t>
      </w:r>
    </w:p>
    <w:p>
      <w:pPr>
        <w:spacing w:after="0" w:line="164" w:lineRule="exact"/>
        <w:rPr>
          <w:sz w:val="20"/>
          <w:szCs w:val="20"/>
          <w:color w:val="auto"/>
        </w:rPr>
      </w:pPr>
    </w:p>
    <w:p>
      <w:pPr>
        <w:ind w:left="220" w:right="500"/>
        <w:spacing w:after="0" w:line="260" w:lineRule="auto"/>
        <w:rPr>
          <w:sz w:val="20"/>
          <w:szCs w:val="20"/>
          <w:color w:val="auto"/>
        </w:rPr>
      </w:pPr>
      <w:r>
        <w:rPr>
          <w:rFonts w:ascii="Arial" w:cs="Arial" w:eastAsia="Arial" w:hAnsi="Arial"/>
          <w:sz w:val="16"/>
          <w:szCs w:val="16"/>
          <w:color w:val="auto"/>
        </w:rPr>
        <w:t>Our Board also encourages directors to annually participate in continuing director education programs outside of the Boardroom, and we reimburse directors for their expenses associated with this participation.</w:t>
      </w:r>
    </w:p>
    <w:p>
      <w:pPr>
        <w:spacing w:after="0" w:line="10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24</w:t>
      </w:r>
    </w:p>
    <w:p>
      <w:pPr>
        <w:sectPr>
          <w:pgSz w:w="11900" w:h="16838" w:orient="portrait"/>
          <w:cols w:equalWidth="0" w:num="1">
            <w:col w:w="11220"/>
          </w:cols>
          <w:pgMar w:left="24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PROPOSAL 1 — ELECTION OF DIRECTORS</w:t>
      </w:r>
    </w:p>
    <w:p>
      <w:pPr>
        <w:spacing w:after="0" w:line="153"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32406B"/>
        </w:rPr>
        <w:t>Board Committees</w:t>
      </w:r>
    </w:p>
    <w:p>
      <w:pPr>
        <w:spacing w:after="0" w:line="106" w:lineRule="exact"/>
        <w:rPr>
          <w:sz w:val="20"/>
          <w:szCs w:val="20"/>
          <w:color w:val="auto"/>
        </w:rPr>
      </w:pPr>
    </w:p>
    <w:p>
      <w:pPr>
        <w:ind w:left="220" w:right="180"/>
        <w:spacing w:after="0" w:line="250" w:lineRule="auto"/>
        <w:rPr>
          <w:sz w:val="20"/>
          <w:szCs w:val="20"/>
          <w:color w:val="auto"/>
        </w:rPr>
      </w:pPr>
      <w:r>
        <w:rPr>
          <w:rFonts w:ascii="Arial" w:cs="Arial" w:eastAsia="Arial" w:hAnsi="Arial"/>
          <w:sz w:val="16"/>
          <w:szCs w:val="16"/>
          <w:color w:val="auto"/>
        </w:rPr>
        <w:t>Our Board has three standing committees — the Audit Committee, the Compensation Committee and the Governance and Nominating Committee. The table below sets forth a summary of our committee structure and membership information. Prior to the first meeting of the Finance Committee, we will refresh the composition of our standing committees. Mr. Tobin will step down from the Compensation Committee concurrent with his becoming Dover’s President and CEO.</w:t>
      </w:r>
    </w:p>
    <w:p>
      <w:pPr>
        <w:spacing w:after="0" w:line="210" w:lineRule="exact"/>
        <w:rPr>
          <w:sz w:val="20"/>
          <w:szCs w:val="20"/>
          <w:color w:val="auto"/>
        </w:rPr>
      </w:pPr>
    </w:p>
    <w:tbl>
      <w:tblPr>
        <w:tblLayout w:type="fixed"/>
        <w:tblInd w:w="220" w:type="dxa"/>
        <w:tblCellMar>
          <w:top w:w="0" w:type="dxa"/>
          <w:left w:w="0" w:type="dxa"/>
          <w:bottom w:w="0" w:type="dxa"/>
          <w:right w:w="0" w:type="dxa"/>
        </w:tblCellMar>
      </w:tblPr>
      <w:tr>
        <w:trPr>
          <w:trHeight w:val="184"/>
        </w:trPr>
        <w:tc>
          <w:tcPr>
            <w:tcW w:w="4600" w:type="dxa"/>
            <w:vAlign w:val="bottom"/>
            <w:tcBorders>
              <w:top w:val="single" w:sz="8" w:color="auto"/>
              <w:right w:val="single" w:sz="8" w:color="999999"/>
            </w:tcBorders>
            <w:shd w:val="clear" w:color="auto" w:fill="505C81"/>
          </w:tcPr>
          <w:p>
            <w:pPr>
              <w:spacing w:after="0"/>
              <w:rPr>
                <w:sz w:val="16"/>
                <w:szCs w:val="16"/>
                <w:color w:val="auto"/>
              </w:rPr>
            </w:pPr>
          </w:p>
        </w:tc>
        <w:tc>
          <w:tcPr>
            <w:tcW w:w="2100" w:type="dxa"/>
            <w:vAlign w:val="bottom"/>
            <w:tcBorders>
              <w:top w:val="single" w:sz="8" w:color="auto"/>
            </w:tcBorders>
            <w:shd w:val="clear" w:color="auto" w:fill="505C81"/>
          </w:tcPr>
          <w:p>
            <w:pPr>
              <w:spacing w:after="0"/>
              <w:rPr>
                <w:sz w:val="16"/>
                <w:szCs w:val="16"/>
                <w:color w:val="auto"/>
              </w:rPr>
            </w:pPr>
          </w:p>
        </w:tc>
        <w:tc>
          <w:tcPr>
            <w:tcW w:w="2440" w:type="dxa"/>
            <w:vAlign w:val="bottom"/>
            <w:tcBorders>
              <w:top w:val="single" w:sz="8" w:color="auto"/>
            </w:tcBorders>
            <w:shd w:val="clear" w:color="auto" w:fill="505C81"/>
          </w:tcPr>
          <w:p>
            <w:pPr>
              <w:spacing w:after="0"/>
              <w:rPr>
                <w:sz w:val="16"/>
                <w:szCs w:val="16"/>
                <w:color w:val="auto"/>
              </w:rPr>
            </w:pPr>
          </w:p>
        </w:tc>
        <w:tc>
          <w:tcPr>
            <w:tcW w:w="1860" w:type="dxa"/>
            <w:vAlign w:val="bottom"/>
            <w:tcBorders>
              <w:top w:val="single" w:sz="8" w:color="auto"/>
            </w:tcBorders>
            <w:shd w:val="clear" w:color="auto" w:fill="505C81"/>
          </w:tcPr>
          <w:p>
            <w:pPr>
              <w:jc w:val="center"/>
              <w:ind w:left="319"/>
              <w:spacing w:after="0"/>
              <w:rPr>
                <w:sz w:val="20"/>
                <w:szCs w:val="20"/>
                <w:color w:val="auto"/>
              </w:rPr>
            </w:pPr>
            <w:r>
              <w:rPr>
                <w:rFonts w:ascii="Arial" w:cs="Arial" w:eastAsia="Arial" w:hAnsi="Arial"/>
                <w:sz w:val="16"/>
                <w:szCs w:val="16"/>
                <w:b w:val="1"/>
                <w:bCs w:val="1"/>
                <w:color w:val="FFFFFF"/>
              </w:rPr>
              <w:t>Governance</w:t>
            </w:r>
          </w:p>
        </w:tc>
      </w:tr>
      <w:tr>
        <w:trPr>
          <w:trHeight w:val="189"/>
        </w:trPr>
        <w:tc>
          <w:tcPr>
            <w:tcW w:w="4600" w:type="dxa"/>
            <w:vAlign w:val="bottom"/>
            <w:tcBorders>
              <w:right w:val="single" w:sz="8" w:color="999999"/>
            </w:tcBorders>
            <w:shd w:val="clear" w:color="auto" w:fill="505C81"/>
          </w:tcPr>
          <w:p>
            <w:pPr>
              <w:spacing w:after="0"/>
              <w:rPr>
                <w:sz w:val="16"/>
                <w:szCs w:val="16"/>
                <w:color w:val="auto"/>
              </w:rPr>
            </w:pPr>
          </w:p>
        </w:tc>
        <w:tc>
          <w:tcPr>
            <w:tcW w:w="2100" w:type="dxa"/>
            <w:vAlign w:val="bottom"/>
            <w:shd w:val="clear" w:color="auto" w:fill="505C81"/>
          </w:tcPr>
          <w:p>
            <w:pPr>
              <w:spacing w:after="0"/>
              <w:rPr>
                <w:sz w:val="16"/>
                <w:szCs w:val="16"/>
                <w:color w:val="auto"/>
              </w:rPr>
            </w:pPr>
          </w:p>
        </w:tc>
        <w:tc>
          <w:tcPr>
            <w:tcW w:w="2440" w:type="dxa"/>
            <w:vAlign w:val="bottom"/>
            <w:shd w:val="clear" w:color="auto" w:fill="505C81"/>
          </w:tcPr>
          <w:p>
            <w:pPr>
              <w:spacing w:after="0"/>
              <w:rPr>
                <w:sz w:val="16"/>
                <w:szCs w:val="16"/>
                <w:color w:val="auto"/>
              </w:rPr>
            </w:pPr>
          </w:p>
        </w:tc>
        <w:tc>
          <w:tcPr>
            <w:tcW w:w="1860" w:type="dxa"/>
            <w:vAlign w:val="bottom"/>
            <w:shd w:val="clear" w:color="auto" w:fill="505C81"/>
          </w:tcPr>
          <w:p>
            <w:pPr>
              <w:jc w:val="center"/>
              <w:ind w:left="319"/>
              <w:spacing w:after="0"/>
              <w:rPr>
                <w:sz w:val="20"/>
                <w:szCs w:val="20"/>
                <w:color w:val="auto"/>
              </w:rPr>
            </w:pPr>
            <w:r>
              <w:rPr>
                <w:rFonts w:ascii="Arial" w:cs="Arial" w:eastAsia="Arial" w:hAnsi="Arial"/>
                <w:sz w:val="16"/>
                <w:szCs w:val="16"/>
                <w:b w:val="1"/>
                <w:bCs w:val="1"/>
                <w:color w:val="FFFFFF"/>
              </w:rPr>
              <w:t>and</w:t>
            </w:r>
          </w:p>
        </w:tc>
      </w:tr>
      <w:tr>
        <w:trPr>
          <w:trHeight w:val="189"/>
        </w:trPr>
        <w:tc>
          <w:tcPr>
            <w:tcW w:w="4600" w:type="dxa"/>
            <w:vAlign w:val="bottom"/>
            <w:tcBorders>
              <w:right w:val="single" w:sz="8" w:color="999999"/>
            </w:tcBorders>
            <w:shd w:val="clear" w:color="auto" w:fill="505C81"/>
          </w:tcPr>
          <w:p>
            <w:pPr>
              <w:spacing w:after="0"/>
              <w:rPr>
                <w:sz w:val="16"/>
                <w:szCs w:val="16"/>
                <w:color w:val="auto"/>
              </w:rPr>
            </w:pPr>
          </w:p>
        </w:tc>
        <w:tc>
          <w:tcPr>
            <w:tcW w:w="2100" w:type="dxa"/>
            <w:vAlign w:val="bottom"/>
            <w:shd w:val="clear" w:color="auto" w:fill="505C81"/>
          </w:tcPr>
          <w:p>
            <w:pPr>
              <w:jc w:val="center"/>
              <w:spacing w:after="0"/>
              <w:rPr>
                <w:sz w:val="20"/>
                <w:szCs w:val="20"/>
                <w:color w:val="auto"/>
              </w:rPr>
            </w:pPr>
            <w:r>
              <w:rPr>
                <w:rFonts w:ascii="Arial" w:cs="Arial" w:eastAsia="Arial" w:hAnsi="Arial"/>
                <w:sz w:val="16"/>
                <w:szCs w:val="16"/>
                <w:b w:val="1"/>
                <w:bCs w:val="1"/>
                <w:color w:val="FFFFFF"/>
                <w:w w:val="97"/>
              </w:rPr>
              <w:t>Audit</w:t>
            </w:r>
          </w:p>
        </w:tc>
        <w:tc>
          <w:tcPr>
            <w:tcW w:w="2440" w:type="dxa"/>
            <w:vAlign w:val="bottom"/>
            <w:shd w:val="clear" w:color="auto" w:fill="505C81"/>
          </w:tcPr>
          <w:p>
            <w:pPr>
              <w:jc w:val="center"/>
              <w:spacing w:after="0"/>
              <w:rPr>
                <w:sz w:val="20"/>
                <w:szCs w:val="20"/>
                <w:color w:val="auto"/>
              </w:rPr>
            </w:pPr>
            <w:r>
              <w:rPr>
                <w:rFonts w:ascii="Arial" w:cs="Arial" w:eastAsia="Arial" w:hAnsi="Arial"/>
                <w:sz w:val="16"/>
                <w:szCs w:val="16"/>
                <w:b w:val="1"/>
                <w:bCs w:val="1"/>
                <w:color w:val="FFFFFF"/>
              </w:rPr>
              <w:t>Compensation</w:t>
            </w:r>
          </w:p>
        </w:tc>
        <w:tc>
          <w:tcPr>
            <w:tcW w:w="1860" w:type="dxa"/>
            <w:vAlign w:val="bottom"/>
            <w:shd w:val="clear" w:color="auto" w:fill="505C81"/>
          </w:tcPr>
          <w:p>
            <w:pPr>
              <w:jc w:val="center"/>
              <w:ind w:left="319"/>
              <w:spacing w:after="0"/>
              <w:rPr>
                <w:sz w:val="20"/>
                <w:szCs w:val="20"/>
                <w:color w:val="auto"/>
              </w:rPr>
            </w:pPr>
            <w:r>
              <w:rPr>
                <w:rFonts w:ascii="Arial" w:cs="Arial" w:eastAsia="Arial" w:hAnsi="Arial"/>
                <w:sz w:val="16"/>
                <w:szCs w:val="16"/>
                <w:b w:val="1"/>
                <w:bCs w:val="1"/>
                <w:color w:val="FFFFFF"/>
              </w:rPr>
              <w:t>Nominating</w:t>
            </w:r>
          </w:p>
        </w:tc>
      </w:tr>
      <w:tr>
        <w:trPr>
          <w:trHeight w:val="220"/>
        </w:trPr>
        <w:tc>
          <w:tcPr>
            <w:tcW w:w="4600" w:type="dxa"/>
            <w:vAlign w:val="bottom"/>
            <w:tcBorders>
              <w:right w:val="single" w:sz="8" w:color="999999"/>
            </w:tcBorders>
            <w:shd w:val="clear" w:color="auto" w:fill="505C81"/>
          </w:tcPr>
          <w:p>
            <w:pPr>
              <w:spacing w:after="0"/>
              <w:rPr>
                <w:sz w:val="20"/>
                <w:szCs w:val="20"/>
                <w:color w:val="auto"/>
              </w:rPr>
            </w:pPr>
            <w:r>
              <w:rPr>
                <w:rFonts w:ascii="Arial" w:cs="Arial" w:eastAsia="Arial" w:hAnsi="Arial"/>
                <w:sz w:val="16"/>
                <w:szCs w:val="16"/>
                <w:b w:val="1"/>
                <w:bCs w:val="1"/>
                <w:color w:val="FFFFFF"/>
              </w:rPr>
              <w:t>DIRECTOR</w:t>
            </w:r>
          </w:p>
        </w:tc>
        <w:tc>
          <w:tcPr>
            <w:tcW w:w="2100" w:type="dxa"/>
            <w:vAlign w:val="bottom"/>
            <w:shd w:val="clear" w:color="auto" w:fill="505C81"/>
          </w:tcPr>
          <w:p>
            <w:pPr>
              <w:jc w:val="center"/>
              <w:spacing w:after="0"/>
              <w:rPr>
                <w:sz w:val="20"/>
                <w:szCs w:val="20"/>
                <w:color w:val="auto"/>
              </w:rPr>
            </w:pPr>
            <w:r>
              <w:rPr>
                <w:rFonts w:ascii="Arial" w:cs="Arial" w:eastAsia="Arial" w:hAnsi="Arial"/>
                <w:sz w:val="16"/>
                <w:szCs w:val="16"/>
                <w:b w:val="1"/>
                <w:bCs w:val="1"/>
                <w:color w:val="FFFFFF"/>
              </w:rPr>
              <w:t>Committee</w:t>
            </w:r>
          </w:p>
        </w:tc>
        <w:tc>
          <w:tcPr>
            <w:tcW w:w="2440" w:type="dxa"/>
            <w:vAlign w:val="bottom"/>
            <w:shd w:val="clear" w:color="auto" w:fill="505C81"/>
          </w:tcPr>
          <w:p>
            <w:pPr>
              <w:jc w:val="center"/>
              <w:spacing w:after="0"/>
              <w:rPr>
                <w:sz w:val="20"/>
                <w:szCs w:val="20"/>
                <w:color w:val="auto"/>
              </w:rPr>
            </w:pPr>
            <w:r>
              <w:rPr>
                <w:rFonts w:ascii="Arial" w:cs="Arial" w:eastAsia="Arial" w:hAnsi="Arial"/>
                <w:sz w:val="16"/>
                <w:szCs w:val="16"/>
                <w:b w:val="1"/>
                <w:bCs w:val="1"/>
                <w:color w:val="FFFFFF"/>
              </w:rPr>
              <w:t>Committee</w:t>
            </w:r>
          </w:p>
        </w:tc>
        <w:tc>
          <w:tcPr>
            <w:tcW w:w="1860" w:type="dxa"/>
            <w:vAlign w:val="bottom"/>
            <w:shd w:val="clear" w:color="auto" w:fill="505C81"/>
          </w:tcPr>
          <w:p>
            <w:pPr>
              <w:jc w:val="center"/>
              <w:ind w:left="319"/>
              <w:spacing w:after="0"/>
              <w:rPr>
                <w:sz w:val="20"/>
                <w:szCs w:val="20"/>
                <w:color w:val="auto"/>
              </w:rPr>
            </w:pPr>
            <w:r>
              <w:rPr>
                <w:rFonts w:ascii="Arial" w:cs="Arial" w:eastAsia="Arial" w:hAnsi="Arial"/>
                <w:sz w:val="16"/>
                <w:szCs w:val="16"/>
                <w:b w:val="1"/>
                <w:bCs w:val="1"/>
                <w:color w:val="FFFFFF"/>
                <w:w w:val="99"/>
              </w:rPr>
              <w:t>Committee</w:t>
            </w:r>
          </w:p>
        </w:tc>
      </w:tr>
      <w:tr>
        <w:trPr>
          <w:trHeight w:val="202"/>
        </w:trPr>
        <w:tc>
          <w:tcPr>
            <w:tcW w:w="4600" w:type="dxa"/>
            <w:vAlign w:val="bottom"/>
            <w:tcBorders>
              <w:right w:val="single" w:sz="8" w:color="999999"/>
            </w:tcBorders>
          </w:tcPr>
          <w:p>
            <w:pPr>
              <w:spacing w:after="0"/>
              <w:rPr>
                <w:sz w:val="20"/>
                <w:szCs w:val="20"/>
                <w:color w:val="auto"/>
              </w:rPr>
            </w:pPr>
            <w:r>
              <w:rPr>
                <w:rFonts w:ascii="Arial" w:cs="Arial" w:eastAsia="Arial" w:hAnsi="Arial"/>
                <w:sz w:val="16"/>
                <w:szCs w:val="16"/>
                <w:b w:val="1"/>
                <w:bCs w:val="1"/>
                <w:color w:val="auto"/>
              </w:rPr>
              <w:t>PETER T. FRANCIS</w:t>
            </w:r>
          </w:p>
        </w:tc>
        <w:tc>
          <w:tcPr>
            <w:tcW w:w="2100" w:type="dxa"/>
            <w:vAlign w:val="bottom"/>
          </w:tcPr>
          <w:p>
            <w:pPr>
              <w:spacing w:after="0"/>
              <w:rPr>
                <w:sz w:val="17"/>
                <w:szCs w:val="17"/>
                <w:color w:val="auto"/>
              </w:rPr>
            </w:pPr>
          </w:p>
        </w:tc>
        <w:tc>
          <w:tcPr>
            <w:tcW w:w="244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860" w:type="dxa"/>
            <w:vAlign w:val="bottom"/>
          </w:tcPr>
          <w:p>
            <w:pPr>
              <w:spacing w:after="0"/>
              <w:rPr>
                <w:sz w:val="17"/>
                <w:szCs w:val="17"/>
                <w:color w:val="auto"/>
              </w:rPr>
            </w:pPr>
          </w:p>
        </w:tc>
      </w:tr>
      <w:tr>
        <w:trPr>
          <w:trHeight w:val="202"/>
        </w:trPr>
        <w:tc>
          <w:tcPr>
            <w:tcW w:w="4600" w:type="dxa"/>
            <w:vAlign w:val="bottom"/>
            <w:tcBorders>
              <w:right w:val="single" w:sz="8" w:color="999999"/>
            </w:tcBorders>
            <w:shd w:val="clear" w:color="auto" w:fill="D8D8D8"/>
          </w:tcPr>
          <w:p>
            <w:pPr>
              <w:spacing w:after="0"/>
              <w:rPr>
                <w:sz w:val="20"/>
                <w:szCs w:val="20"/>
                <w:color w:val="auto"/>
              </w:rPr>
            </w:pPr>
            <w:r>
              <w:rPr>
                <w:rFonts w:ascii="Arial" w:cs="Arial" w:eastAsia="Arial" w:hAnsi="Arial"/>
                <w:sz w:val="16"/>
                <w:szCs w:val="16"/>
                <w:b w:val="1"/>
                <w:bCs w:val="1"/>
                <w:color w:val="auto"/>
              </w:rPr>
              <w:t>KRISTIANE C. GRAHAM</w:t>
            </w:r>
          </w:p>
        </w:tc>
        <w:tc>
          <w:tcPr>
            <w:tcW w:w="2100" w:type="dxa"/>
            <w:vAlign w:val="bottom"/>
            <w:shd w:val="clear" w:color="auto" w:fill="D8D8D8"/>
          </w:tcPr>
          <w:p>
            <w:pPr>
              <w:spacing w:after="0"/>
              <w:rPr>
                <w:sz w:val="17"/>
                <w:szCs w:val="17"/>
                <w:color w:val="auto"/>
              </w:rPr>
            </w:pPr>
          </w:p>
        </w:tc>
        <w:tc>
          <w:tcPr>
            <w:tcW w:w="2440" w:type="dxa"/>
            <w:vAlign w:val="bottom"/>
            <w:shd w:val="clear" w:color="auto" w:fill="D8D8D8"/>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860" w:type="dxa"/>
            <w:vAlign w:val="bottom"/>
            <w:shd w:val="clear" w:color="auto" w:fill="D8D8D8"/>
          </w:tcPr>
          <w:p>
            <w:pPr>
              <w:jc w:val="center"/>
              <w:ind w:left="319"/>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02"/>
        </w:trPr>
        <w:tc>
          <w:tcPr>
            <w:tcW w:w="4600" w:type="dxa"/>
            <w:vAlign w:val="bottom"/>
            <w:tcBorders>
              <w:right w:val="single" w:sz="8" w:color="999999"/>
            </w:tcBorders>
          </w:tcPr>
          <w:p>
            <w:pPr>
              <w:spacing w:after="0"/>
              <w:rPr>
                <w:sz w:val="20"/>
                <w:szCs w:val="20"/>
                <w:color w:val="auto"/>
              </w:rPr>
            </w:pPr>
            <w:r>
              <w:rPr>
                <w:rFonts w:ascii="Arial" w:cs="Arial" w:eastAsia="Arial" w:hAnsi="Arial"/>
                <w:sz w:val="16"/>
                <w:szCs w:val="16"/>
                <w:b w:val="1"/>
                <w:bCs w:val="1"/>
                <w:color w:val="auto"/>
              </w:rPr>
              <w:t>MICHAEL F. JOHNSTON</w:t>
            </w:r>
          </w:p>
        </w:tc>
        <w:tc>
          <w:tcPr>
            <w:tcW w:w="2100" w:type="dxa"/>
            <w:vAlign w:val="bottom"/>
          </w:tcPr>
          <w:p>
            <w:pPr>
              <w:spacing w:after="0"/>
              <w:rPr>
                <w:sz w:val="17"/>
                <w:szCs w:val="17"/>
                <w:color w:val="auto"/>
              </w:rPr>
            </w:pPr>
          </w:p>
        </w:tc>
        <w:tc>
          <w:tcPr>
            <w:tcW w:w="244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860" w:type="dxa"/>
            <w:vAlign w:val="bottom"/>
          </w:tcPr>
          <w:p>
            <w:pPr>
              <w:jc w:val="center"/>
              <w:ind w:left="319"/>
              <w:spacing w:after="0" w:line="161" w:lineRule="exact"/>
              <w:rPr>
                <w:sz w:val="20"/>
                <w:szCs w:val="20"/>
                <w:color w:val="auto"/>
              </w:rPr>
            </w:pPr>
            <w:r>
              <w:rPr>
                <w:rFonts w:ascii="MS PGothic" w:cs="MS PGothic" w:eastAsia="MS PGothic" w:hAnsi="MS PGothic"/>
                <w:sz w:val="16"/>
                <w:szCs w:val="16"/>
                <w:color w:val="auto"/>
                <w:w w:val="87"/>
              </w:rPr>
              <w:t>✓</w:t>
            </w:r>
          </w:p>
        </w:tc>
      </w:tr>
      <w:tr>
        <w:trPr>
          <w:trHeight w:val="189"/>
        </w:trPr>
        <w:tc>
          <w:tcPr>
            <w:tcW w:w="4600" w:type="dxa"/>
            <w:vAlign w:val="bottom"/>
            <w:tcBorders>
              <w:right w:val="single" w:sz="8" w:color="999999"/>
            </w:tcBorders>
            <w:shd w:val="clear" w:color="auto" w:fill="D8D8D8"/>
          </w:tcPr>
          <w:p>
            <w:pPr>
              <w:spacing w:after="0"/>
              <w:rPr>
                <w:sz w:val="20"/>
                <w:szCs w:val="20"/>
                <w:color w:val="auto"/>
              </w:rPr>
            </w:pPr>
            <w:r>
              <w:rPr>
                <w:rFonts w:ascii="Arial" w:cs="Arial" w:eastAsia="Arial" w:hAnsi="Arial"/>
                <w:sz w:val="16"/>
                <w:szCs w:val="16"/>
                <w:b w:val="1"/>
                <w:bCs w:val="1"/>
                <w:color w:val="auto"/>
              </w:rPr>
              <w:t>ROBERT A. LIVINGSTON*</w:t>
            </w:r>
          </w:p>
        </w:tc>
        <w:tc>
          <w:tcPr>
            <w:tcW w:w="2100" w:type="dxa"/>
            <w:vAlign w:val="bottom"/>
            <w:shd w:val="clear" w:color="auto" w:fill="D8D8D8"/>
          </w:tcPr>
          <w:p>
            <w:pPr>
              <w:spacing w:after="0"/>
              <w:rPr>
                <w:sz w:val="16"/>
                <w:szCs w:val="16"/>
                <w:color w:val="auto"/>
              </w:rPr>
            </w:pPr>
          </w:p>
        </w:tc>
        <w:tc>
          <w:tcPr>
            <w:tcW w:w="2440" w:type="dxa"/>
            <w:vAlign w:val="bottom"/>
            <w:shd w:val="clear" w:color="auto" w:fill="D8D8D8"/>
          </w:tcPr>
          <w:p>
            <w:pPr>
              <w:spacing w:after="0"/>
              <w:rPr>
                <w:sz w:val="16"/>
                <w:szCs w:val="16"/>
                <w:color w:val="auto"/>
              </w:rPr>
            </w:pPr>
          </w:p>
        </w:tc>
        <w:tc>
          <w:tcPr>
            <w:tcW w:w="1860" w:type="dxa"/>
            <w:vAlign w:val="bottom"/>
            <w:shd w:val="clear" w:color="auto" w:fill="D8D8D8"/>
          </w:tcPr>
          <w:p>
            <w:pPr>
              <w:spacing w:after="0"/>
              <w:rPr>
                <w:sz w:val="16"/>
                <w:szCs w:val="16"/>
                <w:color w:val="auto"/>
              </w:rPr>
            </w:pPr>
          </w:p>
        </w:tc>
      </w:tr>
      <w:tr>
        <w:trPr>
          <w:trHeight w:val="202"/>
        </w:trPr>
        <w:tc>
          <w:tcPr>
            <w:tcW w:w="4600" w:type="dxa"/>
            <w:vAlign w:val="bottom"/>
            <w:tcBorders>
              <w:right w:val="single" w:sz="8" w:color="999999"/>
            </w:tcBorders>
          </w:tcPr>
          <w:p>
            <w:pPr>
              <w:spacing w:after="0"/>
              <w:rPr>
                <w:sz w:val="20"/>
                <w:szCs w:val="20"/>
                <w:color w:val="auto"/>
              </w:rPr>
            </w:pPr>
            <w:r>
              <w:rPr>
                <w:rFonts w:ascii="Arial" w:cs="Arial" w:eastAsia="Arial" w:hAnsi="Arial"/>
                <w:sz w:val="16"/>
                <w:szCs w:val="16"/>
                <w:b w:val="1"/>
                <w:bCs w:val="1"/>
                <w:color w:val="auto"/>
              </w:rPr>
              <w:t>RICHARD K. LOCHRIDGE</w:t>
            </w:r>
          </w:p>
        </w:tc>
        <w:tc>
          <w:tcPr>
            <w:tcW w:w="2100" w:type="dxa"/>
            <w:vAlign w:val="bottom"/>
          </w:tcPr>
          <w:p>
            <w:pPr>
              <w:spacing w:after="0"/>
              <w:rPr>
                <w:sz w:val="17"/>
                <w:szCs w:val="17"/>
                <w:color w:val="auto"/>
              </w:rPr>
            </w:pPr>
          </w:p>
        </w:tc>
        <w:tc>
          <w:tcPr>
            <w:tcW w:w="2440" w:type="dxa"/>
            <w:vAlign w:val="bottom"/>
          </w:tcPr>
          <w:p>
            <w:pPr>
              <w:jc w:val="center"/>
              <w:spacing w:after="0" w:line="184" w:lineRule="exact"/>
              <w:rPr>
                <w:sz w:val="20"/>
                <w:szCs w:val="20"/>
                <w:color w:val="auto"/>
              </w:rPr>
            </w:pPr>
            <w:r>
              <w:rPr>
                <w:rFonts w:ascii="MS PGothic" w:cs="MS PGothic" w:eastAsia="MS PGothic" w:hAnsi="MS PGothic"/>
                <w:sz w:val="16"/>
                <w:szCs w:val="16"/>
                <w:color w:val="auto"/>
                <w:w w:val="98"/>
              </w:rPr>
              <w:t>✓</w:t>
            </w:r>
            <w:r>
              <w:rPr>
                <w:rFonts w:ascii="Arial" w:cs="Arial" w:eastAsia="Arial" w:hAnsi="Arial"/>
                <w:sz w:val="16"/>
                <w:szCs w:val="16"/>
                <w:color w:val="auto"/>
                <w:w w:val="98"/>
              </w:rPr>
              <w:t xml:space="preserve"> (Chair)</w:t>
            </w:r>
          </w:p>
        </w:tc>
        <w:tc>
          <w:tcPr>
            <w:tcW w:w="1860" w:type="dxa"/>
            <w:vAlign w:val="bottom"/>
          </w:tcPr>
          <w:p>
            <w:pPr>
              <w:spacing w:after="0"/>
              <w:rPr>
                <w:sz w:val="17"/>
                <w:szCs w:val="17"/>
                <w:color w:val="auto"/>
              </w:rPr>
            </w:pPr>
          </w:p>
        </w:tc>
      </w:tr>
      <w:tr>
        <w:trPr>
          <w:trHeight w:val="202"/>
        </w:trPr>
        <w:tc>
          <w:tcPr>
            <w:tcW w:w="4600" w:type="dxa"/>
            <w:vAlign w:val="bottom"/>
            <w:tcBorders>
              <w:right w:val="single" w:sz="8" w:color="999999"/>
            </w:tcBorders>
            <w:shd w:val="clear" w:color="auto" w:fill="D8D8D8"/>
          </w:tcPr>
          <w:p>
            <w:pPr>
              <w:spacing w:after="0"/>
              <w:rPr>
                <w:sz w:val="20"/>
                <w:szCs w:val="20"/>
                <w:color w:val="auto"/>
              </w:rPr>
            </w:pPr>
            <w:r>
              <w:rPr>
                <w:rFonts w:ascii="Arial" w:cs="Arial" w:eastAsia="Arial" w:hAnsi="Arial"/>
                <w:sz w:val="16"/>
                <w:szCs w:val="16"/>
                <w:b w:val="1"/>
                <w:bCs w:val="1"/>
                <w:color w:val="auto"/>
              </w:rPr>
              <w:t>ERIC A. SPIEGEL</w:t>
            </w:r>
          </w:p>
        </w:tc>
        <w:tc>
          <w:tcPr>
            <w:tcW w:w="2100" w:type="dxa"/>
            <w:vAlign w:val="bottom"/>
            <w:shd w:val="clear" w:color="auto" w:fill="D8D8D8"/>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2440" w:type="dxa"/>
            <w:vAlign w:val="bottom"/>
            <w:shd w:val="clear" w:color="auto" w:fill="D8D8D8"/>
          </w:tcPr>
          <w:p>
            <w:pPr>
              <w:spacing w:after="0"/>
              <w:rPr>
                <w:sz w:val="17"/>
                <w:szCs w:val="17"/>
                <w:color w:val="auto"/>
              </w:rPr>
            </w:pPr>
          </w:p>
        </w:tc>
        <w:tc>
          <w:tcPr>
            <w:tcW w:w="1860" w:type="dxa"/>
            <w:vAlign w:val="bottom"/>
            <w:shd w:val="clear" w:color="auto" w:fill="D8D8D8"/>
          </w:tcPr>
          <w:p>
            <w:pPr>
              <w:spacing w:after="0"/>
              <w:rPr>
                <w:sz w:val="17"/>
                <w:szCs w:val="17"/>
                <w:color w:val="auto"/>
              </w:rPr>
            </w:pPr>
          </w:p>
        </w:tc>
      </w:tr>
      <w:tr>
        <w:trPr>
          <w:trHeight w:val="202"/>
        </w:trPr>
        <w:tc>
          <w:tcPr>
            <w:tcW w:w="4600" w:type="dxa"/>
            <w:vAlign w:val="bottom"/>
            <w:tcBorders>
              <w:right w:val="single" w:sz="8" w:color="999999"/>
            </w:tcBorders>
          </w:tcPr>
          <w:p>
            <w:pPr>
              <w:spacing w:after="0"/>
              <w:rPr>
                <w:sz w:val="20"/>
                <w:szCs w:val="20"/>
                <w:color w:val="auto"/>
              </w:rPr>
            </w:pPr>
            <w:r>
              <w:rPr>
                <w:rFonts w:ascii="Arial" w:cs="Arial" w:eastAsia="Arial" w:hAnsi="Arial"/>
                <w:sz w:val="16"/>
                <w:szCs w:val="16"/>
                <w:b w:val="1"/>
                <w:bCs w:val="1"/>
                <w:color w:val="auto"/>
              </w:rPr>
              <w:t>MICHAEL B. STUBBS**</w:t>
            </w:r>
          </w:p>
        </w:tc>
        <w:tc>
          <w:tcPr>
            <w:tcW w:w="210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244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02"/>
        </w:trPr>
        <w:tc>
          <w:tcPr>
            <w:tcW w:w="4600" w:type="dxa"/>
            <w:vAlign w:val="bottom"/>
            <w:tcBorders>
              <w:right w:val="single" w:sz="8" w:color="999999"/>
            </w:tcBorders>
            <w:shd w:val="clear" w:color="auto" w:fill="D8D8D8"/>
          </w:tcPr>
          <w:p>
            <w:pPr>
              <w:spacing w:after="0"/>
              <w:rPr>
                <w:sz w:val="20"/>
                <w:szCs w:val="20"/>
                <w:color w:val="auto"/>
              </w:rPr>
            </w:pPr>
            <w:r>
              <w:rPr>
                <w:rFonts w:ascii="Arial" w:cs="Arial" w:eastAsia="Arial" w:hAnsi="Arial"/>
                <w:sz w:val="16"/>
                <w:szCs w:val="16"/>
                <w:b w:val="1"/>
                <w:bCs w:val="1"/>
                <w:color w:val="auto"/>
              </w:rPr>
              <w:t>RICHARD J. TOBIN</w:t>
            </w:r>
          </w:p>
        </w:tc>
        <w:tc>
          <w:tcPr>
            <w:tcW w:w="2100" w:type="dxa"/>
            <w:vAlign w:val="bottom"/>
            <w:shd w:val="clear" w:color="auto" w:fill="D8D8D8"/>
          </w:tcPr>
          <w:p>
            <w:pPr>
              <w:spacing w:after="0"/>
              <w:rPr>
                <w:sz w:val="17"/>
                <w:szCs w:val="17"/>
                <w:color w:val="auto"/>
              </w:rPr>
            </w:pPr>
          </w:p>
        </w:tc>
        <w:tc>
          <w:tcPr>
            <w:tcW w:w="2440" w:type="dxa"/>
            <w:vAlign w:val="bottom"/>
            <w:shd w:val="clear" w:color="auto" w:fill="D8D8D8"/>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860" w:type="dxa"/>
            <w:vAlign w:val="bottom"/>
            <w:shd w:val="clear" w:color="auto" w:fill="D8D8D8"/>
          </w:tcPr>
          <w:p>
            <w:pPr>
              <w:spacing w:after="0"/>
              <w:rPr>
                <w:sz w:val="17"/>
                <w:szCs w:val="17"/>
                <w:color w:val="auto"/>
              </w:rPr>
            </w:pPr>
          </w:p>
        </w:tc>
      </w:tr>
      <w:tr>
        <w:trPr>
          <w:trHeight w:val="202"/>
        </w:trPr>
        <w:tc>
          <w:tcPr>
            <w:tcW w:w="4600" w:type="dxa"/>
            <w:vAlign w:val="bottom"/>
            <w:tcBorders>
              <w:right w:val="single" w:sz="8" w:color="999999"/>
            </w:tcBorders>
          </w:tcPr>
          <w:p>
            <w:pPr>
              <w:spacing w:after="0"/>
              <w:rPr>
                <w:sz w:val="20"/>
                <w:szCs w:val="20"/>
                <w:color w:val="auto"/>
              </w:rPr>
            </w:pPr>
            <w:r>
              <w:rPr>
                <w:rFonts w:ascii="Arial" w:cs="Arial" w:eastAsia="Arial" w:hAnsi="Arial"/>
                <w:sz w:val="16"/>
                <w:szCs w:val="16"/>
                <w:b w:val="1"/>
                <w:bCs w:val="1"/>
                <w:color w:val="auto"/>
              </w:rPr>
              <w:t>STEPHEN M. TODD</w:t>
            </w:r>
          </w:p>
        </w:tc>
        <w:tc>
          <w:tcPr>
            <w:tcW w:w="210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244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02"/>
        </w:trPr>
        <w:tc>
          <w:tcPr>
            <w:tcW w:w="4600" w:type="dxa"/>
            <w:vAlign w:val="bottom"/>
            <w:tcBorders>
              <w:right w:val="single" w:sz="8" w:color="999999"/>
            </w:tcBorders>
            <w:shd w:val="clear" w:color="auto" w:fill="D8D8D8"/>
          </w:tcPr>
          <w:p>
            <w:pPr>
              <w:spacing w:after="0"/>
              <w:rPr>
                <w:sz w:val="20"/>
                <w:szCs w:val="20"/>
                <w:color w:val="auto"/>
              </w:rPr>
            </w:pPr>
            <w:r>
              <w:rPr>
                <w:rFonts w:ascii="Arial" w:cs="Arial" w:eastAsia="Arial" w:hAnsi="Arial"/>
                <w:sz w:val="16"/>
                <w:szCs w:val="16"/>
                <w:b w:val="1"/>
                <w:bCs w:val="1"/>
                <w:color w:val="auto"/>
              </w:rPr>
              <w:t>STEPHEN K. WAGNER</w:t>
            </w:r>
          </w:p>
        </w:tc>
        <w:tc>
          <w:tcPr>
            <w:tcW w:w="2100" w:type="dxa"/>
            <w:vAlign w:val="bottom"/>
            <w:shd w:val="clear" w:color="auto" w:fill="D8D8D8"/>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2440" w:type="dxa"/>
            <w:vAlign w:val="bottom"/>
            <w:shd w:val="clear" w:color="auto" w:fill="D8D8D8"/>
          </w:tcPr>
          <w:p>
            <w:pPr>
              <w:spacing w:after="0"/>
              <w:rPr>
                <w:sz w:val="17"/>
                <w:szCs w:val="17"/>
                <w:color w:val="auto"/>
              </w:rPr>
            </w:pPr>
          </w:p>
        </w:tc>
        <w:tc>
          <w:tcPr>
            <w:tcW w:w="1860" w:type="dxa"/>
            <w:vAlign w:val="bottom"/>
            <w:shd w:val="clear" w:color="auto" w:fill="D8D8D8"/>
          </w:tcPr>
          <w:p>
            <w:pPr>
              <w:jc w:val="center"/>
              <w:ind w:left="319"/>
              <w:spacing w:after="0" w:line="184" w:lineRule="exact"/>
              <w:rPr>
                <w:sz w:val="20"/>
                <w:szCs w:val="20"/>
                <w:color w:val="auto"/>
              </w:rPr>
            </w:pPr>
            <w:r>
              <w:rPr>
                <w:rFonts w:ascii="MS PGothic" w:cs="MS PGothic" w:eastAsia="MS PGothic" w:hAnsi="MS PGothic"/>
                <w:sz w:val="16"/>
                <w:szCs w:val="16"/>
                <w:color w:val="auto"/>
                <w:w w:val="95"/>
              </w:rPr>
              <w:t>✓</w:t>
            </w:r>
            <w:r>
              <w:rPr>
                <w:rFonts w:ascii="Arial" w:cs="Arial" w:eastAsia="Arial" w:hAnsi="Arial"/>
                <w:sz w:val="16"/>
                <w:szCs w:val="16"/>
                <w:color w:val="auto"/>
                <w:w w:val="95"/>
              </w:rPr>
              <w:t xml:space="preserve"> (Chair)</w:t>
            </w:r>
          </w:p>
        </w:tc>
      </w:tr>
      <w:tr>
        <w:trPr>
          <w:trHeight w:val="202"/>
        </w:trPr>
        <w:tc>
          <w:tcPr>
            <w:tcW w:w="4600" w:type="dxa"/>
            <w:vAlign w:val="bottom"/>
            <w:tcBorders>
              <w:right w:val="single" w:sz="8" w:color="999999"/>
            </w:tcBorders>
          </w:tcPr>
          <w:p>
            <w:pPr>
              <w:spacing w:after="0"/>
              <w:rPr>
                <w:sz w:val="20"/>
                <w:szCs w:val="20"/>
                <w:color w:val="auto"/>
              </w:rPr>
            </w:pPr>
            <w:r>
              <w:rPr>
                <w:rFonts w:ascii="Arial" w:cs="Arial" w:eastAsia="Arial" w:hAnsi="Arial"/>
                <w:sz w:val="16"/>
                <w:szCs w:val="16"/>
                <w:b w:val="1"/>
                <w:bCs w:val="1"/>
                <w:color w:val="auto"/>
              </w:rPr>
              <w:t>KEITH E. WANDELL</w:t>
            </w:r>
          </w:p>
        </w:tc>
        <w:tc>
          <w:tcPr>
            <w:tcW w:w="2100" w:type="dxa"/>
            <w:vAlign w:val="bottom"/>
          </w:tcPr>
          <w:p>
            <w:pPr>
              <w:spacing w:after="0"/>
              <w:rPr>
                <w:sz w:val="17"/>
                <w:szCs w:val="17"/>
                <w:color w:val="auto"/>
              </w:rPr>
            </w:pPr>
          </w:p>
        </w:tc>
        <w:tc>
          <w:tcPr>
            <w:tcW w:w="244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860" w:type="dxa"/>
            <w:vAlign w:val="bottom"/>
          </w:tcPr>
          <w:p>
            <w:pPr>
              <w:jc w:val="center"/>
              <w:ind w:left="319"/>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02"/>
        </w:trPr>
        <w:tc>
          <w:tcPr>
            <w:tcW w:w="4600" w:type="dxa"/>
            <w:vAlign w:val="bottom"/>
            <w:tcBorders>
              <w:right w:val="single" w:sz="8" w:color="999999"/>
            </w:tcBorders>
            <w:shd w:val="clear" w:color="auto" w:fill="D8D8D8"/>
          </w:tcPr>
          <w:p>
            <w:pPr>
              <w:spacing w:after="0"/>
              <w:rPr>
                <w:sz w:val="20"/>
                <w:szCs w:val="20"/>
                <w:color w:val="auto"/>
              </w:rPr>
            </w:pPr>
            <w:r>
              <w:rPr>
                <w:rFonts w:ascii="Arial" w:cs="Arial" w:eastAsia="Arial" w:hAnsi="Arial"/>
                <w:sz w:val="16"/>
                <w:szCs w:val="16"/>
                <w:b w:val="1"/>
                <w:bCs w:val="1"/>
                <w:color w:val="auto"/>
              </w:rPr>
              <w:t>MARY A. WINSTON</w:t>
            </w:r>
          </w:p>
        </w:tc>
        <w:tc>
          <w:tcPr>
            <w:tcW w:w="2100" w:type="dxa"/>
            <w:vAlign w:val="bottom"/>
            <w:shd w:val="clear" w:color="auto" w:fill="D8D8D8"/>
          </w:tcPr>
          <w:p>
            <w:pPr>
              <w:jc w:val="center"/>
              <w:spacing w:after="0" w:line="184" w:lineRule="exact"/>
              <w:rPr>
                <w:sz w:val="20"/>
                <w:szCs w:val="20"/>
                <w:color w:val="auto"/>
              </w:rPr>
            </w:pPr>
            <w:r>
              <w:rPr>
                <w:rFonts w:ascii="MS PGothic" w:cs="MS PGothic" w:eastAsia="MS PGothic" w:hAnsi="MS PGothic"/>
                <w:sz w:val="16"/>
                <w:szCs w:val="16"/>
                <w:color w:val="auto"/>
                <w:w w:val="98"/>
              </w:rPr>
              <w:t>✓</w:t>
            </w:r>
            <w:r>
              <w:rPr>
                <w:rFonts w:ascii="Arial" w:cs="Arial" w:eastAsia="Arial" w:hAnsi="Arial"/>
                <w:sz w:val="16"/>
                <w:szCs w:val="16"/>
                <w:color w:val="auto"/>
                <w:w w:val="98"/>
              </w:rPr>
              <w:t xml:space="preserve"> (Chair)</w:t>
            </w:r>
          </w:p>
        </w:tc>
        <w:tc>
          <w:tcPr>
            <w:tcW w:w="2440" w:type="dxa"/>
            <w:vAlign w:val="bottom"/>
            <w:shd w:val="clear" w:color="auto" w:fill="D8D8D8"/>
          </w:tcPr>
          <w:p>
            <w:pPr>
              <w:spacing w:after="0"/>
              <w:rPr>
                <w:sz w:val="17"/>
                <w:szCs w:val="17"/>
                <w:color w:val="auto"/>
              </w:rPr>
            </w:pPr>
          </w:p>
        </w:tc>
        <w:tc>
          <w:tcPr>
            <w:tcW w:w="1860" w:type="dxa"/>
            <w:vAlign w:val="bottom"/>
            <w:shd w:val="clear" w:color="auto" w:fill="D8D8D8"/>
          </w:tcPr>
          <w:p>
            <w:pPr>
              <w:spacing w:after="0"/>
              <w:rPr>
                <w:sz w:val="17"/>
                <w:szCs w:val="17"/>
                <w:color w:val="auto"/>
              </w:rPr>
            </w:pPr>
          </w:p>
        </w:tc>
      </w:tr>
      <w:tr>
        <w:trPr>
          <w:trHeight w:val="189"/>
        </w:trPr>
        <w:tc>
          <w:tcPr>
            <w:tcW w:w="4600" w:type="dxa"/>
            <w:vAlign w:val="bottom"/>
            <w:tcBorders>
              <w:right w:val="single" w:sz="8" w:color="999999"/>
            </w:tcBorders>
          </w:tcPr>
          <w:p>
            <w:pPr>
              <w:spacing w:after="0"/>
              <w:rPr>
                <w:sz w:val="20"/>
                <w:szCs w:val="20"/>
                <w:color w:val="auto"/>
              </w:rPr>
            </w:pPr>
            <w:r>
              <w:rPr>
                <w:rFonts w:ascii="Arial" w:cs="Arial" w:eastAsia="Arial" w:hAnsi="Arial"/>
                <w:sz w:val="16"/>
                <w:szCs w:val="16"/>
                <w:b w:val="1"/>
                <w:bCs w:val="1"/>
                <w:color w:val="auto"/>
              </w:rPr>
              <w:t>MEETINGS IN 2017</w:t>
            </w:r>
          </w:p>
        </w:tc>
        <w:tc>
          <w:tcPr>
            <w:tcW w:w="2100" w:type="dxa"/>
            <w:vAlign w:val="bottom"/>
          </w:tcPr>
          <w:p>
            <w:pPr>
              <w:jc w:val="center"/>
              <w:spacing w:after="0"/>
              <w:rPr>
                <w:sz w:val="20"/>
                <w:szCs w:val="20"/>
                <w:color w:val="auto"/>
              </w:rPr>
            </w:pPr>
            <w:r>
              <w:rPr>
                <w:rFonts w:ascii="Arial" w:cs="Arial" w:eastAsia="Arial" w:hAnsi="Arial"/>
                <w:sz w:val="16"/>
                <w:szCs w:val="16"/>
                <w:color w:val="auto"/>
                <w:w w:val="89"/>
              </w:rPr>
              <w:t>8</w:t>
            </w:r>
          </w:p>
        </w:tc>
        <w:tc>
          <w:tcPr>
            <w:tcW w:w="2440" w:type="dxa"/>
            <w:vAlign w:val="bottom"/>
          </w:tcPr>
          <w:p>
            <w:pPr>
              <w:jc w:val="center"/>
              <w:spacing w:after="0"/>
              <w:rPr>
                <w:sz w:val="20"/>
                <w:szCs w:val="20"/>
                <w:color w:val="auto"/>
              </w:rPr>
            </w:pPr>
            <w:r>
              <w:rPr>
                <w:rFonts w:ascii="Arial" w:cs="Arial" w:eastAsia="Arial" w:hAnsi="Arial"/>
                <w:sz w:val="16"/>
                <w:szCs w:val="16"/>
                <w:color w:val="auto"/>
                <w:w w:val="89"/>
              </w:rPr>
              <w:t>6</w:t>
            </w:r>
          </w:p>
        </w:tc>
        <w:tc>
          <w:tcPr>
            <w:tcW w:w="1860" w:type="dxa"/>
            <w:vAlign w:val="bottom"/>
          </w:tcPr>
          <w:p>
            <w:pPr>
              <w:jc w:val="center"/>
              <w:ind w:left="319"/>
              <w:spacing w:after="0"/>
              <w:rPr>
                <w:sz w:val="20"/>
                <w:szCs w:val="20"/>
                <w:color w:val="auto"/>
              </w:rPr>
            </w:pPr>
            <w:r>
              <w:rPr>
                <w:rFonts w:ascii="Arial" w:cs="Arial" w:eastAsia="Arial" w:hAnsi="Arial"/>
                <w:sz w:val="16"/>
                <w:szCs w:val="16"/>
                <w:color w:val="auto"/>
              </w:rPr>
              <w:t>4</w:t>
            </w:r>
          </w:p>
        </w:tc>
      </w:tr>
    </w:tbl>
    <w:p>
      <w:pPr>
        <w:spacing w:after="0" w:line="53" w:lineRule="exact"/>
        <w:rPr>
          <w:sz w:val="20"/>
          <w:szCs w:val="20"/>
          <w:color w:val="auto"/>
        </w:rPr>
      </w:pPr>
    </w:p>
    <w:p>
      <w:pPr>
        <w:ind w:left="540" w:hanging="330"/>
        <w:spacing w:after="0"/>
        <w:tabs>
          <w:tab w:leader="none" w:pos="540" w:val="left"/>
        </w:tabs>
        <w:numPr>
          <w:ilvl w:val="0"/>
          <w:numId w:val="22"/>
        </w:numPr>
        <w:rPr>
          <w:rFonts w:ascii="Arial" w:cs="Arial" w:eastAsia="Arial" w:hAnsi="Arial"/>
          <w:sz w:val="16"/>
          <w:szCs w:val="16"/>
          <w:i w:val="1"/>
          <w:iCs w:val="1"/>
          <w:color w:val="auto"/>
        </w:rPr>
      </w:pPr>
      <w:r>
        <w:rPr>
          <w:rFonts w:ascii="Arial" w:cs="Arial" w:eastAsia="Arial" w:hAnsi="Arial"/>
          <w:sz w:val="16"/>
          <w:szCs w:val="16"/>
          <w:i w:val="1"/>
          <w:iCs w:val="1"/>
          <w:color w:val="auto"/>
        </w:rPr>
        <w:t>Mr. Livingston will retire from the Board as of April 30, 2018, at which time the size of our Board will be reduced to 11 members.</w:t>
      </w:r>
    </w:p>
    <w:p>
      <w:pPr>
        <w:spacing w:after="0" w:line="21" w:lineRule="exact"/>
        <w:rPr>
          <w:sz w:val="20"/>
          <w:szCs w:val="20"/>
          <w:color w:val="auto"/>
        </w:rPr>
      </w:pPr>
    </w:p>
    <w:p>
      <w:pPr>
        <w:ind w:left="540" w:right="120" w:hanging="330"/>
        <w:spacing w:after="0" w:line="260" w:lineRule="auto"/>
        <w:tabs>
          <w:tab w:leader="none" w:pos="540" w:val="left"/>
        </w:tabs>
        <w:numPr>
          <w:ilvl w:val="0"/>
          <w:numId w:val="23"/>
        </w:numPr>
        <w:rPr>
          <w:rFonts w:ascii="Arial" w:cs="Arial" w:eastAsia="Arial" w:hAnsi="Arial"/>
          <w:sz w:val="16"/>
          <w:szCs w:val="16"/>
          <w:i w:val="1"/>
          <w:iCs w:val="1"/>
          <w:color w:val="auto"/>
        </w:rPr>
      </w:pPr>
      <w:r>
        <w:rPr>
          <w:rFonts w:ascii="Arial" w:cs="Arial" w:eastAsia="Arial" w:hAnsi="Arial"/>
          <w:sz w:val="16"/>
          <w:szCs w:val="16"/>
          <w:i w:val="1"/>
          <w:iCs w:val="1"/>
          <w:color w:val="auto"/>
        </w:rPr>
        <w:t>Mr. Stubbs is not standing for re-election and will retire from the Board effective as of the Annual Meeting, at which time the size of our Board will be further reduced to 10 members.</w:t>
      </w:r>
    </w:p>
    <w:p>
      <w:pPr>
        <w:spacing w:after="0" w:line="10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25</w:t>
      </w:r>
    </w:p>
    <w:p>
      <w:pPr>
        <w:sectPr>
          <w:pgSz w:w="11900" w:h="16838" w:orient="portrait"/>
          <w:cols w:equalWidth="0" w:num="1">
            <w:col w:w="11220"/>
          </w:cols>
          <w:pgMar w:left="24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PROPOSAL 1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108585</wp:posOffset>
            </wp:positionV>
            <wp:extent cx="6998335" cy="32378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8335" cy="3237865"/>
                    </a:xfrm>
                    <a:prstGeom prst="rect">
                      <a:avLst/>
                    </a:prstGeom>
                    <a:noFill/>
                  </pic:spPr>
                </pic:pic>
              </a:graphicData>
            </a:graphic>
          </wp:anchor>
        </w:drawing>
      </w:r>
    </w:p>
    <w:p>
      <w:pPr>
        <w:spacing w:after="0" w:line="207"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FFFFFF"/>
        </w:rPr>
        <w:t>Audit Committee</w:t>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Mary A. Winston (Chair)</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Eric A. Spiegel</w:t>
      </w:r>
    </w:p>
    <w:p>
      <w:pPr>
        <w:spacing w:after="0" w:line="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Michael B. Stubbs</w:t>
      </w:r>
    </w:p>
    <w:p>
      <w:pPr>
        <w:spacing w:after="0" w:line="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Stephen M. Todd</w:t>
      </w:r>
    </w:p>
    <w:p>
      <w:pPr>
        <w:spacing w:after="0" w:line="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Stephen K. Wagner</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Key Responsibilities</w:t>
      </w:r>
    </w:p>
    <w:p>
      <w:pPr>
        <w:spacing w:after="0" w:line="106" w:lineRule="exact"/>
        <w:rPr>
          <w:sz w:val="20"/>
          <w:szCs w:val="20"/>
          <w:color w:val="auto"/>
        </w:rPr>
      </w:pPr>
    </w:p>
    <w:p>
      <w:pPr>
        <w:ind w:left="180" w:hanging="175"/>
        <w:spacing w:after="0"/>
        <w:tabs>
          <w:tab w:leader="none" w:pos="1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Selecting and engaging our independent registered public accounting firm (“independent auditors”)</w:t>
      </w:r>
    </w:p>
    <w:p>
      <w:pPr>
        <w:spacing w:after="0" w:line="85" w:lineRule="exact"/>
        <w:rPr>
          <w:rFonts w:ascii="Arial" w:cs="Arial" w:eastAsia="Arial" w:hAnsi="Arial"/>
          <w:sz w:val="16"/>
          <w:szCs w:val="16"/>
          <w:color w:val="auto"/>
        </w:rPr>
      </w:pPr>
    </w:p>
    <w:p>
      <w:pPr>
        <w:ind w:left="180" w:hanging="175"/>
        <w:spacing w:after="0"/>
        <w:tabs>
          <w:tab w:leader="none" w:pos="1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Overseeing the work of our independent auditors and our internal audit function</w:t>
      </w:r>
    </w:p>
    <w:p>
      <w:pPr>
        <w:spacing w:after="0" w:line="85" w:lineRule="exact"/>
        <w:rPr>
          <w:rFonts w:ascii="Arial" w:cs="Arial" w:eastAsia="Arial" w:hAnsi="Arial"/>
          <w:sz w:val="16"/>
          <w:szCs w:val="16"/>
          <w:color w:val="auto"/>
        </w:rPr>
      </w:pPr>
    </w:p>
    <w:p>
      <w:pPr>
        <w:ind w:left="180" w:right="520" w:hanging="175"/>
        <w:spacing w:after="0" w:line="260" w:lineRule="auto"/>
        <w:tabs>
          <w:tab w:leader="none" w:pos="171" w:val="left"/>
        </w:tabs>
        <w:numPr>
          <w:ilvl w:val="0"/>
          <w:numId w:val="24"/>
        </w:numPr>
        <w:rPr>
          <w:rFonts w:ascii="Arial" w:cs="Arial" w:eastAsia="Arial" w:hAnsi="Arial"/>
          <w:sz w:val="16"/>
          <w:szCs w:val="16"/>
          <w:color w:val="auto"/>
        </w:rPr>
      </w:pPr>
      <w:r>
        <w:rPr>
          <w:rFonts w:ascii="Arial" w:cs="Arial" w:eastAsia="Arial" w:hAnsi="Arial"/>
          <w:sz w:val="16"/>
          <w:szCs w:val="16"/>
          <w:color w:val="auto"/>
        </w:rPr>
        <w:t>Approving in advance all services to be provided by, and all fees to be paid to, our independent auditors, who report directly to the committee</w:t>
      </w:r>
    </w:p>
    <w:p>
      <w:pPr>
        <w:spacing w:after="0" w:line="60" w:lineRule="exact"/>
        <w:rPr>
          <w:rFonts w:ascii="Arial" w:cs="Arial" w:eastAsia="Arial" w:hAnsi="Arial"/>
          <w:sz w:val="16"/>
          <w:szCs w:val="16"/>
          <w:color w:val="auto"/>
        </w:rPr>
      </w:pPr>
    </w:p>
    <w:p>
      <w:pPr>
        <w:ind w:left="180" w:right="160" w:hanging="175"/>
        <w:spacing w:after="0" w:line="260" w:lineRule="auto"/>
        <w:tabs>
          <w:tab w:leader="none" w:pos="1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Reviewing with management and the independent auditors the audit plan and results of the auditing engagement</w:t>
      </w:r>
    </w:p>
    <w:p>
      <w:pPr>
        <w:spacing w:after="0" w:line="60" w:lineRule="exact"/>
        <w:rPr>
          <w:rFonts w:ascii="Arial" w:cs="Arial" w:eastAsia="Arial" w:hAnsi="Arial"/>
          <w:sz w:val="16"/>
          <w:szCs w:val="16"/>
          <w:color w:val="auto"/>
        </w:rPr>
      </w:pPr>
    </w:p>
    <w:p>
      <w:pPr>
        <w:ind w:left="180" w:right="200" w:hanging="175"/>
        <w:spacing w:after="0" w:line="260" w:lineRule="auto"/>
        <w:tabs>
          <w:tab w:leader="none" w:pos="1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Reviewing with management and our independent auditors the quality and adequacy of our internal control over financial reporting</w:t>
      </w:r>
    </w:p>
    <w:p>
      <w:pPr>
        <w:spacing w:after="0" w:line="181" w:lineRule="exact"/>
        <w:rPr>
          <w:sz w:val="20"/>
          <w:szCs w:val="20"/>
          <w:color w:val="auto"/>
        </w:rPr>
      </w:pPr>
    </w:p>
    <w:p>
      <w:pPr>
        <w:ind w:right="140"/>
        <w:spacing w:after="0" w:line="248" w:lineRule="auto"/>
        <w:rPr>
          <w:sz w:val="20"/>
          <w:szCs w:val="20"/>
          <w:color w:val="auto"/>
        </w:rPr>
      </w:pPr>
      <w:r>
        <w:rPr>
          <w:rFonts w:ascii="Arial" w:cs="Arial" w:eastAsia="Arial" w:hAnsi="Arial"/>
          <w:sz w:val="16"/>
          <w:szCs w:val="16"/>
          <w:color w:val="auto"/>
        </w:rPr>
        <w:t>The Audit Committee holds regular quarterly meetings at which it meets separately with each of our independent registered public accounting firm, PwC, our internal audit function, financial management and our general counsel to assess certain matters including the status of the independent audit process, management’s assessment of the effectiveness of internal control over financial reporting and the operation and effectiveness of our compliance program. In addition, the Audit Committee, as a whole, reviews and meets to discuss the contents of each Form 10-Q and Form 10-K (including the financial statements) prior to its filing with the SEC.</w:t>
      </w:r>
    </w:p>
    <w:p>
      <w:pPr>
        <w:spacing w:after="0" w:line="193" w:lineRule="exact"/>
        <w:rPr>
          <w:sz w:val="20"/>
          <w:szCs w:val="20"/>
          <w:color w:val="auto"/>
        </w:rPr>
      </w:pPr>
    </w:p>
    <w:p>
      <w:pPr>
        <w:ind w:right="660"/>
        <w:spacing w:after="0" w:line="260" w:lineRule="auto"/>
        <w:rPr>
          <w:sz w:val="20"/>
          <w:szCs w:val="20"/>
          <w:color w:val="auto"/>
        </w:rPr>
      </w:pPr>
      <w:r>
        <w:rPr>
          <w:rFonts w:ascii="Arial" w:cs="Arial" w:eastAsia="Arial" w:hAnsi="Arial"/>
          <w:sz w:val="16"/>
          <w:szCs w:val="16"/>
          <w:color w:val="auto"/>
        </w:rPr>
        <w:t>Our Board has determined that all members of the Audit Committee qualify as “audit committee financial experts” as defined in the SEC rules.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Audit Committee’s responsibilities and authority are described in greater detail in its written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-2240915</wp:posOffset>
            </wp:positionH>
            <wp:positionV relativeFrom="paragraph">
              <wp:posOffset>224790</wp:posOffset>
            </wp:positionV>
            <wp:extent cx="6998335" cy="22098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8335" cy="22098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20" w:space="720"/>
            <w:col w:w="7480"/>
          </w:cols>
          <w:pgMar w:left="240" w:top="459" w:right="439" w:bottom="1440" w:gutter="0" w:footer="0" w:header="0"/>
          <w:type w:val="continuous"/>
        </w:sectPr>
      </w:pPr>
    </w:p>
    <w:p>
      <w:pPr>
        <w:spacing w:after="0" w:line="210"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FFFFFF"/>
        </w:rPr>
        <w:t>Compensation Committee</w:t>
      </w:r>
    </w:p>
    <w:p>
      <w:pPr>
        <w:sectPr>
          <w:pgSz w:w="11900" w:h="16838" w:orient="portrait"/>
          <w:cols w:equalWidth="0" w:num="1">
            <w:col w:w="11220"/>
          </w:cols>
          <w:pgMar w:left="240" w:top="459"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Richard K. Lochridge (Chair)</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Peter T. Francis</w:t>
      </w:r>
    </w:p>
    <w:p>
      <w:pPr>
        <w:spacing w:after="0" w:line="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Kristiane C. Graham</w:t>
      </w:r>
    </w:p>
    <w:p>
      <w:pPr>
        <w:spacing w:after="0" w:line="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Michael F. Johnston</w:t>
      </w:r>
    </w:p>
    <w:p>
      <w:pPr>
        <w:spacing w:after="0" w:line="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Richard J. Tobin</w:t>
      </w:r>
    </w:p>
    <w:p>
      <w:pPr>
        <w:spacing w:after="0" w:line="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Keith E. Wandell</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Key Responsibilities</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The Compensation Committee, together with our independent directors, approves compensation for the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CEO of Dover. The functions of the Compensation Committee also include:</w:t>
      </w:r>
    </w:p>
    <w:p>
      <w:pPr>
        <w:spacing w:after="0" w:line="86" w:lineRule="exact"/>
        <w:rPr>
          <w:sz w:val="20"/>
          <w:szCs w:val="20"/>
          <w:color w:val="auto"/>
        </w:rPr>
      </w:pPr>
    </w:p>
    <w:p>
      <w:pPr>
        <w:ind w:left="180" w:right="480" w:hanging="175"/>
        <w:spacing w:after="0" w:line="260" w:lineRule="auto"/>
        <w:tabs>
          <w:tab w:leader="none" w:pos="171" w:val="left"/>
        </w:tabs>
        <w:numPr>
          <w:ilvl w:val="0"/>
          <w:numId w:val="25"/>
        </w:numPr>
        <w:rPr>
          <w:rFonts w:ascii="Arial" w:cs="Arial" w:eastAsia="Arial" w:hAnsi="Arial"/>
          <w:sz w:val="16"/>
          <w:szCs w:val="16"/>
          <w:color w:val="auto"/>
        </w:rPr>
      </w:pPr>
      <w:r>
        <w:rPr>
          <w:rFonts w:ascii="Arial" w:cs="Arial" w:eastAsia="Arial" w:hAnsi="Arial"/>
          <w:sz w:val="16"/>
          <w:szCs w:val="16"/>
          <w:color w:val="auto"/>
        </w:rPr>
        <w:t>Approving compensation for executive officers who report directly to the CEO (together with the CEO, “senior executive officers”)</w:t>
      </w:r>
    </w:p>
    <w:p>
      <w:pPr>
        <w:spacing w:after="0" w:line="60" w:lineRule="exact"/>
        <w:rPr>
          <w:rFonts w:ascii="Arial" w:cs="Arial" w:eastAsia="Arial" w:hAnsi="Arial"/>
          <w:sz w:val="16"/>
          <w:szCs w:val="16"/>
          <w:color w:val="auto"/>
        </w:rPr>
      </w:pPr>
    </w:p>
    <w:p>
      <w:pPr>
        <w:ind w:left="180" w:right="120" w:hanging="175"/>
        <w:spacing w:after="0" w:line="260" w:lineRule="auto"/>
        <w:tabs>
          <w:tab w:leader="none" w:pos="1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Granting awards and approving payouts under our 2012 Equity and Cash Incentive Plan (the “LTIP”) and our Executive Officer Annual Incentive Plan (the “AIP”)</w:t>
      </w:r>
    </w:p>
    <w:p>
      <w:pPr>
        <w:spacing w:after="0" w:line="60" w:lineRule="exact"/>
        <w:rPr>
          <w:rFonts w:ascii="Arial" w:cs="Arial" w:eastAsia="Arial" w:hAnsi="Arial"/>
          <w:sz w:val="16"/>
          <w:szCs w:val="16"/>
          <w:color w:val="auto"/>
        </w:rPr>
      </w:pPr>
    </w:p>
    <w:p>
      <w:pPr>
        <w:ind w:left="180" w:hanging="175"/>
        <w:spacing w:after="0"/>
        <w:tabs>
          <w:tab w:leader="none" w:pos="1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Approving changes to our executive compensation plans</w:t>
      </w:r>
    </w:p>
    <w:p>
      <w:pPr>
        <w:spacing w:after="0" w:line="85" w:lineRule="exact"/>
        <w:rPr>
          <w:rFonts w:ascii="Arial" w:cs="Arial" w:eastAsia="Arial" w:hAnsi="Arial"/>
          <w:sz w:val="16"/>
          <w:szCs w:val="16"/>
          <w:color w:val="auto"/>
        </w:rPr>
      </w:pPr>
    </w:p>
    <w:p>
      <w:pPr>
        <w:ind w:left="180" w:hanging="175"/>
        <w:spacing w:after="0"/>
        <w:tabs>
          <w:tab w:leader="none" w:pos="1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Reviewing and recommending compensation for the Board</w:t>
      </w:r>
    </w:p>
    <w:p>
      <w:pPr>
        <w:spacing w:after="0" w:line="85" w:lineRule="exact"/>
        <w:rPr>
          <w:rFonts w:ascii="Arial" w:cs="Arial" w:eastAsia="Arial" w:hAnsi="Arial"/>
          <w:sz w:val="16"/>
          <w:szCs w:val="16"/>
          <w:color w:val="auto"/>
        </w:rPr>
      </w:pPr>
    </w:p>
    <w:p>
      <w:pPr>
        <w:ind w:left="180" w:hanging="175"/>
        <w:spacing w:after="0"/>
        <w:tabs>
          <w:tab w:leader="none" w:pos="1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Overseeing succession planning and management development programs</w:t>
      </w:r>
    </w:p>
    <w:p>
      <w:pPr>
        <w:spacing w:after="0" w:line="207" w:lineRule="exact"/>
        <w:rPr>
          <w:sz w:val="20"/>
          <w:szCs w:val="20"/>
          <w:color w:val="auto"/>
        </w:rPr>
      </w:pPr>
    </w:p>
    <w:p>
      <w:pPr>
        <w:ind w:right="520"/>
        <w:spacing w:after="0" w:line="260" w:lineRule="auto"/>
        <w:rPr>
          <w:sz w:val="20"/>
          <w:szCs w:val="20"/>
          <w:color w:val="auto"/>
        </w:rPr>
      </w:pPr>
      <w:r>
        <w:rPr>
          <w:rFonts w:ascii="Arial" w:cs="Arial" w:eastAsia="Arial" w:hAnsi="Arial"/>
          <w:sz w:val="16"/>
          <w:szCs w:val="16"/>
          <w:color w:val="auto"/>
        </w:rPr>
        <w:t>The Compensation Committee’s responsibilities and authority are described in greater detail in its written charter.</w:t>
      </w:r>
    </w:p>
    <w:p>
      <w:pPr>
        <w:spacing w:after="0" w:line="241" w:lineRule="exact"/>
        <w:rPr>
          <w:sz w:val="20"/>
          <w:szCs w:val="20"/>
          <w:color w:val="auto"/>
        </w:rPr>
      </w:pPr>
    </w:p>
    <w:p>
      <w:pPr>
        <w:sectPr>
          <w:pgSz w:w="11900" w:h="16838" w:orient="portrait"/>
          <w:cols w:equalWidth="0" w:num="2">
            <w:col w:w="3020" w:space="720"/>
            <w:col w:w="7480"/>
          </w:cols>
          <w:pgMar w:left="240" w:top="459" w:right="439" w:bottom="1440" w:gutter="0" w:footer="0" w:header="0"/>
          <w:type w:val="continuous"/>
        </w:sectPr>
      </w:pPr>
    </w:p>
    <w:p>
      <w:pPr>
        <w:spacing w:after="0" w:line="244" w:lineRule="exact"/>
        <w:rPr>
          <w:sz w:val="20"/>
          <w:szCs w:val="20"/>
          <w:color w:val="auto"/>
        </w:rPr>
      </w:pPr>
    </w:p>
    <w:p>
      <w:pPr>
        <w:ind w:left="7380"/>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26</w:t>
      </w:r>
    </w:p>
    <w:p>
      <w:pPr>
        <w:sectPr>
          <w:pgSz w:w="11900" w:h="16838" w:orient="portrait"/>
          <w:cols w:equalWidth="0" w:num="1">
            <w:col w:w="11220"/>
          </w:cols>
          <w:pgMar w:left="240" w:top="459" w:right="439"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PROPOSAL 1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108585</wp:posOffset>
            </wp:positionV>
            <wp:extent cx="6998335" cy="21240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8335" cy="2124075"/>
                    </a:xfrm>
                    <a:prstGeom prst="rect">
                      <a:avLst/>
                    </a:prstGeom>
                    <a:noFill/>
                  </pic:spPr>
                </pic:pic>
              </a:graphicData>
            </a:graphic>
          </wp:anchor>
        </w:drawing>
      </w:r>
    </w:p>
    <w:p>
      <w:pPr>
        <w:spacing w:after="0" w:line="182"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FFFFFF"/>
        </w:rPr>
        <w:t>Governance and Nominating Committee</w:t>
      </w:r>
    </w:p>
    <w:p>
      <w:pPr>
        <w:spacing w:after="0" w:line="52" w:lineRule="exact"/>
        <w:rPr>
          <w:sz w:val="20"/>
          <w:szCs w:val="20"/>
          <w:color w:val="auto"/>
        </w:rPr>
      </w:pPr>
    </w:p>
    <w:tbl>
      <w:tblPr>
        <w:tblLayout w:type="fixed"/>
        <w:tblInd w:w="220" w:type="dxa"/>
        <w:tblCellMar>
          <w:top w:w="0" w:type="dxa"/>
          <w:left w:w="0" w:type="dxa"/>
          <w:bottom w:w="0" w:type="dxa"/>
          <w:right w:w="0" w:type="dxa"/>
        </w:tblCellMar>
      </w:tblPr>
      <w:tr>
        <w:trPr>
          <w:trHeight w:val="256"/>
        </w:trPr>
        <w:tc>
          <w:tcPr>
            <w:tcW w:w="3200" w:type="dxa"/>
            <w:vAlign w:val="bottom"/>
            <w:tcBorders>
              <w:top w:val="single" w:sz="8" w:color="auto"/>
              <w:right w:val="single" w:sz="8" w:color="auto"/>
            </w:tcBorders>
            <w:shd w:val="clear" w:color="auto" w:fill="D8D8D8"/>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750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Key Responsibilities</w:t>
            </w:r>
          </w:p>
        </w:tc>
        <w:tc>
          <w:tcPr>
            <w:tcW w:w="0" w:type="dxa"/>
            <w:vAlign w:val="bottom"/>
          </w:tcPr>
          <w:p>
            <w:pPr>
              <w:spacing w:after="0"/>
              <w:rPr>
                <w:sz w:val="1"/>
                <w:szCs w:val="1"/>
                <w:color w:val="auto"/>
              </w:rPr>
            </w:pPr>
          </w:p>
        </w:tc>
      </w:tr>
      <w:tr>
        <w:trPr>
          <w:trHeight w:val="20"/>
        </w:trPr>
        <w:tc>
          <w:tcPr>
            <w:tcW w:w="3200" w:type="dxa"/>
            <w:vAlign w:val="bottom"/>
            <w:tcBorders>
              <w:right w:val="single" w:sz="8" w:color="auto"/>
            </w:tcBorders>
            <w:shd w:val="clear" w:color="auto" w:fill="D8D8D8"/>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3200" w:type="dxa"/>
            <w:vAlign w:val="bottom"/>
            <w:tcBorders>
              <w:right w:val="single" w:sz="8" w:color="auto"/>
            </w:tcBorders>
            <w:shd w:val="clear" w:color="auto" w:fill="D8D8D8"/>
          </w:tcPr>
          <w:p>
            <w:pPr>
              <w:spacing w:after="0"/>
              <w:rPr>
                <w:sz w:val="24"/>
                <w:szCs w:val="24"/>
                <w:color w:val="auto"/>
              </w:rPr>
            </w:pPr>
          </w:p>
        </w:tc>
        <w:tc>
          <w:tcPr>
            <w:tcW w:w="320" w:type="dxa"/>
            <w:vAlign w:val="bottom"/>
          </w:tcPr>
          <w:p>
            <w:pPr>
              <w:spacing w:after="0"/>
              <w:rPr>
                <w:sz w:val="24"/>
                <w:szCs w:val="24"/>
                <w:color w:val="auto"/>
              </w:rPr>
            </w:pPr>
          </w:p>
        </w:tc>
        <w:tc>
          <w:tcPr>
            <w:tcW w:w="7500" w:type="dxa"/>
            <w:vAlign w:val="bottom"/>
            <w:gridSpan w:val="2"/>
          </w:tcPr>
          <w:p>
            <w:pPr>
              <w:spacing w:after="0"/>
              <w:rPr>
                <w:sz w:val="20"/>
                <w:szCs w:val="20"/>
                <w:color w:val="auto"/>
              </w:rPr>
            </w:pPr>
            <w:r>
              <w:rPr>
                <w:rFonts w:ascii="Arial" w:cs="Arial" w:eastAsia="Arial" w:hAnsi="Arial"/>
                <w:sz w:val="16"/>
                <w:szCs w:val="16"/>
                <w:color w:val="auto"/>
              </w:rPr>
              <w:t>•  Developing and recommending corporate governance principles to our Board</w:t>
            </w:r>
          </w:p>
        </w:tc>
        <w:tc>
          <w:tcPr>
            <w:tcW w:w="0" w:type="dxa"/>
            <w:vAlign w:val="bottom"/>
          </w:tcPr>
          <w:p>
            <w:pPr>
              <w:spacing w:after="0"/>
              <w:rPr>
                <w:sz w:val="1"/>
                <w:szCs w:val="1"/>
                <w:color w:val="auto"/>
              </w:rPr>
            </w:pPr>
          </w:p>
        </w:tc>
      </w:tr>
      <w:tr>
        <w:trPr>
          <w:trHeight w:val="264"/>
        </w:trPr>
        <w:tc>
          <w:tcPr>
            <w:tcW w:w="3200" w:type="dxa"/>
            <w:vAlign w:val="bottom"/>
            <w:tcBorders>
              <w:right w:val="single" w:sz="8" w:color="auto"/>
            </w:tcBorders>
            <w:shd w:val="clear" w:color="auto" w:fill="D8D8D8"/>
          </w:tcPr>
          <w:p>
            <w:pPr>
              <w:spacing w:after="0"/>
              <w:rPr>
                <w:sz w:val="22"/>
                <w:szCs w:val="22"/>
                <w:color w:val="auto"/>
              </w:rPr>
            </w:pPr>
          </w:p>
        </w:tc>
        <w:tc>
          <w:tcPr>
            <w:tcW w:w="320" w:type="dxa"/>
            <w:vAlign w:val="bottom"/>
          </w:tcPr>
          <w:p>
            <w:pPr>
              <w:spacing w:after="0"/>
              <w:rPr>
                <w:sz w:val="22"/>
                <w:szCs w:val="22"/>
                <w:color w:val="auto"/>
              </w:rPr>
            </w:pPr>
          </w:p>
        </w:tc>
        <w:tc>
          <w:tcPr>
            <w:tcW w:w="7500" w:type="dxa"/>
            <w:vAlign w:val="bottom"/>
            <w:gridSpan w:val="2"/>
          </w:tcPr>
          <w:p>
            <w:pPr>
              <w:spacing w:after="0"/>
              <w:rPr>
                <w:sz w:val="20"/>
                <w:szCs w:val="20"/>
                <w:color w:val="auto"/>
              </w:rPr>
            </w:pPr>
            <w:r>
              <w:rPr>
                <w:rFonts w:ascii="Arial" w:cs="Arial" w:eastAsia="Arial" w:hAnsi="Arial"/>
                <w:sz w:val="16"/>
                <w:szCs w:val="16"/>
                <w:color w:val="auto"/>
              </w:rPr>
              <w:t>•  Annually reviewing the requisite skills and characteristics of board members as well as the size,</w:t>
            </w:r>
          </w:p>
        </w:tc>
        <w:tc>
          <w:tcPr>
            <w:tcW w:w="0" w:type="dxa"/>
            <w:vAlign w:val="bottom"/>
          </w:tcPr>
          <w:p>
            <w:pPr>
              <w:spacing w:after="0"/>
              <w:rPr>
                <w:sz w:val="1"/>
                <w:szCs w:val="1"/>
                <w:color w:val="auto"/>
              </w:rPr>
            </w:pPr>
          </w:p>
        </w:tc>
      </w:tr>
      <w:tr>
        <w:trPr>
          <w:trHeight w:val="194"/>
        </w:trPr>
        <w:tc>
          <w:tcPr>
            <w:tcW w:w="3200" w:type="dxa"/>
            <w:vAlign w:val="bottom"/>
            <w:tcBorders>
              <w:right w:val="single" w:sz="8" w:color="auto"/>
            </w:tcBorders>
            <w:shd w:val="clear" w:color="auto" w:fill="D8D8D8"/>
          </w:tcPr>
          <w:p>
            <w:pPr>
              <w:spacing w:after="0"/>
              <w:rPr>
                <w:sz w:val="16"/>
                <w:szCs w:val="16"/>
                <w:color w:val="auto"/>
              </w:rPr>
            </w:pPr>
          </w:p>
        </w:tc>
        <w:tc>
          <w:tcPr>
            <w:tcW w:w="320" w:type="dxa"/>
            <w:vAlign w:val="bottom"/>
          </w:tcPr>
          <w:p>
            <w:pPr>
              <w:spacing w:after="0"/>
              <w:rPr>
                <w:sz w:val="16"/>
                <w:szCs w:val="16"/>
                <w:color w:val="auto"/>
              </w:rPr>
            </w:pPr>
          </w:p>
        </w:tc>
        <w:tc>
          <w:tcPr>
            <w:tcW w:w="7500" w:type="dxa"/>
            <w:vAlign w:val="bottom"/>
            <w:gridSpan w:val="2"/>
          </w:tcPr>
          <w:p>
            <w:pPr>
              <w:ind w:left="180"/>
              <w:spacing w:after="0"/>
              <w:rPr>
                <w:sz w:val="20"/>
                <w:szCs w:val="20"/>
                <w:color w:val="auto"/>
              </w:rPr>
            </w:pPr>
            <w:r>
              <w:rPr>
                <w:rFonts w:ascii="Arial" w:cs="Arial" w:eastAsia="Arial" w:hAnsi="Arial"/>
                <w:sz w:val="16"/>
                <w:szCs w:val="16"/>
                <w:color w:val="auto"/>
              </w:rPr>
              <w:t>composition, functioning and needs of our Board as a whole</w:t>
            </w:r>
          </w:p>
        </w:tc>
        <w:tc>
          <w:tcPr>
            <w:tcW w:w="0" w:type="dxa"/>
            <w:vAlign w:val="bottom"/>
          </w:tcPr>
          <w:p>
            <w:pPr>
              <w:spacing w:after="0"/>
              <w:rPr>
                <w:sz w:val="1"/>
                <w:szCs w:val="1"/>
                <w:color w:val="auto"/>
              </w:rPr>
            </w:pPr>
          </w:p>
        </w:tc>
      </w:tr>
      <w:tr>
        <w:trPr>
          <w:trHeight w:val="264"/>
        </w:trPr>
        <w:tc>
          <w:tcPr>
            <w:tcW w:w="3200" w:type="dxa"/>
            <w:vAlign w:val="bottom"/>
            <w:tcBorders>
              <w:right w:val="single" w:sz="8" w:color="auto"/>
            </w:tcBorders>
            <w:shd w:val="clear" w:color="auto" w:fill="D8D8D8"/>
          </w:tcPr>
          <w:p>
            <w:pPr>
              <w:spacing w:after="0"/>
              <w:rPr>
                <w:sz w:val="22"/>
                <w:szCs w:val="22"/>
                <w:color w:val="auto"/>
              </w:rPr>
            </w:pPr>
          </w:p>
        </w:tc>
        <w:tc>
          <w:tcPr>
            <w:tcW w:w="320" w:type="dxa"/>
            <w:vAlign w:val="bottom"/>
          </w:tcPr>
          <w:p>
            <w:pPr>
              <w:spacing w:after="0"/>
              <w:rPr>
                <w:sz w:val="22"/>
                <w:szCs w:val="22"/>
                <w:color w:val="auto"/>
              </w:rPr>
            </w:pPr>
          </w:p>
        </w:tc>
        <w:tc>
          <w:tcPr>
            <w:tcW w:w="7500" w:type="dxa"/>
            <w:vAlign w:val="bottom"/>
            <w:gridSpan w:val="2"/>
          </w:tcPr>
          <w:p>
            <w:pPr>
              <w:spacing w:after="0"/>
              <w:rPr>
                <w:sz w:val="20"/>
                <w:szCs w:val="20"/>
                <w:color w:val="auto"/>
              </w:rPr>
            </w:pPr>
            <w:r>
              <w:rPr>
                <w:rFonts w:ascii="Arial" w:cs="Arial" w:eastAsia="Arial" w:hAnsi="Arial"/>
                <w:sz w:val="16"/>
                <w:szCs w:val="16"/>
                <w:color w:val="auto"/>
              </w:rPr>
              <w:t>•  Considering and recommending to the Board nominees for election to, or for filling any vacancy on,</w:t>
            </w:r>
          </w:p>
        </w:tc>
        <w:tc>
          <w:tcPr>
            <w:tcW w:w="0" w:type="dxa"/>
            <w:vAlign w:val="bottom"/>
          </w:tcPr>
          <w:p>
            <w:pPr>
              <w:spacing w:after="0"/>
              <w:rPr>
                <w:sz w:val="1"/>
                <w:szCs w:val="1"/>
                <w:color w:val="auto"/>
              </w:rPr>
            </w:pPr>
          </w:p>
        </w:tc>
      </w:tr>
      <w:tr>
        <w:trPr>
          <w:trHeight w:val="194"/>
        </w:trPr>
        <w:tc>
          <w:tcPr>
            <w:tcW w:w="3200" w:type="dxa"/>
            <w:vAlign w:val="bottom"/>
            <w:tcBorders>
              <w:right w:val="single" w:sz="8" w:color="auto"/>
            </w:tcBorders>
            <w:shd w:val="clear" w:color="auto" w:fill="D8D8D8"/>
          </w:tcPr>
          <w:p>
            <w:pPr>
              <w:spacing w:after="0"/>
              <w:rPr>
                <w:sz w:val="16"/>
                <w:szCs w:val="16"/>
                <w:color w:val="auto"/>
              </w:rPr>
            </w:pPr>
          </w:p>
        </w:tc>
        <w:tc>
          <w:tcPr>
            <w:tcW w:w="320" w:type="dxa"/>
            <w:vAlign w:val="bottom"/>
          </w:tcPr>
          <w:p>
            <w:pPr>
              <w:spacing w:after="0"/>
              <w:rPr>
                <w:sz w:val="16"/>
                <w:szCs w:val="16"/>
                <w:color w:val="auto"/>
              </w:rPr>
            </w:pPr>
          </w:p>
        </w:tc>
        <w:tc>
          <w:tcPr>
            <w:tcW w:w="7500" w:type="dxa"/>
            <w:vAlign w:val="bottom"/>
            <w:gridSpan w:val="2"/>
          </w:tcPr>
          <w:p>
            <w:pPr>
              <w:ind w:left="180"/>
              <w:spacing w:after="0"/>
              <w:rPr>
                <w:sz w:val="20"/>
                <w:szCs w:val="20"/>
                <w:color w:val="auto"/>
              </w:rPr>
            </w:pPr>
            <w:r>
              <w:rPr>
                <w:rFonts w:ascii="Arial" w:cs="Arial" w:eastAsia="Arial" w:hAnsi="Arial"/>
                <w:sz w:val="16"/>
                <w:szCs w:val="16"/>
                <w:color w:val="auto"/>
              </w:rPr>
              <w:t>our Board in accordance with our by-laws, our governance guidelines, and the committee’s charter</w:t>
            </w:r>
          </w:p>
        </w:tc>
        <w:tc>
          <w:tcPr>
            <w:tcW w:w="0" w:type="dxa"/>
            <w:vAlign w:val="bottom"/>
          </w:tcPr>
          <w:p>
            <w:pPr>
              <w:spacing w:after="0"/>
              <w:rPr>
                <w:sz w:val="1"/>
                <w:szCs w:val="1"/>
                <w:color w:val="auto"/>
              </w:rPr>
            </w:pPr>
          </w:p>
        </w:tc>
      </w:tr>
      <w:tr>
        <w:trPr>
          <w:trHeight w:val="264"/>
        </w:trPr>
        <w:tc>
          <w:tcPr>
            <w:tcW w:w="3200" w:type="dxa"/>
            <w:vAlign w:val="bottom"/>
            <w:tcBorders>
              <w:right w:val="single" w:sz="8" w:color="auto"/>
            </w:tcBorders>
            <w:vMerge w:val="restart"/>
            <w:shd w:val="clear" w:color="auto" w:fill="D8D8D8"/>
          </w:tcPr>
          <w:p>
            <w:pPr>
              <w:ind w:left="240"/>
              <w:spacing w:after="0"/>
              <w:rPr>
                <w:sz w:val="20"/>
                <w:szCs w:val="20"/>
                <w:color w:val="auto"/>
              </w:rPr>
            </w:pPr>
            <w:r>
              <w:rPr>
                <w:rFonts w:ascii="Arial" w:cs="Arial" w:eastAsia="Arial" w:hAnsi="Arial"/>
                <w:sz w:val="16"/>
                <w:szCs w:val="16"/>
                <w:b w:val="1"/>
                <w:bCs w:val="1"/>
                <w:i w:val="1"/>
                <w:iCs w:val="1"/>
                <w:color w:val="auto"/>
              </w:rPr>
              <w:t>Stephen K. Wagner (Chair)</w:t>
            </w:r>
          </w:p>
        </w:tc>
        <w:tc>
          <w:tcPr>
            <w:tcW w:w="320" w:type="dxa"/>
            <w:vAlign w:val="bottom"/>
          </w:tcPr>
          <w:p>
            <w:pPr>
              <w:spacing w:after="0"/>
              <w:rPr>
                <w:sz w:val="22"/>
                <w:szCs w:val="22"/>
                <w:color w:val="auto"/>
              </w:rPr>
            </w:pPr>
          </w:p>
        </w:tc>
        <w:tc>
          <w:tcPr>
            <w:tcW w:w="7500" w:type="dxa"/>
            <w:vAlign w:val="bottom"/>
            <w:gridSpan w:val="2"/>
          </w:tcPr>
          <w:p>
            <w:pPr>
              <w:spacing w:after="0"/>
              <w:rPr>
                <w:sz w:val="20"/>
                <w:szCs w:val="20"/>
                <w:color w:val="auto"/>
              </w:rPr>
            </w:pPr>
            <w:r>
              <w:rPr>
                <w:rFonts w:ascii="Arial" w:cs="Arial" w:eastAsia="Arial" w:hAnsi="Arial"/>
                <w:sz w:val="16"/>
                <w:szCs w:val="16"/>
                <w:color w:val="auto"/>
              </w:rPr>
              <w:t>•  Identifying and recommending to our Board any changes it believes desirable in the size and</w:t>
            </w:r>
          </w:p>
        </w:tc>
        <w:tc>
          <w:tcPr>
            <w:tcW w:w="0" w:type="dxa"/>
            <w:vAlign w:val="bottom"/>
          </w:tcPr>
          <w:p>
            <w:pPr>
              <w:spacing w:after="0"/>
              <w:rPr>
                <w:sz w:val="1"/>
                <w:szCs w:val="1"/>
                <w:color w:val="auto"/>
              </w:rPr>
            </w:pPr>
          </w:p>
        </w:tc>
      </w:tr>
      <w:tr>
        <w:trPr>
          <w:trHeight w:val="208"/>
        </w:trPr>
        <w:tc>
          <w:tcPr>
            <w:tcW w:w="3200" w:type="dxa"/>
            <w:vAlign w:val="bottom"/>
            <w:tcBorders>
              <w:right w:val="single" w:sz="8" w:color="auto"/>
            </w:tcBorders>
            <w:vMerge w:val="continue"/>
            <w:shd w:val="clear" w:color="auto" w:fill="D8D8D8"/>
          </w:tcPr>
          <w:p>
            <w:pPr>
              <w:spacing w:after="0"/>
              <w:rPr>
                <w:sz w:val="18"/>
                <w:szCs w:val="18"/>
                <w:color w:val="auto"/>
              </w:rPr>
            </w:pPr>
          </w:p>
        </w:tc>
        <w:tc>
          <w:tcPr>
            <w:tcW w:w="320" w:type="dxa"/>
            <w:vAlign w:val="bottom"/>
          </w:tcPr>
          <w:p>
            <w:pPr>
              <w:spacing w:after="0"/>
              <w:rPr>
                <w:sz w:val="18"/>
                <w:szCs w:val="18"/>
                <w:color w:val="auto"/>
              </w:rPr>
            </w:pPr>
          </w:p>
        </w:tc>
        <w:tc>
          <w:tcPr>
            <w:tcW w:w="7500" w:type="dxa"/>
            <w:vAlign w:val="bottom"/>
            <w:gridSpan w:val="2"/>
          </w:tcPr>
          <w:p>
            <w:pPr>
              <w:ind w:left="180"/>
              <w:spacing w:after="0"/>
              <w:rPr>
                <w:sz w:val="20"/>
                <w:szCs w:val="20"/>
                <w:color w:val="auto"/>
              </w:rPr>
            </w:pPr>
            <w:r>
              <w:rPr>
                <w:rFonts w:ascii="Arial" w:cs="Arial" w:eastAsia="Arial" w:hAnsi="Arial"/>
                <w:sz w:val="16"/>
                <w:szCs w:val="16"/>
                <w:color w:val="auto"/>
              </w:rPr>
              <w:t>composition of our Board</w:t>
            </w:r>
          </w:p>
        </w:tc>
        <w:tc>
          <w:tcPr>
            <w:tcW w:w="0" w:type="dxa"/>
            <w:vAlign w:val="bottom"/>
          </w:tcPr>
          <w:p>
            <w:pPr>
              <w:spacing w:after="0"/>
              <w:rPr>
                <w:sz w:val="1"/>
                <w:szCs w:val="1"/>
                <w:color w:val="auto"/>
              </w:rPr>
            </w:pPr>
          </w:p>
        </w:tc>
      </w:tr>
      <w:tr>
        <w:trPr>
          <w:trHeight w:val="251"/>
        </w:trPr>
        <w:tc>
          <w:tcPr>
            <w:tcW w:w="3200" w:type="dxa"/>
            <w:vAlign w:val="bottom"/>
            <w:tcBorders>
              <w:right w:val="single" w:sz="8" w:color="auto"/>
            </w:tcBorders>
            <w:shd w:val="clear" w:color="auto" w:fill="D8D8D8"/>
          </w:tcPr>
          <w:p>
            <w:pPr>
              <w:ind w:left="240"/>
              <w:spacing w:after="0"/>
              <w:rPr>
                <w:sz w:val="20"/>
                <w:szCs w:val="20"/>
                <w:color w:val="auto"/>
              </w:rPr>
            </w:pPr>
            <w:r>
              <w:rPr>
                <w:rFonts w:ascii="Arial" w:cs="Arial" w:eastAsia="Arial" w:hAnsi="Arial"/>
                <w:sz w:val="16"/>
                <w:szCs w:val="16"/>
                <w:color w:val="auto"/>
              </w:rPr>
              <w:t>Kristiane C. Graham</w:t>
            </w:r>
          </w:p>
        </w:tc>
        <w:tc>
          <w:tcPr>
            <w:tcW w:w="320" w:type="dxa"/>
            <w:vAlign w:val="bottom"/>
          </w:tcPr>
          <w:p>
            <w:pPr>
              <w:spacing w:after="0"/>
              <w:rPr>
                <w:sz w:val="21"/>
                <w:szCs w:val="21"/>
                <w:color w:val="auto"/>
              </w:rPr>
            </w:pPr>
          </w:p>
        </w:tc>
        <w:tc>
          <w:tcPr>
            <w:tcW w:w="7500" w:type="dxa"/>
            <w:vAlign w:val="bottom"/>
            <w:gridSpan w:val="2"/>
          </w:tcPr>
          <w:p>
            <w:pPr>
              <w:spacing w:after="0"/>
              <w:rPr>
                <w:sz w:val="20"/>
                <w:szCs w:val="20"/>
                <w:color w:val="auto"/>
              </w:rPr>
            </w:pPr>
            <w:r>
              <w:rPr>
                <w:rFonts w:ascii="Arial" w:cs="Arial" w:eastAsia="Arial" w:hAnsi="Arial"/>
                <w:sz w:val="16"/>
                <w:szCs w:val="16"/>
                <w:color w:val="auto"/>
              </w:rPr>
              <w:t>•  Recommending to our Board any changes it believes desirable in structure and membership of our</w:t>
            </w:r>
          </w:p>
        </w:tc>
        <w:tc>
          <w:tcPr>
            <w:tcW w:w="0" w:type="dxa"/>
            <w:vAlign w:val="bottom"/>
          </w:tcPr>
          <w:p>
            <w:pPr>
              <w:spacing w:after="0"/>
              <w:rPr>
                <w:sz w:val="1"/>
                <w:szCs w:val="1"/>
                <w:color w:val="auto"/>
              </w:rPr>
            </w:pPr>
          </w:p>
        </w:tc>
      </w:tr>
      <w:tr>
        <w:trPr>
          <w:trHeight w:val="202"/>
        </w:trPr>
        <w:tc>
          <w:tcPr>
            <w:tcW w:w="3200" w:type="dxa"/>
            <w:vAlign w:val="bottom"/>
            <w:tcBorders>
              <w:right w:val="single" w:sz="8" w:color="auto"/>
            </w:tcBorders>
            <w:shd w:val="clear" w:color="auto" w:fill="D8D8D8"/>
          </w:tcPr>
          <w:p>
            <w:pPr>
              <w:ind w:left="240"/>
              <w:spacing w:after="0"/>
              <w:rPr>
                <w:sz w:val="20"/>
                <w:szCs w:val="20"/>
                <w:color w:val="auto"/>
              </w:rPr>
            </w:pPr>
            <w:r>
              <w:rPr>
                <w:rFonts w:ascii="Arial" w:cs="Arial" w:eastAsia="Arial" w:hAnsi="Arial"/>
                <w:sz w:val="16"/>
                <w:szCs w:val="16"/>
                <w:color w:val="auto"/>
              </w:rPr>
              <w:t>Michael F. Johnston</w:t>
            </w:r>
          </w:p>
        </w:tc>
        <w:tc>
          <w:tcPr>
            <w:tcW w:w="320" w:type="dxa"/>
            <w:vAlign w:val="bottom"/>
          </w:tcPr>
          <w:p>
            <w:pPr>
              <w:spacing w:after="0"/>
              <w:rPr>
                <w:sz w:val="17"/>
                <w:szCs w:val="17"/>
                <w:color w:val="auto"/>
              </w:rPr>
            </w:pPr>
          </w:p>
        </w:tc>
        <w:tc>
          <w:tcPr>
            <w:tcW w:w="7500" w:type="dxa"/>
            <w:vAlign w:val="bottom"/>
            <w:gridSpan w:val="2"/>
          </w:tcPr>
          <w:p>
            <w:pPr>
              <w:ind w:left="180"/>
              <w:spacing w:after="0"/>
              <w:rPr>
                <w:sz w:val="20"/>
                <w:szCs w:val="20"/>
                <w:color w:val="auto"/>
              </w:rPr>
            </w:pPr>
            <w:r>
              <w:rPr>
                <w:rFonts w:ascii="Arial" w:cs="Arial" w:eastAsia="Arial" w:hAnsi="Arial"/>
                <w:sz w:val="16"/>
                <w:szCs w:val="16"/>
                <w:color w:val="auto"/>
              </w:rPr>
              <w:t>Board’s committees</w:t>
            </w:r>
          </w:p>
        </w:tc>
        <w:tc>
          <w:tcPr>
            <w:tcW w:w="0" w:type="dxa"/>
            <w:vAlign w:val="bottom"/>
          </w:tcPr>
          <w:p>
            <w:pPr>
              <w:spacing w:after="0"/>
              <w:rPr>
                <w:sz w:val="1"/>
                <w:szCs w:val="1"/>
                <w:color w:val="auto"/>
              </w:rPr>
            </w:pPr>
          </w:p>
        </w:tc>
      </w:tr>
      <w:tr>
        <w:trPr>
          <w:trHeight w:val="194"/>
        </w:trPr>
        <w:tc>
          <w:tcPr>
            <w:tcW w:w="3200" w:type="dxa"/>
            <w:vAlign w:val="bottom"/>
            <w:tcBorders>
              <w:right w:val="single" w:sz="8" w:color="auto"/>
            </w:tcBorders>
            <w:shd w:val="clear" w:color="auto" w:fill="D8D8D8"/>
          </w:tcPr>
          <w:p>
            <w:pPr>
              <w:ind w:left="240"/>
              <w:spacing w:after="0"/>
              <w:rPr>
                <w:sz w:val="20"/>
                <w:szCs w:val="20"/>
                <w:color w:val="auto"/>
              </w:rPr>
            </w:pPr>
            <w:r>
              <w:rPr>
                <w:rFonts w:ascii="Arial" w:cs="Arial" w:eastAsia="Arial" w:hAnsi="Arial"/>
                <w:sz w:val="16"/>
                <w:szCs w:val="16"/>
                <w:color w:val="auto"/>
              </w:rPr>
              <w:t>Keith E. Wandell</w:t>
            </w:r>
          </w:p>
        </w:tc>
        <w:tc>
          <w:tcPr>
            <w:tcW w:w="320" w:type="dxa"/>
            <w:vAlign w:val="bottom"/>
          </w:tcPr>
          <w:p>
            <w:pPr>
              <w:spacing w:after="0"/>
              <w:rPr>
                <w:sz w:val="16"/>
                <w:szCs w:val="16"/>
                <w:color w:val="auto"/>
              </w:rPr>
            </w:pPr>
          </w:p>
        </w:tc>
        <w:tc>
          <w:tcPr>
            <w:tcW w:w="7500" w:type="dxa"/>
            <w:vAlign w:val="bottom"/>
            <w:gridSpan w:val="2"/>
            <w:vMerge w:val="restart"/>
          </w:tcPr>
          <w:p>
            <w:pPr>
              <w:spacing w:after="0"/>
              <w:rPr>
                <w:sz w:val="20"/>
                <w:szCs w:val="20"/>
                <w:color w:val="auto"/>
              </w:rPr>
            </w:pPr>
            <w:r>
              <w:rPr>
                <w:rFonts w:ascii="Arial" w:cs="Arial" w:eastAsia="Arial" w:hAnsi="Arial"/>
                <w:sz w:val="16"/>
                <w:szCs w:val="16"/>
                <w:color w:val="auto"/>
              </w:rPr>
              <w:t>The Governance and Nominating Committee’s responsibilities and authority are described in greater</w:t>
            </w:r>
          </w:p>
        </w:tc>
        <w:tc>
          <w:tcPr>
            <w:tcW w:w="0" w:type="dxa"/>
            <w:vAlign w:val="bottom"/>
          </w:tcPr>
          <w:p>
            <w:pPr>
              <w:spacing w:after="0"/>
              <w:rPr>
                <w:sz w:val="1"/>
                <w:szCs w:val="1"/>
                <w:color w:val="auto"/>
              </w:rPr>
            </w:pPr>
          </w:p>
        </w:tc>
      </w:tr>
      <w:tr>
        <w:trPr>
          <w:trHeight w:val="183"/>
        </w:trPr>
        <w:tc>
          <w:tcPr>
            <w:tcW w:w="3200" w:type="dxa"/>
            <w:vAlign w:val="bottom"/>
            <w:tcBorders>
              <w:right w:val="single" w:sz="8" w:color="auto"/>
            </w:tcBorders>
            <w:shd w:val="clear" w:color="auto" w:fill="D8D8D8"/>
          </w:tcPr>
          <w:p>
            <w:pPr>
              <w:spacing w:after="0"/>
              <w:rPr>
                <w:sz w:val="15"/>
                <w:szCs w:val="15"/>
                <w:color w:val="auto"/>
              </w:rPr>
            </w:pPr>
          </w:p>
        </w:tc>
        <w:tc>
          <w:tcPr>
            <w:tcW w:w="320" w:type="dxa"/>
            <w:vAlign w:val="bottom"/>
          </w:tcPr>
          <w:p>
            <w:pPr>
              <w:spacing w:after="0"/>
              <w:rPr>
                <w:sz w:val="15"/>
                <w:szCs w:val="15"/>
                <w:color w:val="auto"/>
              </w:rPr>
            </w:pPr>
          </w:p>
        </w:tc>
        <w:tc>
          <w:tcPr>
            <w:tcW w:w="75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200" w:type="dxa"/>
            <w:vAlign w:val="bottom"/>
            <w:tcBorders>
              <w:bottom w:val="single" w:sz="8" w:color="D8D8D8"/>
              <w:right w:val="single" w:sz="8" w:color="auto"/>
            </w:tcBorders>
            <w:shd w:val="clear" w:color="auto" w:fill="D8D8D8"/>
          </w:tcPr>
          <w:p>
            <w:pPr>
              <w:spacing w:after="0"/>
              <w:rPr>
                <w:sz w:val="19"/>
                <w:szCs w:val="19"/>
                <w:color w:val="auto"/>
              </w:rPr>
            </w:pPr>
          </w:p>
        </w:tc>
        <w:tc>
          <w:tcPr>
            <w:tcW w:w="320" w:type="dxa"/>
            <w:vAlign w:val="bottom"/>
          </w:tcPr>
          <w:p>
            <w:pPr>
              <w:spacing w:after="0"/>
              <w:rPr>
                <w:sz w:val="19"/>
                <w:szCs w:val="19"/>
                <w:color w:val="auto"/>
              </w:rPr>
            </w:pPr>
          </w:p>
        </w:tc>
        <w:tc>
          <w:tcPr>
            <w:tcW w:w="7500" w:type="dxa"/>
            <w:vAlign w:val="bottom"/>
            <w:gridSpan w:val="2"/>
          </w:tcPr>
          <w:p>
            <w:pPr>
              <w:spacing w:after="0"/>
              <w:rPr>
                <w:sz w:val="20"/>
                <w:szCs w:val="20"/>
                <w:color w:val="auto"/>
              </w:rPr>
            </w:pPr>
            <w:r>
              <w:rPr>
                <w:rFonts w:ascii="Arial" w:cs="Arial" w:eastAsia="Arial" w:hAnsi="Arial"/>
                <w:sz w:val="16"/>
                <w:szCs w:val="16"/>
                <w:color w:val="auto"/>
              </w:rPr>
              <w:t>detail in its written charter.</w:t>
            </w:r>
          </w:p>
        </w:tc>
        <w:tc>
          <w:tcPr>
            <w:tcW w:w="0" w:type="dxa"/>
            <w:vAlign w:val="bottom"/>
          </w:tcPr>
          <w:p>
            <w:pPr>
              <w:spacing w:after="0"/>
              <w:rPr>
                <w:sz w:val="1"/>
                <w:szCs w:val="1"/>
                <w:color w:val="auto"/>
              </w:rPr>
            </w:pPr>
          </w:p>
        </w:tc>
      </w:tr>
      <w:tr>
        <w:trPr>
          <w:trHeight w:val="20"/>
        </w:trPr>
        <w:tc>
          <w:tcPr>
            <w:tcW w:w="320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59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32406B"/>
        </w:rPr>
        <w:t>Procedures for Approval of Related Person Transactions</w:t>
      </w:r>
    </w:p>
    <w:p>
      <w:pPr>
        <w:spacing w:after="0" w:line="106" w:lineRule="exact"/>
        <w:rPr>
          <w:sz w:val="20"/>
          <w:szCs w:val="20"/>
          <w:color w:val="auto"/>
        </w:rPr>
      </w:pPr>
    </w:p>
    <w:p>
      <w:pPr>
        <w:ind w:left="220" w:right="100"/>
        <w:spacing w:after="0" w:line="250" w:lineRule="auto"/>
        <w:rPr>
          <w:sz w:val="20"/>
          <w:szCs w:val="20"/>
          <w:color w:val="auto"/>
        </w:rPr>
      </w:pPr>
      <w:r>
        <w:rPr>
          <w:rFonts w:ascii="Arial" w:cs="Arial" w:eastAsia="Arial" w:hAnsi="Arial"/>
          <w:sz w:val="16"/>
          <w:szCs w:val="16"/>
          <w:color w:val="auto"/>
        </w:rPr>
        <w:t>We generally do not engage in transactions in which our senior executive officers or directors, any of their immediate family members or any of our 5% shareholders have a material interest. Should a proposed transaction or series of similar transactions involve any such persons and an amount that exceeds $120,000, it would be subject to review and approval by the Governance and Nominating Committee in accordance with a written policy and the procedures adopted by our Board, which are available with the governance materials on our website.</w:t>
      </w:r>
    </w:p>
    <w:p>
      <w:pPr>
        <w:spacing w:after="0" w:line="164" w:lineRule="exact"/>
        <w:rPr>
          <w:sz w:val="20"/>
          <w:szCs w:val="20"/>
          <w:color w:val="auto"/>
        </w:rPr>
      </w:pPr>
    </w:p>
    <w:p>
      <w:pPr>
        <w:ind w:left="220" w:right="60"/>
        <w:spacing w:after="0" w:line="248" w:lineRule="auto"/>
        <w:rPr>
          <w:sz w:val="20"/>
          <w:szCs w:val="20"/>
          <w:color w:val="auto"/>
        </w:rPr>
      </w:pPr>
      <w:r>
        <w:rPr>
          <w:rFonts w:ascii="Arial" w:cs="Arial" w:eastAsia="Arial" w:hAnsi="Arial"/>
          <w:sz w:val="16"/>
          <w:szCs w:val="16"/>
          <w:color w:val="auto"/>
        </w:rPr>
        <w:t>Under the procedures, management determines whether a proposed transaction requires review under the policy and, if so, presents the transaction to the Governance and Nominating Committee. The Governance and Nominating Committee reviews the relevant facts and circumstances of the transaction and approves or rejects the transaction. If the proposed transaction is immaterial or it is impractical or undesirable to defer the proposed transaction until the next committee meeting, the Chair of the committee decides whether to (i) approve the transaction and report the transaction at the next meeting or (ii) call a special meeting of the committee to review and approve the transaction. Should the proposed transaction involve the CEO or enough members of the Governance and Nominating Committee to prevent a quorum, the disinterested members of the committee will review the transaction and make a recommendation to the Board, and the disinterested members of the Board will then approve or reject the transaction. No director may participate in the review of any transaction in which he or she is a related person.</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32406B"/>
        </w:rPr>
        <w:t>Communication with Directors</w:t>
      </w:r>
    </w:p>
    <w:p>
      <w:pPr>
        <w:spacing w:after="0" w:line="92" w:lineRule="exact"/>
        <w:rPr>
          <w:sz w:val="20"/>
          <w:szCs w:val="20"/>
          <w:color w:val="auto"/>
        </w:rPr>
      </w:pPr>
    </w:p>
    <w:p>
      <w:pPr>
        <w:ind w:left="220" w:right="340"/>
        <w:spacing w:after="0" w:line="249" w:lineRule="auto"/>
        <w:rPr>
          <w:sz w:val="20"/>
          <w:szCs w:val="20"/>
          <w:color w:val="auto"/>
        </w:rPr>
      </w:pPr>
      <w:r>
        <w:rPr>
          <w:rFonts w:ascii="Arial" w:cs="Arial" w:eastAsia="Arial" w:hAnsi="Arial"/>
          <w:sz w:val="16"/>
          <w:szCs w:val="16"/>
          <w:color w:val="auto"/>
        </w:rPr>
        <w:t>The Audit Committee has established procedures for (i) the receipt, retention and treatment of complaints regarding accounting, internal accounting controls or auditing matters (“accounting matters”), and (ii) the confidential, anonymous submission by employees of concerns regarding questionable accounting matters. Such complaints or concerns may be submitted to Dover, care of our Corporate Secretary or through the communications coordinator, an external service provider, by mail, fax, telephone, or via the internet as published on our website. The communications coordinator forwards such communications to Dover without disclosing the identity of the sender if anonymity is requested.</w:t>
      </w:r>
    </w:p>
    <w:p>
      <w:pPr>
        <w:spacing w:after="0" w:line="17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Shareholders and other interested persons may also communicate with our Board and the non-management directors in any of these same manners.</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Such communications are forwarded to the Chair of the Governance and Nominating Committee.</w:t>
      </w:r>
    </w:p>
    <w:p>
      <w:pPr>
        <w:spacing w:after="0" w:line="133" w:lineRule="exact"/>
        <w:rPr>
          <w:sz w:val="20"/>
          <w:szCs w:val="20"/>
          <w:color w:val="auto"/>
        </w:rPr>
      </w:pPr>
    </w:p>
    <w:p>
      <w:pPr>
        <w:ind w:left="7380"/>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27</w:t>
      </w:r>
    </w:p>
    <w:p>
      <w:pPr>
        <w:sectPr>
          <w:pgSz w:w="11900" w:h="16838" w:orient="portrait"/>
          <w:cols w:equalWidth="0" w:num="1">
            <w:col w:w="11240"/>
          </w:cols>
          <w:pgMar w:left="240" w:top="459" w:right="41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PROPOSAL 1 — ELECTION OF DIRECTORS</w:t>
      </w:r>
    </w:p>
    <w:p>
      <w:pPr>
        <w:spacing w:after="0" w:line="139"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32406B"/>
        </w:rPr>
        <w:t>Directors’ Compensation</w:t>
      </w:r>
    </w:p>
    <w:p>
      <w:pPr>
        <w:spacing w:after="0" w:line="105" w:lineRule="exact"/>
        <w:rPr>
          <w:sz w:val="20"/>
          <w:szCs w:val="20"/>
          <w:color w:val="auto"/>
        </w:rPr>
      </w:pPr>
    </w:p>
    <w:p>
      <w:pPr>
        <w:jc w:val="both"/>
        <w:ind w:left="220" w:right="100"/>
        <w:spacing w:after="0" w:line="253" w:lineRule="auto"/>
        <w:rPr>
          <w:sz w:val="20"/>
          <w:szCs w:val="20"/>
          <w:color w:val="auto"/>
        </w:rPr>
      </w:pPr>
      <w:r>
        <w:rPr>
          <w:rFonts w:ascii="Arial" w:cs="Arial" w:eastAsia="Arial" w:hAnsi="Arial"/>
          <w:sz w:val="16"/>
          <w:szCs w:val="16"/>
          <w:color w:val="auto"/>
        </w:rPr>
        <w:t>Our non-employee directors receive annual compensation in an amount our Board sets from time to time. The directors’ annual compensation is payable partly in cash and partly in common stock in an allocation our Board may adjust from time to time. If any director serves for less than a full calendar year, the compensation to be paid to that director for the year will be pro-rated as deemed appropriate by the Compensation Committee.</w:t>
      </w:r>
    </w:p>
    <w:p>
      <w:pPr>
        <w:spacing w:after="0" w:line="160" w:lineRule="exact"/>
        <w:rPr>
          <w:sz w:val="20"/>
          <w:szCs w:val="20"/>
          <w:color w:val="auto"/>
        </w:rPr>
      </w:pPr>
    </w:p>
    <w:p>
      <w:pPr>
        <w:jc w:val="both"/>
        <w:ind w:left="220" w:right="80"/>
        <w:spacing w:after="0" w:line="260" w:lineRule="auto"/>
        <w:rPr>
          <w:sz w:val="20"/>
          <w:szCs w:val="20"/>
          <w:color w:val="auto"/>
        </w:rPr>
      </w:pPr>
      <w:r>
        <w:rPr>
          <w:rFonts w:ascii="Arial" w:cs="Arial" w:eastAsia="Arial" w:hAnsi="Arial"/>
          <w:sz w:val="16"/>
          <w:szCs w:val="16"/>
          <w:color w:val="auto"/>
        </w:rPr>
        <w:t>Our Board has adopted a policy that directors are expected to hold at any time a number of shares at least equal to the aggregate number of shares they received as the stock portion of their annual retainer during the past five years, net of an assumed 30% tax rate.</w:t>
      </w:r>
    </w:p>
    <w:p>
      <w:pPr>
        <w:spacing w:after="0" w:line="202" w:lineRule="exact"/>
        <w:rPr>
          <w:sz w:val="20"/>
          <w:szCs w:val="20"/>
          <w:color w:val="auto"/>
        </w:rPr>
      </w:pPr>
    </w:p>
    <w:p>
      <w:pPr>
        <w:ind w:left="2720"/>
        <w:spacing w:after="0"/>
        <w:rPr>
          <w:sz w:val="20"/>
          <w:szCs w:val="20"/>
          <w:color w:val="auto"/>
        </w:rPr>
      </w:pPr>
      <w:r>
        <w:rPr>
          <w:rFonts w:ascii="Arial" w:cs="Arial" w:eastAsia="Arial" w:hAnsi="Arial"/>
          <w:sz w:val="16"/>
          <w:szCs w:val="16"/>
          <w:b w:val="1"/>
          <w:bCs w:val="1"/>
          <w:color w:val="FFFFFF"/>
        </w:rPr>
        <w:t>FOR 2017, NON-EMPLOYEE DIRECTOR COMPENSATION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-104775</wp:posOffset>
            </wp:positionV>
            <wp:extent cx="6989445" cy="2400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89445" cy="240030"/>
                    </a:xfrm>
                    <a:prstGeom prst="rect">
                      <a:avLst/>
                    </a:prstGeom>
                    <a:noFill/>
                  </pic:spPr>
                </pic:pic>
              </a:graphicData>
            </a:graphic>
          </wp:anchor>
        </w:drawing>
      </w:r>
    </w:p>
    <w:p>
      <w:pPr>
        <w:spacing w:after="0" w:line="5" w:lineRule="exact"/>
        <w:rPr>
          <w:sz w:val="20"/>
          <w:szCs w:val="20"/>
          <w:color w:val="auto"/>
        </w:rPr>
      </w:pPr>
    </w:p>
    <w:p>
      <w:pPr>
        <w:ind w:left="240" w:right="4740"/>
        <w:spacing w:after="0" w:line="246" w:lineRule="auto"/>
        <w:rPr>
          <w:sz w:val="20"/>
          <w:szCs w:val="20"/>
          <w:color w:val="auto"/>
        </w:rPr>
      </w:pPr>
      <w:r>
        <w:rPr>
          <w:rFonts w:ascii="Arial" w:cs="Arial" w:eastAsia="Arial" w:hAnsi="Arial"/>
          <w:sz w:val="16"/>
          <w:szCs w:val="16"/>
          <w:color w:val="auto"/>
        </w:rPr>
        <w:t>Annual retainer of $250,000, payable $130,000 in common stock and $120,000 in cash Audit Committee Chair — additional annual cash retainer of $15,000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0</wp:posOffset>
            </wp:positionV>
            <wp:extent cx="6989445" cy="1200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89445" cy="120015"/>
                    </a:xfrm>
                    <a:prstGeom prst="rect">
                      <a:avLst/>
                    </a:prstGeom>
                    <a:noFill/>
                  </pic:spPr>
                </pic:pic>
              </a:graphicData>
            </a:graphic>
          </wp:anchor>
        </w:drawing>
      </w:r>
    </w:p>
    <w:p>
      <w:pPr>
        <w:ind w:left="220" w:right="1720" w:firstLine="45"/>
        <w:spacing w:after="0" w:line="260" w:lineRule="auto"/>
        <w:rPr>
          <w:sz w:val="20"/>
          <w:szCs w:val="20"/>
          <w:color w:val="auto"/>
        </w:rPr>
      </w:pPr>
      <w:r>
        <w:rPr>
          <w:rFonts w:ascii="Arial" w:cs="Arial" w:eastAsia="Arial" w:hAnsi="Arial"/>
          <w:sz w:val="16"/>
          <w:szCs w:val="16"/>
          <w:color w:val="auto"/>
        </w:rPr>
        <w:t>Compensation Committee Chair and Nominating and Governance Committee Chair — additional annual cash retainer of $10,000 Board Chairman — additional annual retainer of $150,000, payable $125,000 in cash and $25,000 in common stock</w:t>
      </w:r>
    </w:p>
    <w:p>
      <w:pPr>
        <w:spacing w:after="0" w:line="195" w:lineRule="exact"/>
        <w:rPr>
          <w:sz w:val="20"/>
          <w:szCs w:val="20"/>
          <w:color w:val="auto"/>
        </w:rPr>
      </w:pPr>
    </w:p>
    <w:p>
      <w:pPr>
        <w:ind w:left="220" w:right="80"/>
        <w:spacing w:after="0" w:line="249" w:lineRule="auto"/>
        <w:rPr>
          <w:sz w:val="20"/>
          <w:szCs w:val="20"/>
          <w:color w:val="auto"/>
        </w:rPr>
      </w:pPr>
      <w:r>
        <w:rPr>
          <w:rFonts w:ascii="Arial" w:cs="Arial" w:eastAsia="Arial" w:hAnsi="Arial"/>
          <w:sz w:val="16"/>
          <w:szCs w:val="16"/>
          <w:color w:val="auto"/>
        </w:rPr>
        <w:t>Under our LTIP, each non-employee director can elect to defer the receipt of 0%, 50%, or 100% of the equity compensation payable in a year until termination of services as a non-employee director. Shares deferred are converted into deferred stock units representing the right to receive one share of our common stock for each unit held at the end of the deferral period. Dividend equivalents are credited on deferred stock units and will be distributed in cash at the time that shares are distributed in settlement of deferred stock units. Messrs. Francis, Johnston, Lochridge, Spiegel, Tobin, Todd and Wagner and Ms. Graham elected to defer receipt of their 2017 equity compensation and received deferred stock units.</w:t>
      </w:r>
    </w:p>
    <w:p>
      <w:pPr>
        <w:spacing w:after="0" w:line="16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table below sets forth the compensation paid to our directors (other than Mr. Livingston) for services in 2017.</w:t>
      </w:r>
    </w:p>
    <w:p>
      <w:pPr>
        <w:spacing w:after="0" w:line="226" w:lineRule="exact"/>
        <w:rPr>
          <w:sz w:val="20"/>
          <w:szCs w:val="20"/>
          <w:color w:val="auto"/>
        </w:rPr>
      </w:pPr>
    </w:p>
    <w:tbl>
      <w:tblPr>
        <w:tblLayout w:type="fixed"/>
        <w:tblInd w:w="220" w:type="dxa"/>
        <w:tblCellMar>
          <w:top w:w="0" w:type="dxa"/>
          <w:left w:w="0" w:type="dxa"/>
          <w:bottom w:w="0" w:type="dxa"/>
          <w:right w:w="0" w:type="dxa"/>
        </w:tblCellMar>
      </w:tblPr>
      <w:tr>
        <w:trPr>
          <w:trHeight w:val="184"/>
        </w:trPr>
        <w:tc>
          <w:tcPr>
            <w:tcW w:w="4340" w:type="dxa"/>
            <w:vAlign w:val="bottom"/>
            <w:tcBorders>
              <w:top w:val="single" w:sz="8" w:color="auto"/>
              <w:right w:val="single" w:sz="8" w:color="999999"/>
            </w:tcBorders>
            <w:shd w:val="clear" w:color="auto" w:fill="505C81"/>
          </w:tcPr>
          <w:p>
            <w:pPr>
              <w:spacing w:after="0"/>
              <w:rPr>
                <w:sz w:val="16"/>
                <w:szCs w:val="16"/>
                <w:color w:val="auto"/>
              </w:rPr>
            </w:pPr>
          </w:p>
        </w:tc>
        <w:tc>
          <w:tcPr>
            <w:tcW w:w="2500" w:type="dxa"/>
            <w:vAlign w:val="bottom"/>
            <w:tcBorders>
              <w:top w:val="single" w:sz="8" w:color="auto"/>
            </w:tcBorders>
            <w:shd w:val="clear" w:color="auto" w:fill="505C81"/>
          </w:tcPr>
          <w:p>
            <w:pPr>
              <w:jc w:val="center"/>
              <w:spacing w:after="0"/>
              <w:rPr>
                <w:sz w:val="20"/>
                <w:szCs w:val="20"/>
                <w:color w:val="auto"/>
              </w:rPr>
            </w:pPr>
            <w:r>
              <w:rPr>
                <w:rFonts w:ascii="Arial" w:cs="Arial" w:eastAsia="Arial" w:hAnsi="Arial"/>
                <w:sz w:val="16"/>
                <w:szCs w:val="16"/>
                <w:b w:val="1"/>
                <w:bCs w:val="1"/>
                <w:color w:val="FFFFFF"/>
              </w:rPr>
              <w:t>FEES EARNED</w:t>
            </w:r>
          </w:p>
        </w:tc>
        <w:tc>
          <w:tcPr>
            <w:tcW w:w="2740" w:type="dxa"/>
            <w:vAlign w:val="bottom"/>
            <w:tcBorders>
              <w:top w:val="single" w:sz="8" w:color="auto"/>
            </w:tcBorders>
            <w:shd w:val="clear" w:color="auto" w:fill="505C81"/>
          </w:tcPr>
          <w:p>
            <w:pPr>
              <w:spacing w:after="0"/>
              <w:rPr>
                <w:sz w:val="16"/>
                <w:szCs w:val="16"/>
                <w:color w:val="auto"/>
              </w:rPr>
            </w:pPr>
          </w:p>
        </w:tc>
        <w:tc>
          <w:tcPr>
            <w:tcW w:w="1420" w:type="dxa"/>
            <w:vAlign w:val="bottom"/>
            <w:tcBorders>
              <w:top w:val="single" w:sz="8" w:color="auto"/>
            </w:tcBorders>
            <w:shd w:val="clear" w:color="auto" w:fill="505C81"/>
          </w:tcPr>
          <w:p>
            <w:pPr>
              <w:spacing w:after="0"/>
              <w:rPr>
                <w:sz w:val="16"/>
                <w:szCs w:val="16"/>
                <w:color w:val="auto"/>
              </w:rPr>
            </w:pPr>
          </w:p>
        </w:tc>
      </w:tr>
      <w:tr>
        <w:trPr>
          <w:trHeight w:val="189"/>
        </w:trPr>
        <w:tc>
          <w:tcPr>
            <w:tcW w:w="4340" w:type="dxa"/>
            <w:vAlign w:val="bottom"/>
            <w:tcBorders>
              <w:right w:val="single" w:sz="8" w:color="999999"/>
            </w:tcBorders>
            <w:shd w:val="clear" w:color="auto" w:fill="505C81"/>
          </w:tcPr>
          <w:p>
            <w:pPr>
              <w:spacing w:after="0"/>
              <w:rPr>
                <w:sz w:val="16"/>
                <w:szCs w:val="16"/>
                <w:color w:val="auto"/>
              </w:rPr>
            </w:pPr>
          </w:p>
        </w:tc>
        <w:tc>
          <w:tcPr>
            <w:tcW w:w="2500" w:type="dxa"/>
            <w:vAlign w:val="bottom"/>
            <w:shd w:val="clear" w:color="auto" w:fill="505C81"/>
          </w:tcPr>
          <w:p>
            <w:pPr>
              <w:jc w:val="center"/>
              <w:spacing w:after="0"/>
              <w:rPr>
                <w:sz w:val="20"/>
                <w:szCs w:val="20"/>
                <w:color w:val="auto"/>
              </w:rPr>
            </w:pPr>
            <w:r>
              <w:rPr>
                <w:rFonts w:ascii="Arial" w:cs="Arial" w:eastAsia="Arial" w:hAnsi="Arial"/>
                <w:sz w:val="16"/>
                <w:szCs w:val="16"/>
                <w:b w:val="1"/>
                <w:bCs w:val="1"/>
                <w:color w:val="FFFFFF"/>
                <w:w w:val="98"/>
              </w:rPr>
              <w:t>OR PAID</w:t>
            </w:r>
          </w:p>
        </w:tc>
        <w:tc>
          <w:tcPr>
            <w:tcW w:w="2740" w:type="dxa"/>
            <w:vAlign w:val="bottom"/>
            <w:shd w:val="clear" w:color="auto" w:fill="505C81"/>
          </w:tcPr>
          <w:p>
            <w:pPr>
              <w:jc w:val="center"/>
              <w:spacing w:after="0"/>
              <w:rPr>
                <w:sz w:val="20"/>
                <w:szCs w:val="20"/>
                <w:color w:val="auto"/>
              </w:rPr>
            </w:pPr>
            <w:r>
              <w:rPr>
                <w:rFonts w:ascii="Arial" w:cs="Arial" w:eastAsia="Arial" w:hAnsi="Arial"/>
                <w:sz w:val="16"/>
                <w:szCs w:val="16"/>
                <w:b w:val="1"/>
                <w:bCs w:val="1"/>
                <w:color w:val="FFFFFF"/>
                <w:w w:val="99"/>
              </w:rPr>
              <w:t>STOCK</w:t>
            </w:r>
          </w:p>
        </w:tc>
        <w:tc>
          <w:tcPr>
            <w:tcW w:w="1420" w:type="dxa"/>
            <w:vAlign w:val="bottom"/>
            <w:shd w:val="clear" w:color="auto" w:fill="505C81"/>
          </w:tcPr>
          <w:p>
            <w:pPr>
              <w:ind w:left="700"/>
              <w:spacing w:after="0"/>
              <w:rPr>
                <w:sz w:val="20"/>
                <w:szCs w:val="20"/>
                <w:color w:val="auto"/>
              </w:rPr>
            </w:pPr>
            <w:r>
              <w:rPr>
                <w:rFonts w:ascii="Arial" w:cs="Arial" w:eastAsia="Arial" w:hAnsi="Arial"/>
                <w:sz w:val="16"/>
                <w:szCs w:val="16"/>
                <w:b w:val="1"/>
                <w:bCs w:val="1"/>
                <w:color w:val="FFFFFF"/>
              </w:rPr>
              <w:t>TOTAL</w:t>
            </w:r>
          </w:p>
        </w:tc>
      </w:tr>
      <w:tr>
        <w:trPr>
          <w:trHeight w:val="220"/>
        </w:trPr>
        <w:tc>
          <w:tcPr>
            <w:tcW w:w="4340" w:type="dxa"/>
            <w:vAlign w:val="bottom"/>
            <w:tcBorders>
              <w:right w:val="single" w:sz="8" w:color="999999"/>
            </w:tcBorders>
            <w:shd w:val="clear" w:color="auto" w:fill="505C81"/>
          </w:tcPr>
          <w:p>
            <w:pPr>
              <w:ind w:left="40"/>
              <w:spacing w:after="0"/>
              <w:rPr>
                <w:sz w:val="20"/>
                <w:szCs w:val="20"/>
                <w:color w:val="auto"/>
              </w:rPr>
            </w:pPr>
            <w:r>
              <w:rPr>
                <w:rFonts w:ascii="Arial" w:cs="Arial" w:eastAsia="Arial" w:hAnsi="Arial"/>
                <w:sz w:val="16"/>
                <w:szCs w:val="16"/>
                <w:b w:val="1"/>
                <w:bCs w:val="1"/>
                <w:color w:val="FFFFFF"/>
              </w:rPr>
              <w:t>NAME</w:t>
            </w:r>
          </w:p>
        </w:tc>
        <w:tc>
          <w:tcPr>
            <w:tcW w:w="2500" w:type="dxa"/>
            <w:vAlign w:val="bottom"/>
            <w:shd w:val="clear" w:color="auto" w:fill="505C81"/>
          </w:tcPr>
          <w:p>
            <w:pPr>
              <w:jc w:val="center"/>
              <w:spacing w:after="0"/>
              <w:rPr>
                <w:sz w:val="20"/>
                <w:szCs w:val="20"/>
                <w:color w:val="auto"/>
              </w:rPr>
            </w:pPr>
            <w:r>
              <w:rPr>
                <w:rFonts w:ascii="Arial" w:cs="Arial" w:eastAsia="Arial" w:hAnsi="Arial"/>
                <w:sz w:val="16"/>
                <w:szCs w:val="16"/>
                <w:b w:val="1"/>
                <w:bCs w:val="1"/>
                <w:color w:val="FFFFFF"/>
              </w:rPr>
              <w:t>IN CASH ($)(1)</w:t>
            </w:r>
          </w:p>
        </w:tc>
        <w:tc>
          <w:tcPr>
            <w:tcW w:w="2740" w:type="dxa"/>
            <w:vAlign w:val="bottom"/>
            <w:shd w:val="clear" w:color="auto" w:fill="505C81"/>
          </w:tcPr>
          <w:p>
            <w:pPr>
              <w:jc w:val="center"/>
              <w:spacing w:after="0"/>
              <w:rPr>
                <w:sz w:val="20"/>
                <w:szCs w:val="20"/>
                <w:color w:val="auto"/>
              </w:rPr>
            </w:pPr>
            <w:r>
              <w:rPr>
                <w:rFonts w:ascii="Arial" w:cs="Arial" w:eastAsia="Arial" w:hAnsi="Arial"/>
                <w:sz w:val="16"/>
                <w:szCs w:val="16"/>
                <w:b w:val="1"/>
                <w:bCs w:val="1"/>
                <w:color w:val="FFFFFF"/>
                <w:w w:val="99"/>
              </w:rPr>
              <w:t>AWARDS ($)(1)(2)</w:t>
            </w:r>
          </w:p>
        </w:tc>
        <w:tc>
          <w:tcPr>
            <w:tcW w:w="1420" w:type="dxa"/>
            <w:vAlign w:val="bottom"/>
            <w:shd w:val="clear" w:color="auto" w:fill="505C81"/>
          </w:tcPr>
          <w:p>
            <w:pPr>
              <w:jc w:val="center"/>
              <w:ind w:left="419"/>
              <w:spacing w:after="0"/>
              <w:rPr>
                <w:sz w:val="20"/>
                <w:szCs w:val="20"/>
                <w:color w:val="auto"/>
              </w:rPr>
            </w:pPr>
            <w:r>
              <w:rPr>
                <w:rFonts w:ascii="Arial" w:cs="Arial" w:eastAsia="Arial" w:hAnsi="Arial"/>
                <w:sz w:val="16"/>
                <w:szCs w:val="16"/>
                <w:b w:val="1"/>
                <w:bCs w:val="1"/>
                <w:color w:val="FFFFFF"/>
              </w:rPr>
              <w:t>($)</w:t>
            </w:r>
          </w:p>
        </w:tc>
      </w:tr>
      <w:tr>
        <w:trPr>
          <w:trHeight w:val="189"/>
        </w:trPr>
        <w:tc>
          <w:tcPr>
            <w:tcW w:w="4340" w:type="dxa"/>
            <w:vAlign w:val="bottom"/>
            <w:tcBorders>
              <w:right w:val="single" w:sz="8" w:color="999999"/>
            </w:tcBorders>
          </w:tcPr>
          <w:p>
            <w:pPr>
              <w:ind w:left="40"/>
              <w:spacing w:after="0"/>
              <w:rPr>
                <w:sz w:val="20"/>
                <w:szCs w:val="20"/>
                <w:color w:val="auto"/>
              </w:rPr>
            </w:pPr>
            <w:r>
              <w:rPr>
                <w:rFonts w:ascii="Arial" w:cs="Arial" w:eastAsia="Arial" w:hAnsi="Arial"/>
                <w:sz w:val="16"/>
                <w:szCs w:val="16"/>
                <w:b w:val="1"/>
                <w:bCs w:val="1"/>
                <w:color w:val="auto"/>
              </w:rPr>
              <w:t>PETER T. FRANCIS</w:t>
            </w:r>
          </w:p>
        </w:tc>
        <w:tc>
          <w:tcPr>
            <w:tcW w:w="2500" w:type="dxa"/>
            <w:vAlign w:val="bottom"/>
          </w:tcPr>
          <w:p>
            <w:pPr>
              <w:jc w:val="center"/>
              <w:spacing w:after="0"/>
              <w:rPr>
                <w:sz w:val="20"/>
                <w:szCs w:val="20"/>
                <w:color w:val="auto"/>
              </w:rPr>
            </w:pPr>
            <w:r>
              <w:rPr>
                <w:rFonts w:ascii="Arial" w:cs="Arial" w:eastAsia="Arial" w:hAnsi="Arial"/>
                <w:sz w:val="16"/>
                <w:szCs w:val="16"/>
                <w:color w:val="auto"/>
              </w:rPr>
              <w:t>120,000</w:t>
            </w:r>
          </w:p>
        </w:tc>
        <w:tc>
          <w:tcPr>
            <w:tcW w:w="2740" w:type="dxa"/>
            <w:vAlign w:val="bottom"/>
          </w:tcPr>
          <w:p>
            <w:pPr>
              <w:jc w:val="center"/>
              <w:spacing w:after="0"/>
              <w:rPr>
                <w:sz w:val="20"/>
                <w:szCs w:val="20"/>
                <w:color w:val="auto"/>
              </w:rPr>
            </w:pPr>
            <w:r>
              <w:rPr>
                <w:rFonts w:ascii="Arial" w:cs="Arial" w:eastAsia="Arial" w:hAnsi="Arial"/>
                <w:sz w:val="16"/>
                <w:szCs w:val="16"/>
                <w:color w:val="auto"/>
              </w:rPr>
              <w:t>129,965</w:t>
            </w:r>
          </w:p>
        </w:tc>
        <w:tc>
          <w:tcPr>
            <w:tcW w:w="1420" w:type="dxa"/>
            <w:vAlign w:val="bottom"/>
          </w:tcPr>
          <w:p>
            <w:pPr>
              <w:jc w:val="center"/>
              <w:ind w:left="399"/>
              <w:spacing w:after="0"/>
              <w:rPr>
                <w:sz w:val="20"/>
                <w:szCs w:val="20"/>
                <w:color w:val="auto"/>
              </w:rPr>
            </w:pPr>
            <w:r>
              <w:rPr>
                <w:rFonts w:ascii="Arial" w:cs="Arial" w:eastAsia="Arial" w:hAnsi="Arial"/>
                <w:sz w:val="16"/>
                <w:szCs w:val="16"/>
                <w:color w:val="auto"/>
              </w:rPr>
              <w:t>249,965</w:t>
            </w:r>
          </w:p>
        </w:tc>
      </w:tr>
      <w:tr>
        <w:trPr>
          <w:trHeight w:val="189"/>
        </w:trPr>
        <w:tc>
          <w:tcPr>
            <w:tcW w:w="4340" w:type="dxa"/>
            <w:vAlign w:val="bottom"/>
            <w:tcBorders>
              <w:right w:val="single" w:sz="8" w:color="999999"/>
            </w:tcBorders>
            <w:shd w:val="clear" w:color="auto" w:fill="D8D8D8"/>
          </w:tcPr>
          <w:p>
            <w:pPr>
              <w:ind w:left="40"/>
              <w:spacing w:after="0"/>
              <w:rPr>
                <w:sz w:val="20"/>
                <w:szCs w:val="20"/>
                <w:color w:val="auto"/>
              </w:rPr>
            </w:pPr>
            <w:r>
              <w:rPr>
                <w:rFonts w:ascii="Arial" w:cs="Arial" w:eastAsia="Arial" w:hAnsi="Arial"/>
                <w:sz w:val="16"/>
                <w:szCs w:val="16"/>
                <w:b w:val="1"/>
                <w:bCs w:val="1"/>
                <w:color w:val="auto"/>
              </w:rPr>
              <w:t>KRISTIANE C. GRAHAM</w:t>
            </w:r>
          </w:p>
        </w:tc>
        <w:tc>
          <w:tcPr>
            <w:tcW w:w="2500" w:type="dxa"/>
            <w:vAlign w:val="bottom"/>
            <w:shd w:val="clear" w:color="auto" w:fill="D8D8D8"/>
          </w:tcPr>
          <w:p>
            <w:pPr>
              <w:jc w:val="center"/>
              <w:spacing w:after="0"/>
              <w:rPr>
                <w:sz w:val="20"/>
                <w:szCs w:val="20"/>
                <w:color w:val="auto"/>
              </w:rPr>
            </w:pPr>
            <w:r>
              <w:rPr>
                <w:rFonts w:ascii="Arial" w:cs="Arial" w:eastAsia="Arial" w:hAnsi="Arial"/>
                <w:sz w:val="16"/>
                <w:szCs w:val="16"/>
                <w:color w:val="auto"/>
              </w:rPr>
              <w:t>120,000</w:t>
            </w:r>
          </w:p>
        </w:tc>
        <w:tc>
          <w:tcPr>
            <w:tcW w:w="2740" w:type="dxa"/>
            <w:vAlign w:val="bottom"/>
            <w:shd w:val="clear" w:color="auto" w:fill="D8D8D8"/>
          </w:tcPr>
          <w:p>
            <w:pPr>
              <w:jc w:val="center"/>
              <w:spacing w:after="0"/>
              <w:rPr>
                <w:sz w:val="20"/>
                <w:szCs w:val="20"/>
                <w:color w:val="auto"/>
              </w:rPr>
            </w:pPr>
            <w:r>
              <w:rPr>
                <w:rFonts w:ascii="Arial" w:cs="Arial" w:eastAsia="Arial" w:hAnsi="Arial"/>
                <w:sz w:val="16"/>
                <w:szCs w:val="16"/>
                <w:color w:val="auto"/>
              </w:rPr>
              <w:t>129,965</w:t>
            </w:r>
          </w:p>
        </w:tc>
        <w:tc>
          <w:tcPr>
            <w:tcW w:w="1420" w:type="dxa"/>
            <w:vAlign w:val="bottom"/>
            <w:shd w:val="clear" w:color="auto" w:fill="D8D8D8"/>
          </w:tcPr>
          <w:p>
            <w:pPr>
              <w:jc w:val="center"/>
              <w:ind w:left="399"/>
              <w:spacing w:after="0"/>
              <w:rPr>
                <w:sz w:val="20"/>
                <w:szCs w:val="20"/>
                <w:color w:val="auto"/>
              </w:rPr>
            </w:pPr>
            <w:r>
              <w:rPr>
                <w:rFonts w:ascii="Arial" w:cs="Arial" w:eastAsia="Arial" w:hAnsi="Arial"/>
                <w:sz w:val="16"/>
                <w:szCs w:val="16"/>
                <w:color w:val="auto"/>
              </w:rPr>
              <w:t>249,965</w:t>
            </w:r>
          </w:p>
        </w:tc>
      </w:tr>
      <w:tr>
        <w:trPr>
          <w:trHeight w:val="189"/>
        </w:trPr>
        <w:tc>
          <w:tcPr>
            <w:tcW w:w="4340" w:type="dxa"/>
            <w:vAlign w:val="bottom"/>
            <w:tcBorders>
              <w:right w:val="single" w:sz="8" w:color="999999"/>
            </w:tcBorders>
          </w:tcPr>
          <w:p>
            <w:pPr>
              <w:ind w:left="40"/>
              <w:spacing w:after="0"/>
              <w:rPr>
                <w:sz w:val="20"/>
                <w:szCs w:val="20"/>
                <w:color w:val="auto"/>
              </w:rPr>
            </w:pPr>
            <w:r>
              <w:rPr>
                <w:rFonts w:ascii="Arial" w:cs="Arial" w:eastAsia="Arial" w:hAnsi="Arial"/>
                <w:sz w:val="16"/>
                <w:szCs w:val="16"/>
                <w:b w:val="1"/>
                <w:bCs w:val="1"/>
                <w:color w:val="auto"/>
              </w:rPr>
              <w:t>MICHAEL F. JOHNSTON</w:t>
            </w:r>
          </w:p>
        </w:tc>
        <w:tc>
          <w:tcPr>
            <w:tcW w:w="2500" w:type="dxa"/>
            <w:vAlign w:val="bottom"/>
          </w:tcPr>
          <w:p>
            <w:pPr>
              <w:jc w:val="center"/>
              <w:spacing w:after="0"/>
              <w:rPr>
                <w:sz w:val="20"/>
                <w:szCs w:val="20"/>
                <w:color w:val="auto"/>
              </w:rPr>
            </w:pPr>
            <w:r>
              <w:rPr>
                <w:rFonts w:ascii="Arial" w:cs="Arial" w:eastAsia="Arial" w:hAnsi="Arial"/>
                <w:sz w:val="16"/>
                <w:szCs w:val="16"/>
                <w:color w:val="auto"/>
              </w:rPr>
              <w:t>245,000</w:t>
            </w:r>
          </w:p>
        </w:tc>
        <w:tc>
          <w:tcPr>
            <w:tcW w:w="2740" w:type="dxa"/>
            <w:vAlign w:val="bottom"/>
          </w:tcPr>
          <w:p>
            <w:pPr>
              <w:jc w:val="center"/>
              <w:spacing w:after="0"/>
              <w:rPr>
                <w:sz w:val="20"/>
                <w:szCs w:val="20"/>
                <w:color w:val="auto"/>
              </w:rPr>
            </w:pPr>
            <w:r>
              <w:rPr>
                <w:rFonts w:ascii="Arial" w:cs="Arial" w:eastAsia="Arial" w:hAnsi="Arial"/>
                <w:sz w:val="16"/>
                <w:szCs w:val="16"/>
                <w:color w:val="auto"/>
              </w:rPr>
              <w:t>154,994</w:t>
            </w:r>
          </w:p>
        </w:tc>
        <w:tc>
          <w:tcPr>
            <w:tcW w:w="1420" w:type="dxa"/>
            <w:vAlign w:val="bottom"/>
          </w:tcPr>
          <w:p>
            <w:pPr>
              <w:jc w:val="center"/>
              <w:ind w:left="399"/>
              <w:spacing w:after="0"/>
              <w:rPr>
                <w:sz w:val="20"/>
                <w:szCs w:val="20"/>
                <w:color w:val="auto"/>
              </w:rPr>
            </w:pPr>
            <w:r>
              <w:rPr>
                <w:rFonts w:ascii="Arial" w:cs="Arial" w:eastAsia="Arial" w:hAnsi="Arial"/>
                <w:sz w:val="16"/>
                <w:szCs w:val="16"/>
                <w:color w:val="auto"/>
              </w:rPr>
              <w:t>399,994</w:t>
            </w:r>
          </w:p>
        </w:tc>
      </w:tr>
      <w:tr>
        <w:trPr>
          <w:trHeight w:val="189"/>
        </w:trPr>
        <w:tc>
          <w:tcPr>
            <w:tcW w:w="4340" w:type="dxa"/>
            <w:vAlign w:val="bottom"/>
            <w:tcBorders>
              <w:right w:val="single" w:sz="8" w:color="999999"/>
            </w:tcBorders>
            <w:shd w:val="clear" w:color="auto" w:fill="D8D8D8"/>
          </w:tcPr>
          <w:p>
            <w:pPr>
              <w:ind w:left="40"/>
              <w:spacing w:after="0"/>
              <w:rPr>
                <w:sz w:val="20"/>
                <w:szCs w:val="20"/>
                <w:color w:val="auto"/>
              </w:rPr>
            </w:pPr>
            <w:r>
              <w:rPr>
                <w:rFonts w:ascii="Arial" w:cs="Arial" w:eastAsia="Arial" w:hAnsi="Arial"/>
                <w:sz w:val="16"/>
                <w:szCs w:val="16"/>
                <w:b w:val="1"/>
                <w:bCs w:val="1"/>
                <w:color w:val="auto"/>
              </w:rPr>
              <w:t>RICHARD K. LOCHRIDGE</w:t>
            </w:r>
          </w:p>
        </w:tc>
        <w:tc>
          <w:tcPr>
            <w:tcW w:w="2500" w:type="dxa"/>
            <w:vAlign w:val="bottom"/>
            <w:shd w:val="clear" w:color="auto" w:fill="D8D8D8"/>
          </w:tcPr>
          <w:p>
            <w:pPr>
              <w:jc w:val="center"/>
              <w:spacing w:after="0"/>
              <w:rPr>
                <w:sz w:val="20"/>
                <w:szCs w:val="20"/>
                <w:color w:val="auto"/>
              </w:rPr>
            </w:pPr>
            <w:r>
              <w:rPr>
                <w:rFonts w:ascii="Arial" w:cs="Arial" w:eastAsia="Arial" w:hAnsi="Arial"/>
                <w:sz w:val="16"/>
                <w:szCs w:val="16"/>
                <w:color w:val="auto"/>
              </w:rPr>
              <w:t>130,000</w:t>
            </w:r>
          </w:p>
        </w:tc>
        <w:tc>
          <w:tcPr>
            <w:tcW w:w="2740" w:type="dxa"/>
            <w:vAlign w:val="bottom"/>
            <w:shd w:val="clear" w:color="auto" w:fill="D8D8D8"/>
          </w:tcPr>
          <w:p>
            <w:pPr>
              <w:jc w:val="center"/>
              <w:spacing w:after="0"/>
              <w:rPr>
                <w:sz w:val="20"/>
                <w:szCs w:val="20"/>
                <w:color w:val="auto"/>
              </w:rPr>
            </w:pPr>
            <w:r>
              <w:rPr>
                <w:rFonts w:ascii="Arial" w:cs="Arial" w:eastAsia="Arial" w:hAnsi="Arial"/>
                <w:sz w:val="16"/>
                <w:szCs w:val="16"/>
                <w:color w:val="auto"/>
              </w:rPr>
              <w:t>129,965</w:t>
            </w:r>
          </w:p>
        </w:tc>
        <w:tc>
          <w:tcPr>
            <w:tcW w:w="1420" w:type="dxa"/>
            <w:vAlign w:val="bottom"/>
            <w:shd w:val="clear" w:color="auto" w:fill="D8D8D8"/>
          </w:tcPr>
          <w:p>
            <w:pPr>
              <w:jc w:val="center"/>
              <w:ind w:left="399"/>
              <w:spacing w:after="0"/>
              <w:rPr>
                <w:sz w:val="20"/>
                <w:szCs w:val="20"/>
                <w:color w:val="auto"/>
              </w:rPr>
            </w:pPr>
            <w:r>
              <w:rPr>
                <w:rFonts w:ascii="Arial" w:cs="Arial" w:eastAsia="Arial" w:hAnsi="Arial"/>
                <w:sz w:val="16"/>
                <w:szCs w:val="16"/>
                <w:color w:val="auto"/>
              </w:rPr>
              <w:t>259,965</w:t>
            </w:r>
          </w:p>
        </w:tc>
      </w:tr>
      <w:tr>
        <w:trPr>
          <w:trHeight w:val="189"/>
        </w:trPr>
        <w:tc>
          <w:tcPr>
            <w:tcW w:w="4340" w:type="dxa"/>
            <w:vAlign w:val="bottom"/>
            <w:tcBorders>
              <w:right w:val="single" w:sz="8" w:color="999999"/>
            </w:tcBorders>
          </w:tcPr>
          <w:p>
            <w:pPr>
              <w:ind w:left="40"/>
              <w:spacing w:after="0"/>
              <w:rPr>
                <w:sz w:val="20"/>
                <w:szCs w:val="20"/>
                <w:color w:val="auto"/>
              </w:rPr>
            </w:pPr>
            <w:r>
              <w:rPr>
                <w:rFonts w:ascii="Arial" w:cs="Arial" w:eastAsia="Arial" w:hAnsi="Arial"/>
                <w:sz w:val="16"/>
                <w:szCs w:val="16"/>
                <w:b w:val="1"/>
                <w:bCs w:val="1"/>
                <w:color w:val="auto"/>
              </w:rPr>
              <w:t>BERNARD G. RETHORE</w:t>
            </w:r>
          </w:p>
        </w:tc>
        <w:tc>
          <w:tcPr>
            <w:tcW w:w="2500" w:type="dxa"/>
            <w:vAlign w:val="bottom"/>
          </w:tcPr>
          <w:p>
            <w:pPr>
              <w:jc w:val="center"/>
              <w:spacing w:after="0"/>
              <w:rPr>
                <w:sz w:val="20"/>
                <w:szCs w:val="20"/>
                <w:color w:val="auto"/>
              </w:rPr>
            </w:pPr>
            <w:r>
              <w:rPr>
                <w:rFonts w:ascii="Arial" w:cs="Arial" w:eastAsia="Arial" w:hAnsi="Arial"/>
                <w:sz w:val="16"/>
                <w:szCs w:val="16"/>
                <w:color w:val="auto"/>
              </w:rPr>
              <w:t>60,000</w:t>
            </w:r>
          </w:p>
        </w:tc>
        <w:tc>
          <w:tcPr>
            <w:tcW w:w="2740" w:type="dxa"/>
            <w:vAlign w:val="bottom"/>
          </w:tcPr>
          <w:p>
            <w:pPr>
              <w:jc w:val="center"/>
              <w:spacing w:after="0"/>
              <w:rPr>
                <w:sz w:val="20"/>
                <w:szCs w:val="20"/>
                <w:color w:val="auto"/>
              </w:rPr>
            </w:pPr>
            <w:r>
              <w:rPr>
                <w:rFonts w:ascii="Arial" w:cs="Arial" w:eastAsia="Arial" w:hAnsi="Arial"/>
                <w:sz w:val="16"/>
                <w:szCs w:val="16"/>
                <w:color w:val="auto"/>
              </w:rPr>
              <w:t>63,778</w:t>
            </w:r>
          </w:p>
        </w:tc>
        <w:tc>
          <w:tcPr>
            <w:tcW w:w="1420" w:type="dxa"/>
            <w:vAlign w:val="bottom"/>
          </w:tcPr>
          <w:p>
            <w:pPr>
              <w:jc w:val="center"/>
              <w:ind w:left="399"/>
              <w:spacing w:after="0"/>
              <w:rPr>
                <w:sz w:val="20"/>
                <w:szCs w:val="20"/>
                <w:color w:val="auto"/>
              </w:rPr>
            </w:pPr>
            <w:r>
              <w:rPr>
                <w:rFonts w:ascii="Arial" w:cs="Arial" w:eastAsia="Arial" w:hAnsi="Arial"/>
                <w:sz w:val="16"/>
                <w:szCs w:val="16"/>
                <w:color w:val="auto"/>
              </w:rPr>
              <w:t>123,778</w:t>
            </w:r>
          </w:p>
        </w:tc>
      </w:tr>
      <w:tr>
        <w:trPr>
          <w:trHeight w:val="189"/>
        </w:trPr>
        <w:tc>
          <w:tcPr>
            <w:tcW w:w="4340" w:type="dxa"/>
            <w:vAlign w:val="bottom"/>
            <w:tcBorders>
              <w:right w:val="single" w:sz="8" w:color="999999"/>
            </w:tcBorders>
            <w:shd w:val="clear" w:color="auto" w:fill="D8D8D8"/>
          </w:tcPr>
          <w:p>
            <w:pPr>
              <w:ind w:left="40"/>
              <w:spacing w:after="0"/>
              <w:rPr>
                <w:sz w:val="20"/>
                <w:szCs w:val="20"/>
                <w:color w:val="auto"/>
              </w:rPr>
            </w:pPr>
            <w:r>
              <w:rPr>
                <w:rFonts w:ascii="Arial" w:cs="Arial" w:eastAsia="Arial" w:hAnsi="Arial"/>
                <w:sz w:val="16"/>
                <w:szCs w:val="16"/>
                <w:b w:val="1"/>
                <w:bCs w:val="1"/>
                <w:color w:val="auto"/>
              </w:rPr>
              <w:t>ERIC A. SPIEGEL</w:t>
            </w:r>
          </w:p>
        </w:tc>
        <w:tc>
          <w:tcPr>
            <w:tcW w:w="2500" w:type="dxa"/>
            <w:vAlign w:val="bottom"/>
            <w:shd w:val="clear" w:color="auto" w:fill="D8D8D8"/>
          </w:tcPr>
          <w:p>
            <w:pPr>
              <w:jc w:val="center"/>
              <w:spacing w:after="0"/>
              <w:rPr>
                <w:sz w:val="20"/>
                <w:szCs w:val="20"/>
                <w:color w:val="auto"/>
              </w:rPr>
            </w:pPr>
            <w:r>
              <w:rPr>
                <w:rFonts w:ascii="Arial" w:cs="Arial" w:eastAsia="Arial" w:hAnsi="Arial"/>
                <w:sz w:val="16"/>
                <w:szCs w:val="16"/>
                <w:color w:val="auto"/>
              </w:rPr>
              <w:t>107,178</w:t>
            </w:r>
          </w:p>
        </w:tc>
        <w:tc>
          <w:tcPr>
            <w:tcW w:w="2740" w:type="dxa"/>
            <w:vAlign w:val="bottom"/>
            <w:shd w:val="clear" w:color="auto" w:fill="D8D8D8"/>
          </w:tcPr>
          <w:p>
            <w:pPr>
              <w:jc w:val="center"/>
              <w:spacing w:after="0"/>
              <w:rPr>
                <w:sz w:val="20"/>
                <w:szCs w:val="20"/>
                <w:color w:val="auto"/>
              </w:rPr>
            </w:pPr>
            <w:r>
              <w:rPr>
                <w:rFonts w:ascii="Arial" w:cs="Arial" w:eastAsia="Arial" w:hAnsi="Arial"/>
                <w:sz w:val="16"/>
                <w:szCs w:val="16"/>
                <w:color w:val="auto"/>
              </w:rPr>
              <w:t>116,153</w:t>
            </w:r>
          </w:p>
        </w:tc>
        <w:tc>
          <w:tcPr>
            <w:tcW w:w="1420" w:type="dxa"/>
            <w:vAlign w:val="bottom"/>
            <w:shd w:val="clear" w:color="auto" w:fill="D8D8D8"/>
          </w:tcPr>
          <w:p>
            <w:pPr>
              <w:jc w:val="center"/>
              <w:ind w:left="399"/>
              <w:spacing w:after="0"/>
              <w:rPr>
                <w:sz w:val="20"/>
                <w:szCs w:val="20"/>
                <w:color w:val="auto"/>
              </w:rPr>
            </w:pPr>
            <w:r>
              <w:rPr>
                <w:rFonts w:ascii="Arial" w:cs="Arial" w:eastAsia="Arial" w:hAnsi="Arial"/>
                <w:sz w:val="16"/>
                <w:szCs w:val="16"/>
                <w:color w:val="auto"/>
              </w:rPr>
              <w:t>223,331</w:t>
            </w:r>
          </w:p>
        </w:tc>
      </w:tr>
      <w:tr>
        <w:trPr>
          <w:trHeight w:val="189"/>
        </w:trPr>
        <w:tc>
          <w:tcPr>
            <w:tcW w:w="4340" w:type="dxa"/>
            <w:vAlign w:val="bottom"/>
            <w:tcBorders>
              <w:right w:val="single" w:sz="8" w:color="999999"/>
            </w:tcBorders>
          </w:tcPr>
          <w:p>
            <w:pPr>
              <w:ind w:left="40"/>
              <w:spacing w:after="0"/>
              <w:rPr>
                <w:sz w:val="20"/>
                <w:szCs w:val="20"/>
                <w:color w:val="auto"/>
              </w:rPr>
            </w:pPr>
            <w:r>
              <w:rPr>
                <w:rFonts w:ascii="Arial" w:cs="Arial" w:eastAsia="Arial" w:hAnsi="Arial"/>
                <w:sz w:val="16"/>
                <w:szCs w:val="16"/>
                <w:b w:val="1"/>
                <w:bCs w:val="1"/>
                <w:color w:val="auto"/>
              </w:rPr>
              <w:t>MICHAEL B. STUBBS</w:t>
            </w:r>
          </w:p>
        </w:tc>
        <w:tc>
          <w:tcPr>
            <w:tcW w:w="2500" w:type="dxa"/>
            <w:vAlign w:val="bottom"/>
          </w:tcPr>
          <w:p>
            <w:pPr>
              <w:jc w:val="center"/>
              <w:spacing w:after="0"/>
              <w:rPr>
                <w:sz w:val="20"/>
                <w:szCs w:val="20"/>
                <w:color w:val="auto"/>
              </w:rPr>
            </w:pPr>
            <w:r>
              <w:rPr>
                <w:rFonts w:ascii="Arial" w:cs="Arial" w:eastAsia="Arial" w:hAnsi="Arial"/>
                <w:sz w:val="16"/>
                <w:szCs w:val="16"/>
                <w:color w:val="auto"/>
              </w:rPr>
              <w:t>120,000</w:t>
            </w:r>
          </w:p>
        </w:tc>
        <w:tc>
          <w:tcPr>
            <w:tcW w:w="2740" w:type="dxa"/>
            <w:vAlign w:val="bottom"/>
          </w:tcPr>
          <w:p>
            <w:pPr>
              <w:jc w:val="center"/>
              <w:spacing w:after="0"/>
              <w:rPr>
                <w:sz w:val="20"/>
                <w:szCs w:val="20"/>
                <w:color w:val="auto"/>
              </w:rPr>
            </w:pPr>
            <w:r>
              <w:rPr>
                <w:rFonts w:ascii="Arial" w:cs="Arial" w:eastAsia="Arial" w:hAnsi="Arial"/>
                <w:sz w:val="16"/>
                <w:szCs w:val="16"/>
                <w:color w:val="auto"/>
              </w:rPr>
              <w:t>129,965</w:t>
            </w:r>
          </w:p>
        </w:tc>
        <w:tc>
          <w:tcPr>
            <w:tcW w:w="1420" w:type="dxa"/>
            <w:vAlign w:val="bottom"/>
          </w:tcPr>
          <w:p>
            <w:pPr>
              <w:jc w:val="center"/>
              <w:ind w:left="399"/>
              <w:spacing w:after="0"/>
              <w:rPr>
                <w:sz w:val="20"/>
                <w:szCs w:val="20"/>
                <w:color w:val="auto"/>
              </w:rPr>
            </w:pPr>
            <w:r>
              <w:rPr>
                <w:rFonts w:ascii="Arial" w:cs="Arial" w:eastAsia="Arial" w:hAnsi="Arial"/>
                <w:sz w:val="16"/>
                <w:szCs w:val="16"/>
                <w:color w:val="auto"/>
              </w:rPr>
              <w:t>249,965</w:t>
            </w:r>
          </w:p>
        </w:tc>
      </w:tr>
      <w:tr>
        <w:trPr>
          <w:trHeight w:val="189"/>
        </w:trPr>
        <w:tc>
          <w:tcPr>
            <w:tcW w:w="4340" w:type="dxa"/>
            <w:vAlign w:val="bottom"/>
            <w:tcBorders>
              <w:right w:val="single" w:sz="8" w:color="999999"/>
            </w:tcBorders>
            <w:shd w:val="clear" w:color="auto" w:fill="D8D8D8"/>
          </w:tcPr>
          <w:p>
            <w:pPr>
              <w:ind w:left="40"/>
              <w:spacing w:after="0"/>
              <w:rPr>
                <w:sz w:val="20"/>
                <w:szCs w:val="20"/>
                <w:color w:val="auto"/>
              </w:rPr>
            </w:pPr>
            <w:r>
              <w:rPr>
                <w:rFonts w:ascii="Arial" w:cs="Arial" w:eastAsia="Arial" w:hAnsi="Arial"/>
                <w:sz w:val="16"/>
                <w:szCs w:val="16"/>
                <w:b w:val="1"/>
                <w:bCs w:val="1"/>
                <w:color w:val="auto"/>
              </w:rPr>
              <w:t>RICHARD J. TOBIN</w:t>
            </w:r>
          </w:p>
        </w:tc>
        <w:tc>
          <w:tcPr>
            <w:tcW w:w="2500" w:type="dxa"/>
            <w:vAlign w:val="bottom"/>
            <w:shd w:val="clear" w:color="auto" w:fill="D8D8D8"/>
          </w:tcPr>
          <w:p>
            <w:pPr>
              <w:jc w:val="center"/>
              <w:spacing w:after="0"/>
              <w:rPr>
                <w:sz w:val="20"/>
                <w:szCs w:val="20"/>
                <w:color w:val="auto"/>
              </w:rPr>
            </w:pPr>
            <w:r>
              <w:rPr>
                <w:rFonts w:ascii="Arial" w:cs="Arial" w:eastAsia="Arial" w:hAnsi="Arial"/>
                <w:sz w:val="16"/>
                <w:szCs w:val="16"/>
                <w:color w:val="auto"/>
              </w:rPr>
              <w:t>120,000</w:t>
            </w:r>
          </w:p>
        </w:tc>
        <w:tc>
          <w:tcPr>
            <w:tcW w:w="2740" w:type="dxa"/>
            <w:vAlign w:val="bottom"/>
            <w:shd w:val="clear" w:color="auto" w:fill="D8D8D8"/>
          </w:tcPr>
          <w:p>
            <w:pPr>
              <w:jc w:val="center"/>
              <w:spacing w:after="0"/>
              <w:rPr>
                <w:sz w:val="20"/>
                <w:szCs w:val="20"/>
                <w:color w:val="auto"/>
              </w:rPr>
            </w:pPr>
            <w:r>
              <w:rPr>
                <w:rFonts w:ascii="Arial" w:cs="Arial" w:eastAsia="Arial" w:hAnsi="Arial"/>
                <w:sz w:val="16"/>
                <w:szCs w:val="16"/>
                <w:color w:val="auto"/>
              </w:rPr>
              <w:t>129,965</w:t>
            </w:r>
          </w:p>
        </w:tc>
        <w:tc>
          <w:tcPr>
            <w:tcW w:w="1420" w:type="dxa"/>
            <w:vAlign w:val="bottom"/>
            <w:shd w:val="clear" w:color="auto" w:fill="D8D8D8"/>
          </w:tcPr>
          <w:p>
            <w:pPr>
              <w:jc w:val="center"/>
              <w:ind w:left="399"/>
              <w:spacing w:after="0"/>
              <w:rPr>
                <w:sz w:val="20"/>
                <w:szCs w:val="20"/>
                <w:color w:val="auto"/>
              </w:rPr>
            </w:pPr>
            <w:r>
              <w:rPr>
                <w:rFonts w:ascii="Arial" w:cs="Arial" w:eastAsia="Arial" w:hAnsi="Arial"/>
                <w:sz w:val="16"/>
                <w:szCs w:val="16"/>
                <w:color w:val="auto"/>
              </w:rPr>
              <w:t>249,965</w:t>
            </w:r>
          </w:p>
        </w:tc>
      </w:tr>
      <w:tr>
        <w:trPr>
          <w:trHeight w:val="189"/>
        </w:trPr>
        <w:tc>
          <w:tcPr>
            <w:tcW w:w="4340" w:type="dxa"/>
            <w:vAlign w:val="bottom"/>
            <w:tcBorders>
              <w:right w:val="single" w:sz="8" w:color="999999"/>
            </w:tcBorders>
          </w:tcPr>
          <w:p>
            <w:pPr>
              <w:ind w:left="40"/>
              <w:spacing w:after="0"/>
              <w:rPr>
                <w:sz w:val="20"/>
                <w:szCs w:val="20"/>
                <w:color w:val="auto"/>
              </w:rPr>
            </w:pPr>
            <w:r>
              <w:rPr>
                <w:rFonts w:ascii="Arial" w:cs="Arial" w:eastAsia="Arial" w:hAnsi="Arial"/>
                <w:sz w:val="16"/>
                <w:szCs w:val="16"/>
                <w:b w:val="1"/>
                <w:bCs w:val="1"/>
                <w:color w:val="auto"/>
              </w:rPr>
              <w:t>STEPHEN M. TODD</w:t>
            </w:r>
          </w:p>
        </w:tc>
        <w:tc>
          <w:tcPr>
            <w:tcW w:w="2500" w:type="dxa"/>
            <w:vAlign w:val="bottom"/>
          </w:tcPr>
          <w:p>
            <w:pPr>
              <w:jc w:val="center"/>
              <w:spacing w:after="0"/>
              <w:rPr>
                <w:sz w:val="20"/>
                <w:szCs w:val="20"/>
                <w:color w:val="auto"/>
              </w:rPr>
            </w:pPr>
            <w:r>
              <w:rPr>
                <w:rFonts w:ascii="Arial" w:cs="Arial" w:eastAsia="Arial" w:hAnsi="Arial"/>
                <w:sz w:val="16"/>
                <w:szCs w:val="16"/>
                <w:color w:val="auto"/>
              </w:rPr>
              <w:t>120,000</w:t>
            </w:r>
          </w:p>
        </w:tc>
        <w:tc>
          <w:tcPr>
            <w:tcW w:w="2740" w:type="dxa"/>
            <w:vAlign w:val="bottom"/>
          </w:tcPr>
          <w:p>
            <w:pPr>
              <w:jc w:val="center"/>
              <w:spacing w:after="0"/>
              <w:rPr>
                <w:sz w:val="20"/>
                <w:szCs w:val="20"/>
                <w:color w:val="auto"/>
              </w:rPr>
            </w:pPr>
            <w:r>
              <w:rPr>
                <w:rFonts w:ascii="Arial" w:cs="Arial" w:eastAsia="Arial" w:hAnsi="Arial"/>
                <w:sz w:val="16"/>
                <w:szCs w:val="16"/>
                <w:color w:val="auto"/>
              </w:rPr>
              <w:t>129,965</w:t>
            </w:r>
          </w:p>
        </w:tc>
        <w:tc>
          <w:tcPr>
            <w:tcW w:w="1420" w:type="dxa"/>
            <w:vAlign w:val="bottom"/>
          </w:tcPr>
          <w:p>
            <w:pPr>
              <w:jc w:val="center"/>
              <w:ind w:left="399"/>
              <w:spacing w:after="0"/>
              <w:rPr>
                <w:sz w:val="20"/>
                <w:szCs w:val="20"/>
                <w:color w:val="auto"/>
              </w:rPr>
            </w:pPr>
            <w:r>
              <w:rPr>
                <w:rFonts w:ascii="Arial" w:cs="Arial" w:eastAsia="Arial" w:hAnsi="Arial"/>
                <w:sz w:val="16"/>
                <w:szCs w:val="16"/>
                <w:color w:val="auto"/>
              </w:rPr>
              <w:t>249,965</w:t>
            </w:r>
          </w:p>
        </w:tc>
      </w:tr>
      <w:tr>
        <w:trPr>
          <w:trHeight w:val="189"/>
        </w:trPr>
        <w:tc>
          <w:tcPr>
            <w:tcW w:w="4340" w:type="dxa"/>
            <w:vAlign w:val="bottom"/>
            <w:tcBorders>
              <w:right w:val="single" w:sz="8" w:color="999999"/>
            </w:tcBorders>
            <w:shd w:val="clear" w:color="auto" w:fill="D8D8D8"/>
          </w:tcPr>
          <w:p>
            <w:pPr>
              <w:ind w:left="40"/>
              <w:spacing w:after="0"/>
              <w:rPr>
                <w:sz w:val="20"/>
                <w:szCs w:val="20"/>
                <w:color w:val="auto"/>
              </w:rPr>
            </w:pPr>
            <w:r>
              <w:rPr>
                <w:rFonts w:ascii="Arial" w:cs="Arial" w:eastAsia="Arial" w:hAnsi="Arial"/>
                <w:sz w:val="16"/>
                <w:szCs w:val="16"/>
                <w:b w:val="1"/>
                <w:bCs w:val="1"/>
                <w:color w:val="auto"/>
              </w:rPr>
              <w:t>STEPHEN K. WAGNER</w:t>
            </w:r>
          </w:p>
        </w:tc>
        <w:tc>
          <w:tcPr>
            <w:tcW w:w="2500" w:type="dxa"/>
            <w:vAlign w:val="bottom"/>
            <w:shd w:val="clear" w:color="auto" w:fill="D8D8D8"/>
          </w:tcPr>
          <w:p>
            <w:pPr>
              <w:jc w:val="center"/>
              <w:spacing w:after="0"/>
              <w:rPr>
                <w:sz w:val="20"/>
                <w:szCs w:val="20"/>
                <w:color w:val="auto"/>
              </w:rPr>
            </w:pPr>
            <w:r>
              <w:rPr>
                <w:rFonts w:ascii="Arial" w:cs="Arial" w:eastAsia="Arial" w:hAnsi="Arial"/>
                <w:sz w:val="16"/>
                <w:szCs w:val="16"/>
                <w:color w:val="auto"/>
              </w:rPr>
              <w:t>130,000</w:t>
            </w:r>
          </w:p>
        </w:tc>
        <w:tc>
          <w:tcPr>
            <w:tcW w:w="2740" w:type="dxa"/>
            <w:vAlign w:val="bottom"/>
            <w:shd w:val="clear" w:color="auto" w:fill="D8D8D8"/>
          </w:tcPr>
          <w:p>
            <w:pPr>
              <w:jc w:val="center"/>
              <w:spacing w:after="0"/>
              <w:rPr>
                <w:sz w:val="20"/>
                <w:szCs w:val="20"/>
                <w:color w:val="auto"/>
              </w:rPr>
            </w:pPr>
            <w:r>
              <w:rPr>
                <w:rFonts w:ascii="Arial" w:cs="Arial" w:eastAsia="Arial" w:hAnsi="Arial"/>
                <w:sz w:val="16"/>
                <w:szCs w:val="16"/>
                <w:color w:val="auto"/>
              </w:rPr>
              <w:t>129,965</w:t>
            </w:r>
          </w:p>
        </w:tc>
        <w:tc>
          <w:tcPr>
            <w:tcW w:w="1420" w:type="dxa"/>
            <w:vAlign w:val="bottom"/>
            <w:shd w:val="clear" w:color="auto" w:fill="D8D8D8"/>
          </w:tcPr>
          <w:p>
            <w:pPr>
              <w:jc w:val="center"/>
              <w:ind w:left="399"/>
              <w:spacing w:after="0"/>
              <w:rPr>
                <w:sz w:val="20"/>
                <w:szCs w:val="20"/>
                <w:color w:val="auto"/>
              </w:rPr>
            </w:pPr>
            <w:r>
              <w:rPr>
                <w:rFonts w:ascii="Arial" w:cs="Arial" w:eastAsia="Arial" w:hAnsi="Arial"/>
                <w:sz w:val="16"/>
                <w:szCs w:val="16"/>
                <w:color w:val="auto"/>
              </w:rPr>
              <w:t>259,965</w:t>
            </w:r>
          </w:p>
        </w:tc>
      </w:tr>
      <w:tr>
        <w:trPr>
          <w:trHeight w:val="189"/>
        </w:trPr>
        <w:tc>
          <w:tcPr>
            <w:tcW w:w="4340" w:type="dxa"/>
            <w:vAlign w:val="bottom"/>
            <w:tcBorders>
              <w:right w:val="single" w:sz="8" w:color="999999"/>
            </w:tcBorders>
          </w:tcPr>
          <w:p>
            <w:pPr>
              <w:ind w:left="40"/>
              <w:spacing w:after="0"/>
              <w:rPr>
                <w:sz w:val="20"/>
                <w:szCs w:val="20"/>
                <w:color w:val="auto"/>
              </w:rPr>
            </w:pPr>
            <w:r>
              <w:rPr>
                <w:rFonts w:ascii="Arial" w:cs="Arial" w:eastAsia="Arial" w:hAnsi="Arial"/>
                <w:sz w:val="16"/>
                <w:szCs w:val="16"/>
                <w:b w:val="1"/>
                <w:bCs w:val="1"/>
                <w:color w:val="auto"/>
              </w:rPr>
              <w:t>KEITH E. WANDELL</w:t>
            </w:r>
          </w:p>
        </w:tc>
        <w:tc>
          <w:tcPr>
            <w:tcW w:w="2500" w:type="dxa"/>
            <w:vAlign w:val="bottom"/>
          </w:tcPr>
          <w:p>
            <w:pPr>
              <w:jc w:val="center"/>
              <w:spacing w:after="0"/>
              <w:rPr>
                <w:sz w:val="20"/>
                <w:szCs w:val="20"/>
                <w:color w:val="auto"/>
              </w:rPr>
            </w:pPr>
            <w:r>
              <w:rPr>
                <w:rFonts w:ascii="Arial" w:cs="Arial" w:eastAsia="Arial" w:hAnsi="Arial"/>
                <w:sz w:val="16"/>
                <w:szCs w:val="16"/>
                <w:color w:val="auto"/>
              </w:rPr>
              <w:t>120,000</w:t>
            </w:r>
          </w:p>
        </w:tc>
        <w:tc>
          <w:tcPr>
            <w:tcW w:w="2740" w:type="dxa"/>
            <w:vAlign w:val="bottom"/>
          </w:tcPr>
          <w:p>
            <w:pPr>
              <w:jc w:val="center"/>
              <w:spacing w:after="0"/>
              <w:rPr>
                <w:sz w:val="20"/>
                <w:szCs w:val="20"/>
                <w:color w:val="auto"/>
              </w:rPr>
            </w:pPr>
            <w:r>
              <w:rPr>
                <w:rFonts w:ascii="Arial" w:cs="Arial" w:eastAsia="Arial" w:hAnsi="Arial"/>
                <w:sz w:val="16"/>
                <w:szCs w:val="16"/>
                <w:color w:val="auto"/>
              </w:rPr>
              <w:t>129,965</w:t>
            </w:r>
          </w:p>
        </w:tc>
        <w:tc>
          <w:tcPr>
            <w:tcW w:w="1420" w:type="dxa"/>
            <w:vAlign w:val="bottom"/>
          </w:tcPr>
          <w:p>
            <w:pPr>
              <w:jc w:val="center"/>
              <w:ind w:left="399"/>
              <w:spacing w:after="0"/>
              <w:rPr>
                <w:sz w:val="20"/>
                <w:szCs w:val="20"/>
                <w:color w:val="auto"/>
              </w:rPr>
            </w:pPr>
            <w:r>
              <w:rPr>
                <w:rFonts w:ascii="Arial" w:cs="Arial" w:eastAsia="Arial" w:hAnsi="Arial"/>
                <w:sz w:val="16"/>
                <w:szCs w:val="16"/>
                <w:color w:val="auto"/>
              </w:rPr>
              <w:t>249,965</w:t>
            </w:r>
          </w:p>
        </w:tc>
      </w:tr>
      <w:tr>
        <w:trPr>
          <w:trHeight w:val="189"/>
        </w:trPr>
        <w:tc>
          <w:tcPr>
            <w:tcW w:w="4340" w:type="dxa"/>
            <w:vAlign w:val="bottom"/>
            <w:tcBorders>
              <w:right w:val="single" w:sz="8" w:color="999999"/>
            </w:tcBorders>
            <w:shd w:val="clear" w:color="auto" w:fill="D8D8D8"/>
          </w:tcPr>
          <w:p>
            <w:pPr>
              <w:ind w:left="40"/>
              <w:spacing w:after="0"/>
              <w:rPr>
                <w:sz w:val="20"/>
                <w:szCs w:val="20"/>
                <w:color w:val="auto"/>
              </w:rPr>
            </w:pPr>
            <w:r>
              <w:rPr>
                <w:rFonts w:ascii="Arial" w:cs="Arial" w:eastAsia="Arial" w:hAnsi="Arial"/>
                <w:sz w:val="16"/>
                <w:szCs w:val="16"/>
                <w:b w:val="1"/>
                <w:bCs w:val="1"/>
                <w:color w:val="auto"/>
              </w:rPr>
              <w:t>MARY A. WINSTON</w:t>
            </w:r>
          </w:p>
        </w:tc>
        <w:tc>
          <w:tcPr>
            <w:tcW w:w="2500" w:type="dxa"/>
            <w:vAlign w:val="bottom"/>
            <w:shd w:val="clear" w:color="auto" w:fill="D8D8D8"/>
          </w:tcPr>
          <w:p>
            <w:pPr>
              <w:jc w:val="center"/>
              <w:spacing w:after="0"/>
              <w:rPr>
                <w:sz w:val="20"/>
                <w:szCs w:val="20"/>
                <w:color w:val="auto"/>
              </w:rPr>
            </w:pPr>
            <w:r>
              <w:rPr>
                <w:rFonts w:ascii="Arial" w:cs="Arial" w:eastAsia="Arial" w:hAnsi="Arial"/>
                <w:sz w:val="16"/>
                <w:szCs w:val="16"/>
                <w:color w:val="auto"/>
              </w:rPr>
              <w:t>135,000</w:t>
            </w:r>
          </w:p>
        </w:tc>
        <w:tc>
          <w:tcPr>
            <w:tcW w:w="2740" w:type="dxa"/>
            <w:vAlign w:val="bottom"/>
            <w:shd w:val="clear" w:color="auto" w:fill="D8D8D8"/>
          </w:tcPr>
          <w:p>
            <w:pPr>
              <w:jc w:val="center"/>
              <w:spacing w:after="0"/>
              <w:rPr>
                <w:sz w:val="20"/>
                <w:szCs w:val="20"/>
                <w:color w:val="auto"/>
              </w:rPr>
            </w:pPr>
            <w:r>
              <w:rPr>
                <w:rFonts w:ascii="Arial" w:cs="Arial" w:eastAsia="Arial" w:hAnsi="Arial"/>
                <w:sz w:val="16"/>
                <w:szCs w:val="16"/>
                <w:color w:val="auto"/>
              </w:rPr>
              <w:t>129,965</w:t>
            </w:r>
          </w:p>
        </w:tc>
        <w:tc>
          <w:tcPr>
            <w:tcW w:w="1420" w:type="dxa"/>
            <w:vAlign w:val="bottom"/>
            <w:shd w:val="clear" w:color="auto" w:fill="D8D8D8"/>
          </w:tcPr>
          <w:p>
            <w:pPr>
              <w:jc w:val="center"/>
              <w:ind w:left="399"/>
              <w:spacing w:after="0"/>
              <w:rPr>
                <w:sz w:val="20"/>
                <w:szCs w:val="20"/>
                <w:color w:val="auto"/>
              </w:rPr>
            </w:pPr>
            <w:r>
              <w:rPr>
                <w:rFonts w:ascii="Arial" w:cs="Arial" w:eastAsia="Arial" w:hAnsi="Arial"/>
                <w:sz w:val="16"/>
                <w:szCs w:val="16"/>
                <w:color w:val="auto"/>
              </w:rPr>
              <w:t>264,965</w:t>
            </w:r>
          </w:p>
        </w:tc>
      </w:tr>
    </w:tbl>
    <w:p>
      <w:pPr>
        <w:spacing w:after="0" w:line="53" w:lineRule="exact"/>
        <w:rPr>
          <w:sz w:val="20"/>
          <w:szCs w:val="20"/>
          <w:color w:val="auto"/>
        </w:rPr>
      </w:pPr>
    </w:p>
    <w:p>
      <w:pPr>
        <w:ind w:left="540" w:right="280" w:hanging="330"/>
        <w:spacing w:after="0" w:line="263" w:lineRule="auto"/>
        <w:tabs>
          <w:tab w:leader="none" w:pos="540" w:val="left"/>
        </w:tabs>
        <w:numPr>
          <w:ilvl w:val="0"/>
          <w:numId w:val="26"/>
        </w:numPr>
        <w:rPr>
          <w:rFonts w:ascii="Arial" w:cs="Arial" w:eastAsia="Arial" w:hAnsi="Arial"/>
          <w:sz w:val="16"/>
          <w:szCs w:val="16"/>
          <w:i w:val="1"/>
          <w:iCs w:val="1"/>
          <w:color w:val="auto"/>
        </w:rPr>
      </w:pPr>
      <w:r>
        <w:rPr>
          <w:rFonts w:ascii="Arial" w:cs="Arial" w:eastAsia="Arial" w:hAnsi="Arial"/>
          <w:sz w:val="16"/>
          <w:szCs w:val="16"/>
          <w:i w:val="1"/>
          <w:iCs w:val="1"/>
          <w:color w:val="auto"/>
        </w:rPr>
        <w:t>Amounts include the standard annual cash retainer, the Chairman’s additional cash retainer and the additional annual cash retainer for committee Chairs. Mr. Rethore retired from the Board effective as of the 2017 Annual Meeting. Mr. Livingston does not appear on this table because he is a management director and does not</w:t>
      </w:r>
    </w:p>
    <w:p>
      <w:pPr>
        <w:spacing w:after="0" w:line="10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28</w:t>
      </w:r>
    </w:p>
    <w:p>
      <w:pPr>
        <w:sectPr>
          <w:pgSz w:w="11900" w:h="16838" w:orient="portrait"/>
          <w:cols w:equalWidth="0" w:num="1">
            <w:col w:w="11220"/>
          </w:cols>
          <w:pgMar w:left="240" w:top="459"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PROPOSAL 1 — ELECTION OF DIRECTORS</w:t>
      </w:r>
    </w:p>
    <w:p>
      <w:pPr>
        <w:spacing w:after="0" w:line="157" w:lineRule="exact"/>
        <w:rPr>
          <w:sz w:val="20"/>
          <w:szCs w:val="20"/>
          <w:color w:val="auto"/>
        </w:rPr>
      </w:pPr>
    </w:p>
    <w:p>
      <w:pPr>
        <w:ind w:left="540" w:right="200"/>
        <w:spacing w:after="0" w:line="256" w:lineRule="auto"/>
        <w:rPr>
          <w:sz w:val="20"/>
          <w:szCs w:val="20"/>
          <w:color w:val="auto"/>
        </w:rPr>
      </w:pPr>
      <w:r>
        <w:rPr>
          <w:rFonts w:ascii="Arial" w:cs="Arial" w:eastAsia="Arial" w:hAnsi="Arial"/>
          <w:sz w:val="16"/>
          <w:szCs w:val="16"/>
          <w:i w:val="1"/>
          <w:iCs w:val="1"/>
          <w:color w:val="auto"/>
        </w:rPr>
        <w:t>receive any additional compensation for his service as a director. Mr. Spiegel was first elected to the Board on February 9, 2017; his compensation reflects his partial year of service.</w:t>
      </w:r>
    </w:p>
    <w:p>
      <w:pPr>
        <w:spacing w:after="0" w:line="1" w:lineRule="exact"/>
        <w:rPr>
          <w:sz w:val="20"/>
          <w:szCs w:val="20"/>
          <w:color w:val="auto"/>
        </w:rPr>
      </w:pPr>
    </w:p>
    <w:p>
      <w:pPr>
        <w:ind w:left="540" w:right="20" w:hanging="330"/>
        <w:spacing w:after="0" w:line="246" w:lineRule="auto"/>
        <w:tabs>
          <w:tab w:leader="none" w:pos="540" w:val="left"/>
        </w:tabs>
        <w:numPr>
          <w:ilvl w:val="0"/>
          <w:numId w:val="27"/>
        </w:numPr>
        <w:rPr>
          <w:rFonts w:ascii="Arial" w:cs="Arial" w:eastAsia="Arial" w:hAnsi="Arial"/>
          <w:sz w:val="16"/>
          <w:szCs w:val="16"/>
          <w:i w:val="1"/>
          <w:iCs w:val="1"/>
          <w:color w:val="auto"/>
        </w:rPr>
      </w:pPr>
      <w:r>
        <w:rPr>
          <w:rFonts w:ascii="Arial" w:cs="Arial" w:eastAsia="Arial" w:hAnsi="Arial"/>
          <w:sz w:val="16"/>
          <w:szCs w:val="16"/>
          <w:i w:val="1"/>
          <w:iCs w:val="1"/>
          <w:color w:val="auto"/>
        </w:rPr>
        <w:t>On November 15, 2017, each of Messrs. Stubbs and Wandell and Ms. Winston received 1,402 shares of common stock with an aggregate grant date fair market value of $129,965. Messrs. Francis, Lochridge, Tobin, Todd and Wagner and Ms. Graham each received 1,402 deferred stock units.</w:t>
      </w:r>
    </w:p>
    <w:p>
      <w:pPr>
        <w:ind w:left="540" w:right="20"/>
        <w:spacing w:after="0" w:line="260" w:lineRule="auto"/>
        <w:rPr>
          <w:rFonts w:ascii="Arial" w:cs="Arial" w:eastAsia="Arial" w:hAnsi="Arial"/>
          <w:sz w:val="16"/>
          <w:szCs w:val="16"/>
          <w:i w:val="1"/>
          <w:iCs w:val="1"/>
          <w:color w:val="auto"/>
        </w:rPr>
      </w:pPr>
      <w:r>
        <w:rPr>
          <w:rFonts w:ascii="Arial" w:cs="Arial" w:eastAsia="Arial" w:hAnsi="Arial"/>
          <w:sz w:val="16"/>
          <w:szCs w:val="16"/>
          <w:i w:val="1"/>
          <w:iCs w:val="1"/>
          <w:color w:val="auto"/>
        </w:rPr>
        <w:t>Mr. Johnston received 1,672 deferred stock units. Mr. Spiegel received 1,253 deferred stock units. Mr. Rethore received 688 shares of common stock with an aggregate date fair market value of $63,778.</w:t>
      </w:r>
    </w:p>
    <w:p>
      <w:pPr>
        <w:spacing w:after="0" w:line="10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29</w:t>
      </w:r>
    </w:p>
    <w:p>
      <w:pPr>
        <w:sectPr>
          <w:pgSz w:w="11900" w:h="16838" w:orient="portrait"/>
          <w:cols w:equalWidth="0" w:num="1">
            <w:col w:w="11220"/>
          </w:cols>
          <w:pgMar w:left="240" w:top="459" w:right="4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76" w:lineRule="exact"/>
        <w:rPr>
          <w:sz w:val="20"/>
          <w:szCs w:val="20"/>
          <w:color w:val="auto"/>
        </w:rPr>
      </w:pPr>
    </w:p>
    <w:p>
      <w:pPr>
        <w:ind w:left="220" w:right="1220"/>
        <w:spacing w:after="0" w:line="280" w:lineRule="auto"/>
        <w:rPr>
          <w:sz w:val="20"/>
          <w:szCs w:val="20"/>
          <w:color w:val="auto"/>
        </w:rPr>
      </w:pPr>
      <w:r>
        <w:rPr>
          <w:rFonts w:ascii="Arial" w:cs="Arial" w:eastAsia="Arial" w:hAnsi="Arial"/>
          <w:sz w:val="36"/>
          <w:szCs w:val="36"/>
          <w:b w:val="1"/>
          <w:bCs w:val="1"/>
          <w:color w:val="32406B"/>
        </w:rPr>
        <w:t>Proposal 2 — Ratification of Appointment of Independent Registered Public Accounting Firm</w:t>
      </w:r>
    </w:p>
    <w:p>
      <w:pPr>
        <w:spacing w:after="0" w:line="136" w:lineRule="exact"/>
        <w:rPr>
          <w:sz w:val="20"/>
          <w:szCs w:val="20"/>
          <w:color w:val="auto"/>
        </w:rPr>
      </w:pPr>
    </w:p>
    <w:p>
      <w:pPr>
        <w:ind w:left="220"/>
        <w:spacing w:after="0" w:line="253" w:lineRule="auto"/>
        <w:rPr>
          <w:sz w:val="20"/>
          <w:szCs w:val="20"/>
          <w:color w:val="auto"/>
        </w:rPr>
      </w:pPr>
      <w:r>
        <w:rPr>
          <w:rFonts w:ascii="Arial" w:cs="Arial" w:eastAsia="Arial" w:hAnsi="Arial"/>
          <w:sz w:val="16"/>
          <w:szCs w:val="16"/>
          <w:color w:val="auto"/>
        </w:rPr>
        <w:t>The Audit Committee has appointed the independent registered public accounting firm of PwC to audit the annual accounts of Dover and its subsidiaries for 2018. PwC has audited the financial statements for the Company for more than three years. Representatives of PwC are not expected to be present at the Annual Meeting.</w:t>
      </w:r>
    </w:p>
    <w:p>
      <w:pPr>
        <w:spacing w:after="0" w:line="201" w:lineRule="exact"/>
        <w:rPr>
          <w:sz w:val="20"/>
          <w:szCs w:val="20"/>
          <w:color w:val="auto"/>
        </w:rPr>
      </w:pPr>
    </w:p>
    <w:p>
      <w:pPr>
        <w:ind w:left="220" w:right="180"/>
        <w:spacing w:after="0" w:line="249" w:lineRule="auto"/>
        <w:rPr>
          <w:sz w:val="20"/>
          <w:szCs w:val="20"/>
          <w:color w:val="auto"/>
        </w:rPr>
      </w:pPr>
      <w:r>
        <w:rPr>
          <w:rFonts w:ascii="Arial" w:cs="Arial" w:eastAsia="Arial" w:hAnsi="Arial"/>
          <w:sz w:val="16"/>
          <w:szCs w:val="16"/>
          <w:color w:val="auto"/>
        </w:rPr>
        <w:t>Although shareholder ratification of PwC’s appointment is not required by Dover’s by-laws or otherwise, our Board is submitting the ratification of PwC’s appointment for the year 2018 to Dover’s shareholders. If the shareholders do not ratify the appointment of PwC, the Audit Committee will reconsider whether or not to retain PwC as Dover’s independent registered public accounting firm for the year 2018 but will not be obligated to terminate the appointment. Even if the shareholders ratify the appointment of PwC, the Audit Committee in its discretion may direct the appointment of a different independent registered public accounting firm at any time during the year if the Audit Committee determines that such a change would be in Dover’s interests.</w:t>
      </w:r>
    </w:p>
    <w:p>
      <w:pPr>
        <w:spacing w:after="0" w:line="184" w:lineRule="exact"/>
        <w:rPr>
          <w:sz w:val="20"/>
          <w:szCs w:val="20"/>
          <w:color w:val="auto"/>
        </w:rPr>
      </w:pPr>
    </w:p>
    <w:p>
      <w:pPr>
        <w:jc w:val="center"/>
        <w:ind w:left="440" w:right="140"/>
        <w:spacing w:after="0" w:line="286" w:lineRule="auto"/>
        <w:rPr>
          <w:sz w:val="20"/>
          <w:szCs w:val="20"/>
          <w:color w:val="auto"/>
        </w:rPr>
      </w:pPr>
      <w:r>
        <w:rPr>
          <w:rFonts w:ascii="Arial" w:cs="Arial" w:eastAsia="Arial" w:hAnsi="Arial"/>
          <w:sz w:val="16"/>
          <w:szCs w:val="16"/>
          <w:b w:val="1"/>
          <w:bCs w:val="1"/>
          <w:color w:val="32406B"/>
        </w:rPr>
        <w:t>THE BOARD RECOMMENDS A VOTE “FOR” RATIFICATION OF THE APPOINTMENT OF PWC AS OUR INDEPENDENT REGISTERED PUBLIC ACCOUNTING FIRM FOR THE YEAR 2018.</w:t>
      </w:r>
    </w:p>
    <w:p>
      <w:pPr>
        <w:spacing w:after="0" w:line="8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30</w:t>
      </w:r>
    </w:p>
    <w:p>
      <w:pPr>
        <w:sectPr>
          <w:pgSz w:w="11900" w:h="16838" w:orient="portrait"/>
          <w:cols w:equalWidth="0" w:num="1">
            <w:col w:w="11220"/>
          </w:cols>
          <w:pgMar w:left="240" w:top="459" w:right="4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PROPOSAL 2 — RATIFICATION OF APPOINTMENT OF INDEPENDENT REGISTERED PUBLIC ACCOUNTING FIRM</w:t>
      </w:r>
    </w:p>
    <w:p>
      <w:pPr>
        <w:spacing w:after="0" w:line="314" w:lineRule="exact"/>
        <w:rPr>
          <w:sz w:val="20"/>
          <w:szCs w:val="20"/>
          <w:color w:val="auto"/>
        </w:rPr>
      </w:pPr>
    </w:p>
    <w:p>
      <w:pPr>
        <w:ind w:left="380"/>
        <w:spacing w:after="0"/>
        <w:rPr>
          <w:sz w:val="20"/>
          <w:szCs w:val="20"/>
          <w:color w:val="auto"/>
        </w:rPr>
      </w:pPr>
      <w:r>
        <w:rPr>
          <w:rFonts w:ascii="Arial" w:cs="Arial" w:eastAsia="Arial" w:hAnsi="Arial"/>
          <w:sz w:val="22"/>
          <w:szCs w:val="22"/>
          <w:b w:val="1"/>
          <w:bCs w:val="1"/>
          <w:color w:val="32406B"/>
        </w:rPr>
        <w:t>Audit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91440</wp:posOffset>
            </wp:positionV>
            <wp:extent cx="6784340" cy="53111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784340" cy="531114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27" w:lineRule="exact"/>
        <w:rPr>
          <w:sz w:val="20"/>
          <w:szCs w:val="20"/>
          <w:color w:val="auto"/>
        </w:rPr>
      </w:pPr>
    </w:p>
    <w:p>
      <w:pPr>
        <w:ind w:left="460" w:right="120"/>
        <w:spacing w:after="0" w:line="249" w:lineRule="auto"/>
        <w:rPr>
          <w:sz w:val="20"/>
          <w:szCs w:val="20"/>
          <w:color w:val="auto"/>
        </w:rPr>
      </w:pPr>
      <w:r>
        <w:rPr>
          <w:rFonts w:ascii="Arial" w:cs="Arial" w:eastAsia="Arial" w:hAnsi="Arial"/>
          <w:sz w:val="16"/>
          <w:szCs w:val="16"/>
          <w:color w:val="auto"/>
        </w:rPr>
        <w:t>The Audit Committee is composed of directors who, in the opinion of the Board, are independent and financially literate under NYSE rules and qualify as audit committee financial experts as defined by the SEC. Information concerning the credentials of the Audit Committee members can be found in the section of this proxy statement entitled “Proposal 1 — Election of Directors”.</w:t>
      </w:r>
    </w:p>
    <w:p>
      <w:pPr>
        <w:spacing w:after="0" w:line="69" w:lineRule="exact"/>
        <w:rPr>
          <w:sz w:val="20"/>
          <w:szCs w:val="20"/>
          <w:color w:val="auto"/>
        </w:rPr>
      </w:pPr>
    </w:p>
    <w:p>
      <w:pPr>
        <w:ind w:left="460" w:right="20"/>
        <w:spacing w:after="0" w:line="249" w:lineRule="auto"/>
        <w:rPr>
          <w:sz w:val="20"/>
          <w:szCs w:val="20"/>
          <w:color w:val="auto"/>
        </w:rPr>
      </w:pPr>
      <w:r>
        <w:rPr>
          <w:rFonts w:ascii="Arial" w:cs="Arial" w:eastAsia="Arial" w:hAnsi="Arial"/>
          <w:sz w:val="16"/>
          <w:szCs w:val="16"/>
          <w:color w:val="auto"/>
        </w:rPr>
        <w:t>The Audit Committee operates under a written charter adopted by the Board and available on Dover’s website. The Audit Committee assists the Board in overseeing the quality and integrity of Dover’s financial statements, compliance with legal and regulatory requirements, the qualifications, performance and independence of the independent auditors, and the performance of the internal audit function.</w:t>
      </w:r>
    </w:p>
    <w:p>
      <w:pPr>
        <w:spacing w:after="0" w:line="55" w:lineRule="exact"/>
        <w:rPr>
          <w:sz w:val="20"/>
          <w:szCs w:val="20"/>
          <w:color w:val="auto"/>
        </w:rPr>
      </w:pPr>
    </w:p>
    <w:p>
      <w:pPr>
        <w:ind w:left="460" w:right="80"/>
        <w:spacing w:after="0" w:line="247" w:lineRule="auto"/>
        <w:rPr>
          <w:sz w:val="20"/>
          <w:szCs w:val="20"/>
          <w:color w:val="auto"/>
        </w:rPr>
      </w:pPr>
      <w:r>
        <w:rPr>
          <w:rFonts w:ascii="Arial" w:cs="Arial" w:eastAsia="Arial" w:hAnsi="Arial"/>
          <w:sz w:val="16"/>
          <w:szCs w:val="16"/>
          <w:color w:val="auto"/>
        </w:rPr>
        <w:t>Among other things, the Audit Committee appoints the Company’s independent auditors and is directly involved in the selection of the lead audit engagement partner, discusses with the internal audit function and independent auditors the overall scope and plans for their respective audits, reviews the Company’s accounting policies and system of internal controls, reviews significant financial transactions, discusses with management and with the Board processes relating to risk management, pre-approves audit and permissible non-audit services provided by the independent auditors, and approves all fees paid to the independent auditors for such services.</w:t>
      </w:r>
    </w:p>
    <w:p>
      <w:pPr>
        <w:spacing w:after="0" w:line="62" w:lineRule="exact"/>
        <w:rPr>
          <w:sz w:val="20"/>
          <w:szCs w:val="20"/>
          <w:color w:val="auto"/>
        </w:rPr>
      </w:pPr>
    </w:p>
    <w:p>
      <w:pPr>
        <w:ind w:left="460" w:right="80"/>
        <w:spacing w:after="0" w:line="247" w:lineRule="auto"/>
        <w:rPr>
          <w:sz w:val="20"/>
          <w:szCs w:val="20"/>
          <w:color w:val="auto"/>
        </w:rPr>
      </w:pPr>
      <w:r>
        <w:rPr>
          <w:rFonts w:ascii="Arial" w:cs="Arial" w:eastAsia="Arial" w:hAnsi="Arial"/>
          <w:sz w:val="16"/>
          <w:szCs w:val="16"/>
          <w:color w:val="auto"/>
        </w:rPr>
        <w:t>For 2017, the Audit Committee engaged the independent registered public accounting firm PwC as Dover’s independent auditor. In selecting PwC, the Audit Committee considered, among other things: the experience and qualifications of the lead audit partner and other senior members of the PwC team; PwC’s historical performance on Dover’s audit and the quality of its communications with the Audit Committee; the results of the most recent internal quality control review or Public Company Accounting Oversight Board (“PCAOB”) inspection; PwC’s independence; its reputation for integrity and competence in the fields of accounting and auditing; the appropriateness of its fees; and its tenure as Dover’s independent auditors, including its understanding of the Company’s global businesses, accounting policies and practices, and internal control over financial reporting.</w:t>
      </w:r>
    </w:p>
    <w:p>
      <w:pPr>
        <w:spacing w:after="0" w:line="74" w:lineRule="exact"/>
        <w:rPr>
          <w:sz w:val="20"/>
          <w:szCs w:val="20"/>
          <w:color w:val="auto"/>
        </w:rPr>
      </w:pPr>
    </w:p>
    <w:p>
      <w:pPr>
        <w:ind w:left="460"/>
        <w:spacing w:after="0" w:line="253" w:lineRule="auto"/>
        <w:rPr>
          <w:sz w:val="20"/>
          <w:szCs w:val="20"/>
          <w:color w:val="auto"/>
        </w:rPr>
      </w:pPr>
      <w:r>
        <w:rPr>
          <w:rFonts w:ascii="Arial" w:cs="Arial" w:eastAsia="Arial" w:hAnsi="Arial"/>
          <w:sz w:val="16"/>
          <w:szCs w:val="16"/>
          <w:color w:val="auto"/>
        </w:rPr>
        <w:t>The Audit Committee discussed with PwC the overall scope and plans for the audit of Dover’s 2017 financial statements. The Audit Committee met with PwC, with</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jc w:val="both"/>
        <w:ind w:right="720"/>
        <w:spacing w:after="0" w:line="253" w:lineRule="auto"/>
        <w:rPr>
          <w:sz w:val="20"/>
          <w:szCs w:val="20"/>
          <w:color w:val="auto"/>
        </w:rPr>
      </w:pPr>
      <w:r>
        <w:rPr>
          <w:rFonts w:ascii="Arial" w:cs="Arial" w:eastAsia="Arial" w:hAnsi="Arial"/>
          <w:sz w:val="16"/>
          <w:szCs w:val="16"/>
          <w:color w:val="auto"/>
        </w:rPr>
        <w:t>and without management present, to discuss the results of PwC’s examination, their assessment of internal controls and the overall quality of financial reporting.</w:t>
      </w:r>
    </w:p>
    <w:p>
      <w:pPr>
        <w:spacing w:after="0" w:line="66" w:lineRule="exact"/>
        <w:rPr>
          <w:sz w:val="20"/>
          <w:szCs w:val="20"/>
          <w:color w:val="auto"/>
        </w:rPr>
      </w:pPr>
    </w:p>
    <w:p>
      <w:pPr>
        <w:ind w:right="380"/>
        <w:spacing w:after="0" w:line="248" w:lineRule="auto"/>
        <w:rPr>
          <w:sz w:val="20"/>
          <w:szCs w:val="20"/>
          <w:color w:val="auto"/>
        </w:rPr>
      </w:pPr>
      <w:r>
        <w:rPr>
          <w:rFonts w:ascii="Arial" w:cs="Arial" w:eastAsia="Arial" w:hAnsi="Arial"/>
          <w:sz w:val="16"/>
          <w:szCs w:val="16"/>
          <w:color w:val="auto"/>
        </w:rPr>
        <w:t>The Audit Committee reviewed and discussed, with both the management of Dover and PwC, Dover’s 2017 audited financial statements, including a discussion of critical accounting policies, the quality, not just the acceptability, of the accounting principles followed, the reasonableness of significant judgments reflected in such financial statements and the clarity of disclosures in the financial statements. The Audit Committee met a total of ten times in 2017 and 2018 to discuss 2017 quarterly and full-year financial results and related disclosures.</w:t>
      </w:r>
    </w:p>
    <w:p>
      <w:pPr>
        <w:spacing w:after="0" w:line="56" w:lineRule="exact"/>
        <w:rPr>
          <w:sz w:val="20"/>
          <w:szCs w:val="20"/>
          <w:color w:val="auto"/>
        </w:rPr>
      </w:pPr>
    </w:p>
    <w:p>
      <w:pPr>
        <w:ind w:right="260"/>
        <w:spacing w:after="0" w:line="247" w:lineRule="auto"/>
        <w:rPr>
          <w:sz w:val="20"/>
          <w:szCs w:val="20"/>
          <w:color w:val="auto"/>
        </w:rPr>
      </w:pPr>
      <w:r>
        <w:rPr>
          <w:rFonts w:ascii="Arial" w:cs="Arial" w:eastAsia="Arial" w:hAnsi="Arial"/>
          <w:sz w:val="16"/>
          <w:szCs w:val="16"/>
          <w:color w:val="auto"/>
        </w:rPr>
        <w:t>The Audit Committee has received the written disclosures and the Rule 3526 letter from PwC required by the applicable requirements of PCAOB regarding the independent auditor’s communications with the Audit Committee concerning independence, and discussed with PwC its independence, including the impact of any relationships or permitted non-auditing services on PwC’s independence. The Audit Committee also discussed with PwC the matters required to be discussed under PCAOB Auditing Standard No. 1301. The Audit Committee has also received written materials addressing PwC’s internal control procedures and other matters required by NYSE listing standards.</w:t>
      </w:r>
    </w:p>
    <w:p>
      <w:pPr>
        <w:spacing w:after="0" w:line="62" w:lineRule="exact"/>
        <w:rPr>
          <w:sz w:val="20"/>
          <w:szCs w:val="20"/>
          <w:color w:val="auto"/>
        </w:rPr>
      </w:pPr>
    </w:p>
    <w:p>
      <w:pPr>
        <w:ind w:right="400"/>
        <w:spacing w:after="0" w:line="250" w:lineRule="auto"/>
        <w:rPr>
          <w:sz w:val="20"/>
          <w:szCs w:val="20"/>
          <w:color w:val="auto"/>
        </w:rPr>
      </w:pPr>
      <w:r>
        <w:rPr>
          <w:rFonts w:ascii="Arial" w:cs="Arial" w:eastAsia="Arial" w:hAnsi="Arial"/>
          <w:sz w:val="16"/>
          <w:szCs w:val="16"/>
          <w:color w:val="auto"/>
        </w:rPr>
        <w:t>Based upon the review and discussions referred to above, the Audit Committee recommended that the audited financial statements for the year ended December 31, 2017 be included in Dover’s Annual Report on Form 10-K.</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Audit Committee:</w:t>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color w:val="auto"/>
        </w:rPr>
        <w:t>Mary A. Winston (Chair)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Eric A. Spiegel</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Michael B. Stubbs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Stephen M. Todd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Stephen K. Wagner</w:t>
      </w:r>
    </w:p>
    <w:p>
      <w:pPr>
        <w:spacing w:after="0" w:line="164" w:lineRule="exact"/>
        <w:rPr>
          <w:sz w:val="20"/>
          <w:szCs w:val="20"/>
          <w:color w:val="auto"/>
        </w:rPr>
      </w:pPr>
    </w:p>
    <w:p>
      <w:pPr>
        <w:ind w:right="300"/>
        <w:spacing w:after="0" w:line="254" w:lineRule="auto"/>
        <w:rPr>
          <w:sz w:val="20"/>
          <w:szCs w:val="20"/>
          <w:color w:val="auto"/>
        </w:rPr>
      </w:pPr>
      <w:r>
        <w:rPr>
          <w:rFonts w:ascii="Arial" w:cs="Arial" w:eastAsia="Arial" w:hAnsi="Arial"/>
          <w:sz w:val="16"/>
          <w:szCs w:val="16"/>
          <w:i w:val="1"/>
          <w:iCs w:val="1"/>
          <w:color w:val="auto"/>
        </w:rPr>
        <w:t>This report does not constitute “soliciting material” and shall not be deemed filed or incorporated by reference into any filing under the Securities Act of 1933 or under the Securities Exchange Act of 1934, except to the extent we specifically incorporate this report by reference, and shall not otherwise be deemed filed under such Acts.</w:t>
      </w:r>
    </w:p>
    <w:p>
      <w:pPr>
        <w:spacing w:after="0" w:line="525" w:lineRule="exact"/>
        <w:rPr>
          <w:sz w:val="20"/>
          <w:szCs w:val="20"/>
          <w:color w:val="auto"/>
        </w:rPr>
      </w:pPr>
    </w:p>
    <w:p>
      <w:pPr>
        <w:sectPr>
          <w:pgSz w:w="11900" w:h="16838" w:orient="portrait"/>
          <w:cols w:equalWidth="0" w:num="2">
            <w:col w:w="5480" w:space="340"/>
            <w:col w:w="5400"/>
          </w:cols>
          <w:pgMar w:left="240" w:top="459"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7380"/>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31</w:t>
      </w:r>
    </w:p>
    <w:p>
      <w:pPr>
        <w:sectPr>
          <w:pgSz w:w="11900" w:h="16838" w:orient="portrait"/>
          <w:cols w:equalWidth="0" w:num="1">
            <w:col w:w="11220"/>
          </w:cols>
          <w:pgMar w:left="240" w:top="459" w:right="439" w:bottom="1440"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PROPOSAL 2 — RATIFICATION OF APPOINTMENT OF INDEPENDENT REGISTERED PUBLIC ACCOUNTING FIRM</w:t>
      </w:r>
    </w:p>
    <w:p>
      <w:pPr>
        <w:spacing w:after="0" w:line="139"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32406B"/>
        </w:rPr>
        <w:t>Fees Paid to Independent Registered Public Accounting Firm</w:t>
      </w:r>
    </w:p>
    <w:p>
      <w:pPr>
        <w:spacing w:after="0" w:line="10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Fees paid to, or accrued for, PwC for services to us and our subsidiaries for 2017 and 2016 (including reimbursable expenses) were as follows:</w:t>
      </w:r>
    </w:p>
    <w:p>
      <w:pPr>
        <w:spacing w:after="0" w:line="226" w:lineRule="exact"/>
        <w:rPr>
          <w:sz w:val="20"/>
          <w:szCs w:val="20"/>
          <w:color w:val="auto"/>
        </w:rPr>
      </w:pPr>
    </w:p>
    <w:tbl>
      <w:tblPr>
        <w:tblLayout w:type="fixed"/>
        <w:tblInd w:w="1540" w:type="dxa"/>
        <w:tblCellMar>
          <w:top w:w="0" w:type="dxa"/>
          <w:left w:w="0" w:type="dxa"/>
          <w:bottom w:w="0" w:type="dxa"/>
          <w:right w:w="0" w:type="dxa"/>
        </w:tblCellMar>
      </w:tblPr>
      <w:tr>
        <w:trPr>
          <w:trHeight w:val="202"/>
        </w:trPr>
        <w:tc>
          <w:tcPr>
            <w:tcW w:w="3360" w:type="dxa"/>
            <w:vAlign w:val="bottom"/>
            <w:tcBorders>
              <w:top w:val="single" w:sz="8" w:color="auto"/>
              <w:right w:val="single" w:sz="8" w:color="999999"/>
            </w:tcBorders>
            <w:shd w:val="clear" w:color="auto" w:fill="32406B"/>
          </w:tcPr>
          <w:p>
            <w:pPr>
              <w:spacing w:after="0"/>
              <w:rPr>
                <w:sz w:val="17"/>
                <w:szCs w:val="17"/>
                <w:color w:val="auto"/>
              </w:rPr>
            </w:pPr>
          </w:p>
        </w:tc>
        <w:tc>
          <w:tcPr>
            <w:tcW w:w="140" w:type="dxa"/>
            <w:vAlign w:val="bottom"/>
            <w:tcBorders>
              <w:top w:val="single" w:sz="8" w:color="auto"/>
            </w:tcBorders>
            <w:shd w:val="clear" w:color="auto" w:fill="32406B"/>
          </w:tcPr>
          <w:p>
            <w:pPr>
              <w:spacing w:after="0"/>
              <w:rPr>
                <w:sz w:val="17"/>
                <w:szCs w:val="17"/>
                <w:color w:val="auto"/>
              </w:rPr>
            </w:pPr>
          </w:p>
        </w:tc>
        <w:tc>
          <w:tcPr>
            <w:tcW w:w="340" w:type="dxa"/>
            <w:vAlign w:val="bottom"/>
            <w:tcBorders>
              <w:top w:val="single" w:sz="8" w:color="auto"/>
            </w:tcBorders>
            <w:shd w:val="clear" w:color="auto" w:fill="32406B"/>
          </w:tcPr>
          <w:p>
            <w:pPr>
              <w:spacing w:after="0"/>
              <w:rPr>
                <w:sz w:val="17"/>
                <w:szCs w:val="17"/>
                <w:color w:val="auto"/>
              </w:rPr>
            </w:pPr>
          </w:p>
        </w:tc>
        <w:tc>
          <w:tcPr>
            <w:tcW w:w="1180" w:type="dxa"/>
            <w:vAlign w:val="bottom"/>
            <w:tcBorders>
              <w:top w:val="single" w:sz="8" w:color="auto"/>
            </w:tcBorders>
            <w:shd w:val="clear" w:color="auto" w:fill="32406B"/>
          </w:tcPr>
          <w:p>
            <w:pPr>
              <w:jc w:val="right"/>
              <w:ind w:right="499"/>
              <w:spacing w:after="0"/>
              <w:rPr>
                <w:sz w:val="20"/>
                <w:szCs w:val="20"/>
                <w:color w:val="auto"/>
              </w:rPr>
            </w:pPr>
            <w:r>
              <w:rPr>
                <w:rFonts w:ascii="Arial" w:cs="Arial" w:eastAsia="Arial" w:hAnsi="Arial"/>
                <w:sz w:val="16"/>
                <w:szCs w:val="16"/>
                <w:b w:val="1"/>
                <w:bCs w:val="1"/>
                <w:color w:val="FFFFFF"/>
              </w:rPr>
              <w:t>2017</w:t>
            </w:r>
          </w:p>
        </w:tc>
        <w:tc>
          <w:tcPr>
            <w:tcW w:w="580" w:type="dxa"/>
            <w:vAlign w:val="bottom"/>
            <w:tcBorders>
              <w:top w:val="single" w:sz="8" w:color="auto"/>
            </w:tcBorders>
            <w:shd w:val="clear" w:color="auto" w:fill="32406B"/>
          </w:tcPr>
          <w:p>
            <w:pPr>
              <w:spacing w:after="0"/>
              <w:rPr>
                <w:sz w:val="17"/>
                <w:szCs w:val="17"/>
                <w:color w:val="auto"/>
              </w:rPr>
            </w:pPr>
          </w:p>
        </w:tc>
        <w:tc>
          <w:tcPr>
            <w:tcW w:w="580" w:type="dxa"/>
            <w:vAlign w:val="bottom"/>
            <w:tcBorders>
              <w:top w:val="single" w:sz="8" w:color="auto"/>
            </w:tcBorders>
            <w:shd w:val="clear" w:color="auto" w:fill="32406B"/>
          </w:tcPr>
          <w:p>
            <w:pPr>
              <w:spacing w:after="0"/>
              <w:rPr>
                <w:sz w:val="17"/>
                <w:szCs w:val="17"/>
                <w:color w:val="auto"/>
              </w:rPr>
            </w:pPr>
          </w:p>
        </w:tc>
        <w:tc>
          <w:tcPr>
            <w:tcW w:w="320" w:type="dxa"/>
            <w:vAlign w:val="bottom"/>
            <w:tcBorders>
              <w:top w:val="single" w:sz="8" w:color="auto"/>
            </w:tcBorders>
            <w:shd w:val="clear" w:color="auto" w:fill="32406B"/>
          </w:tcPr>
          <w:p>
            <w:pPr>
              <w:spacing w:after="0"/>
              <w:rPr>
                <w:sz w:val="17"/>
                <w:szCs w:val="17"/>
                <w:color w:val="auto"/>
              </w:rPr>
            </w:pPr>
          </w:p>
        </w:tc>
        <w:tc>
          <w:tcPr>
            <w:tcW w:w="1200" w:type="dxa"/>
            <w:vAlign w:val="bottom"/>
            <w:tcBorders>
              <w:top w:val="single" w:sz="8" w:color="auto"/>
            </w:tcBorders>
            <w:shd w:val="clear" w:color="auto" w:fill="32406B"/>
          </w:tcPr>
          <w:p>
            <w:pPr>
              <w:jc w:val="right"/>
              <w:ind w:right="499"/>
              <w:spacing w:after="0"/>
              <w:rPr>
                <w:sz w:val="20"/>
                <w:szCs w:val="20"/>
                <w:color w:val="auto"/>
              </w:rPr>
            </w:pPr>
            <w:r>
              <w:rPr>
                <w:rFonts w:ascii="Arial" w:cs="Arial" w:eastAsia="Arial" w:hAnsi="Arial"/>
                <w:sz w:val="16"/>
                <w:szCs w:val="16"/>
                <w:b w:val="1"/>
                <w:bCs w:val="1"/>
                <w:color w:val="FFFFFF"/>
              </w:rPr>
              <w:t>2016</w:t>
            </w:r>
          </w:p>
        </w:tc>
        <w:tc>
          <w:tcPr>
            <w:tcW w:w="660" w:type="dxa"/>
            <w:vAlign w:val="bottom"/>
            <w:tcBorders>
              <w:top w:val="single" w:sz="8" w:color="auto"/>
            </w:tcBorders>
            <w:shd w:val="clear" w:color="auto" w:fill="32406B"/>
          </w:tcPr>
          <w:p>
            <w:pPr>
              <w:spacing w:after="0"/>
              <w:rPr>
                <w:sz w:val="17"/>
                <w:szCs w:val="17"/>
                <w:color w:val="auto"/>
              </w:rPr>
            </w:pPr>
          </w:p>
        </w:tc>
      </w:tr>
      <w:tr>
        <w:trPr>
          <w:trHeight w:val="256"/>
        </w:trPr>
        <w:tc>
          <w:tcPr>
            <w:tcW w:w="3360" w:type="dxa"/>
            <w:vAlign w:val="bottom"/>
            <w:tcBorders>
              <w:right w:val="single" w:sz="8" w:color="999999"/>
            </w:tcBorders>
            <w:shd w:val="clear" w:color="auto" w:fill="D8D8D8"/>
          </w:tcPr>
          <w:p>
            <w:pPr>
              <w:ind w:left="40"/>
              <w:spacing w:after="0"/>
              <w:rPr>
                <w:sz w:val="20"/>
                <w:szCs w:val="20"/>
                <w:color w:val="auto"/>
              </w:rPr>
            </w:pPr>
            <w:r>
              <w:rPr>
                <w:rFonts w:ascii="Arial" w:cs="Arial" w:eastAsia="Arial" w:hAnsi="Arial"/>
                <w:sz w:val="16"/>
                <w:szCs w:val="16"/>
                <w:b w:val="1"/>
                <w:bCs w:val="1"/>
                <w:color w:val="auto"/>
              </w:rPr>
              <w:t>AUDIT FEES</w:t>
            </w:r>
          </w:p>
        </w:tc>
        <w:tc>
          <w:tcPr>
            <w:tcW w:w="140" w:type="dxa"/>
            <w:vAlign w:val="bottom"/>
            <w:shd w:val="clear" w:color="auto" w:fill="D8D8D8"/>
          </w:tcPr>
          <w:p>
            <w:pPr>
              <w:spacing w:after="0"/>
              <w:rPr>
                <w:sz w:val="22"/>
                <w:szCs w:val="22"/>
                <w:color w:val="auto"/>
              </w:rPr>
            </w:pPr>
          </w:p>
        </w:tc>
        <w:tc>
          <w:tcPr>
            <w:tcW w:w="340" w:type="dxa"/>
            <w:vAlign w:val="bottom"/>
            <w:shd w:val="clear" w:color="auto" w:fill="D8D8D8"/>
          </w:tcPr>
          <w:p>
            <w:pPr>
              <w:jc w:val="right"/>
              <w:ind w:right="184"/>
              <w:spacing w:after="0"/>
              <w:rPr>
                <w:sz w:val="20"/>
                <w:szCs w:val="20"/>
                <w:color w:val="auto"/>
              </w:rPr>
            </w:pPr>
            <w:r>
              <w:rPr>
                <w:rFonts w:ascii="Arial" w:cs="Arial" w:eastAsia="Arial" w:hAnsi="Arial"/>
                <w:sz w:val="15"/>
                <w:szCs w:val="15"/>
                <w:color w:val="auto"/>
                <w:w w:val="71"/>
              </w:rPr>
              <w:t>$</w:t>
            </w:r>
          </w:p>
        </w:tc>
        <w:tc>
          <w:tcPr>
            <w:tcW w:w="1760" w:type="dxa"/>
            <w:vAlign w:val="bottom"/>
            <w:gridSpan w:val="2"/>
            <w:shd w:val="clear" w:color="auto" w:fill="D8D8D8"/>
          </w:tcPr>
          <w:p>
            <w:pPr>
              <w:jc w:val="right"/>
              <w:ind w:right="580"/>
              <w:spacing w:after="0"/>
              <w:rPr>
                <w:sz w:val="20"/>
                <w:szCs w:val="20"/>
                <w:color w:val="auto"/>
              </w:rPr>
            </w:pPr>
            <w:r>
              <w:rPr>
                <w:rFonts w:ascii="Arial" w:cs="Arial" w:eastAsia="Arial" w:hAnsi="Arial"/>
                <w:sz w:val="16"/>
                <w:szCs w:val="16"/>
                <w:color w:val="auto"/>
              </w:rPr>
              <w:t>12,169,363</w:t>
            </w:r>
          </w:p>
        </w:tc>
        <w:tc>
          <w:tcPr>
            <w:tcW w:w="900" w:type="dxa"/>
            <w:vAlign w:val="bottom"/>
            <w:gridSpan w:val="2"/>
            <w:shd w:val="clear" w:color="auto" w:fill="D8D8D8"/>
          </w:tcPr>
          <w:p>
            <w:pPr>
              <w:jc w:val="right"/>
              <w:ind w:right="240"/>
              <w:spacing w:after="0"/>
              <w:rPr>
                <w:sz w:val="20"/>
                <w:szCs w:val="20"/>
                <w:color w:val="auto"/>
              </w:rPr>
            </w:pPr>
            <w:r>
              <w:rPr>
                <w:rFonts w:ascii="Arial" w:cs="Arial" w:eastAsia="Arial" w:hAnsi="Arial"/>
                <w:sz w:val="16"/>
                <w:szCs w:val="16"/>
                <w:color w:val="auto"/>
              </w:rPr>
              <w:t>$</w:t>
            </w:r>
          </w:p>
        </w:tc>
        <w:tc>
          <w:tcPr>
            <w:tcW w:w="1860" w:type="dxa"/>
            <w:vAlign w:val="bottom"/>
            <w:gridSpan w:val="2"/>
            <w:shd w:val="clear" w:color="auto" w:fill="D8D8D8"/>
          </w:tcPr>
          <w:p>
            <w:pPr>
              <w:jc w:val="right"/>
              <w:ind w:right="660"/>
              <w:spacing w:after="0"/>
              <w:rPr>
                <w:sz w:val="20"/>
                <w:szCs w:val="20"/>
                <w:color w:val="auto"/>
              </w:rPr>
            </w:pPr>
            <w:r>
              <w:rPr>
                <w:rFonts w:ascii="Arial" w:cs="Arial" w:eastAsia="Arial" w:hAnsi="Arial"/>
                <w:sz w:val="16"/>
                <w:szCs w:val="16"/>
                <w:color w:val="auto"/>
              </w:rPr>
              <w:t>8,446,948</w:t>
            </w:r>
          </w:p>
        </w:tc>
      </w:tr>
      <w:tr>
        <w:trPr>
          <w:trHeight w:val="247"/>
        </w:trPr>
        <w:tc>
          <w:tcPr>
            <w:tcW w:w="3360" w:type="dxa"/>
            <w:vAlign w:val="bottom"/>
            <w:tcBorders>
              <w:right w:val="single" w:sz="8" w:color="999999"/>
            </w:tcBorders>
          </w:tcPr>
          <w:p>
            <w:pPr>
              <w:ind w:left="40"/>
              <w:spacing w:after="0"/>
              <w:rPr>
                <w:sz w:val="20"/>
                <w:szCs w:val="20"/>
                <w:color w:val="auto"/>
              </w:rPr>
            </w:pPr>
            <w:r>
              <w:rPr>
                <w:rFonts w:ascii="Arial" w:cs="Arial" w:eastAsia="Arial" w:hAnsi="Arial"/>
                <w:sz w:val="16"/>
                <w:szCs w:val="16"/>
                <w:b w:val="1"/>
                <w:bCs w:val="1"/>
                <w:color w:val="auto"/>
              </w:rPr>
              <w:t>AUDIT-RELATED FEES</w:t>
            </w:r>
          </w:p>
        </w:tc>
        <w:tc>
          <w:tcPr>
            <w:tcW w:w="140" w:type="dxa"/>
            <w:vAlign w:val="bottom"/>
          </w:tcPr>
          <w:p>
            <w:pPr>
              <w:spacing w:after="0"/>
              <w:rPr>
                <w:sz w:val="21"/>
                <w:szCs w:val="21"/>
                <w:color w:val="auto"/>
              </w:rPr>
            </w:pP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400,000</w:t>
            </w:r>
          </w:p>
        </w:tc>
        <w:tc>
          <w:tcPr>
            <w:tcW w:w="580" w:type="dxa"/>
            <w:vAlign w:val="bottom"/>
          </w:tcPr>
          <w:p>
            <w:pPr>
              <w:spacing w:after="0"/>
              <w:rPr>
                <w:sz w:val="21"/>
                <w:szCs w:val="2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110,000</w:t>
            </w:r>
          </w:p>
        </w:tc>
        <w:tc>
          <w:tcPr>
            <w:tcW w:w="660" w:type="dxa"/>
            <w:vAlign w:val="bottom"/>
          </w:tcPr>
          <w:p>
            <w:pPr>
              <w:spacing w:after="0"/>
              <w:rPr>
                <w:sz w:val="21"/>
                <w:szCs w:val="21"/>
                <w:color w:val="auto"/>
              </w:rPr>
            </w:pPr>
          </w:p>
        </w:tc>
      </w:tr>
      <w:tr>
        <w:trPr>
          <w:trHeight w:val="266"/>
        </w:trPr>
        <w:tc>
          <w:tcPr>
            <w:tcW w:w="3360" w:type="dxa"/>
            <w:vAlign w:val="bottom"/>
            <w:tcBorders>
              <w:right w:val="single" w:sz="8" w:color="999999"/>
            </w:tcBorders>
            <w:shd w:val="clear" w:color="auto" w:fill="D8D8D8"/>
          </w:tcPr>
          <w:p>
            <w:pPr>
              <w:ind w:left="40"/>
              <w:spacing w:after="0"/>
              <w:rPr>
                <w:sz w:val="20"/>
                <w:szCs w:val="20"/>
                <w:color w:val="auto"/>
              </w:rPr>
            </w:pPr>
            <w:r>
              <w:rPr>
                <w:rFonts w:ascii="Arial" w:cs="Arial" w:eastAsia="Arial" w:hAnsi="Arial"/>
                <w:sz w:val="16"/>
                <w:szCs w:val="16"/>
                <w:b w:val="1"/>
                <w:bCs w:val="1"/>
                <w:color w:val="auto"/>
              </w:rPr>
              <w:t>TAX FEES</w:t>
            </w:r>
          </w:p>
        </w:tc>
        <w:tc>
          <w:tcPr>
            <w:tcW w:w="140" w:type="dxa"/>
            <w:vAlign w:val="bottom"/>
            <w:shd w:val="clear" w:color="auto" w:fill="D8D8D8"/>
          </w:tcPr>
          <w:p>
            <w:pPr>
              <w:spacing w:after="0"/>
              <w:rPr>
                <w:sz w:val="23"/>
                <w:szCs w:val="23"/>
                <w:color w:val="auto"/>
              </w:rPr>
            </w:pPr>
          </w:p>
        </w:tc>
        <w:tc>
          <w:tcPr>
            <w:tcW w:w="340" w:type="dxa"/>
            <w:vAlign w:val="bottom"/>
            <w:shd w:val="clear" w:color="auto" w:fill="D8D8D8"/>
          </w:tcPr>
          <w:p>
            <w:pPr>
              <w:jc w:val="right"/>
              <w:ind w:right="184"/>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D8D8D8"/>
          </w:tcPr>
          <w:p>
            <w:pPr>
              <w:jc w:val="right"/>
              <w:spacing w:after="0"/>
              <w:rPr>
                <w:sz w:val="20"/>
                <w:szCs w:val="20"/>
                <w:color w:val="auto"/>
              </w:rPr>
            </w:pPr>
            <w:r>
              <w:rPr>
                <w:rFonts w:ascii="Arial" w:cs="Arial" w:eastAsia="Arial" w:hAnsi="Arial"/>
                <w:sz w:val="16"/>
                <w:szCs w:val="16"/>
                <w:color w:val="auto"/>
              </w:rPr>
              <w:t>283,394</w:t>
            </w:r>
          </w:p>
        </w:tc>
        <w:tc>
          <w:tcPr>
            <w:tcW w:w="580" w:type="dxa"/>
            <w:vAlign w:val="bottom"/>
            <w:shd w:val="clear" w:color="auto" w:fill="D8D8D8"/>
          </w:tcPr>
          <w:p>
            <w:pPr>
              <w:spacing w:after="0"/>
              <w:rPr>
                <w:sz w:val="23"/>
                <w:szCs w:val="23"/>
                <w:color w:val="auto"/>
              </w:rPr>
            </w:pPr>
          </w:p>
        </w:tc>
        <w:tc>
          <w:tcPr>
            <w:tcW w:w="900" w:type="dxa"/>
            <w:vAlign w:val="bottom"/>
            <w:gridSpan w:val="2"/>
            <w:shd w:val="clear" w:color="auto" w:fill="D8D8D8"/>
          </w:tcPr>
          <w:p>
            <w:pPr>
              <w:jc w:val="right"/>
              <w:ind w:right="240"/>
              <w:spacing w:after="0"/>
              <w:rPr>
                <w:sz w:val="20"/>
                <w:szCs w:val="20"/>
                <w:color w:val="auto"/>
              </w:rPr>
            </w:pPr>
            <w:r>
              <w:rPr>
                <w:rFonts w:ascii="Arial" w:cs="Arial" w:eastAsia="Arial" w:hAnsi="Arial"/>
                <w:sz w:val="16"/>
                <w:szCs w:val="16"/>
                <w:color w:val="auto"/>
              </w:rPr>
              <w:t>$</w:t>
            </w:r>
          </w:p>
        </w:tc>
        <w:tc>
          <w:tcPr>
            <w:tcW w:w="1200" w:type="dxa"/>
            <w:vAlign w:val="bottom"/>
            <w:shd w:val="clear" w:color="auto" w:fill="D8D8D8"/>
          </w:tcPr>
          <w:p>
            <w:pPr>
              <w:jc w:val="right"/>
              <w:spacing w:after="0"/>
              <w:rPr>
                <w:sz w:val="20"/>
                <w:szCs w:val="20"/>
                <w:color w:val="auto"/>
              </w:rPr>
            </w:pPr>
            <w:r>
              <w:rPr>
                <w:rFonts w:ascii="Arial" w:cs="Arial" w:eastAsia="Arial" w:hAnsi="Arial"/>
                <w:sz w:val="16"/>
                <w:szCs w:val="16"/>
                <w:color w:val="auto"/>
              </w:rPr>
              <w:t>529,390</w:t>
            </w:r>
          </w:p>
        </w:tc>
        <w:tc>
          <w:tcPr>
            <w:tcW w:w="660" w:type="dxa"/>
            <w:vAlign w:val="bottom"/>
            <w:shd w:val="clear" w:color="auto" w:fill="D8D8D8"/>
          </w:tcPr>
          <w:p>
            <w:pPr>
              <w:spacing w:after="0"/>
              <w:rPr>
                <w:sz w:val="23"/>
                <w:szCs w:val="23"/>
                <w:color w:val="auto"/>
              </w:rPr>
            </w:pPr>
          </w:p>
        </w:tc>
      </w:tr>
      <w:tr>
        <w:trPr>
          <w:trHeight w:val="250"/>
        </w:trPr>
        <w:tc>
          <w:tcPr>
            <w:tcW w:w="3360" w:type="dxa"/>
            <w:vAlign w:val="bottom"/>
            <w:tcBorders>
              <w:right w:val="single" w:sz="8" w:color="999999"/>
            </w:tcBorders>
          </w:tcPr>
          <w:p>
            <w:pPr>
              <w:ind w:left="40"/>
              <w:spacing w:after="0"/>
              <w:rPr>
                <w:sz w:val="20"/>
                <w:szCs w:val="20"/>
                <w:color w:val="auto"/>
              </w:rPr>
            </w:pPr>
            <w:r>
              <w:rPr>
                <w:rFonts w:ascii="Arial" w:cs="Arial" w:eastAsia="Arial" w:hAnsi="Arial"/>
                <w:sz w:val="16"/>
                <w:szCs w:val="16"/>
                <w:b w:val="1"/>
                <w:bCs w:val="1"/>
                <w:color w:val="auto"/>
              </w:rPr>
              <w:t>ALL OTHER FEES</w:t>
            </w:r>
          </w:p>
        </w:tc>
        <w:tc>
          <w:tcPr>
            <w:tcW w:w="140" w:type="dxa"/>
            <w:vAlign w:val="bottom"/>
          </w:tcPr>
          <w:p>
            <w:pPr>
              <w:spacing w:after="0"/>
              <w:rPr>
                <w:sz w:val="21"/>
                <w:szCs w:val="21"/>
                <w:color w:val="auto"/>
              </w:rPr>
            </w:pP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1760" w:type="dxa"/>
            <w:vAlign w:val="bottom"/>
            <w:gridSpan w:val="2"/>
          </w:tcPr>
          <w:p>
            <w:pPr>
              <w:jc w:val="right"/>
              <w:ind w:right="580"/>
              <w:spacing w:after="0"/>
              <w:rPr>
                <w:sz w:val="20"/>
                <w:szCs w:val="20"/>
                <w:color w:val="auto"/>
              </w:rPr>
            </w:pPr>
            <w:r>
              <w:rPr>
                <w:rFonts w:ascii="Arial" w:cs="Arial" w:eastAsia="Arial" w:hAnsi="Arial"/>
                <w:sz w:val="16"/>
                <w:szCs w:val="16"/>
                <w:color w:val="auto"/>
              </w:rPr>
              <w:t>3,600</w:t>
            </w: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60" w:type="dxa"/>
            <w:vAlign w:val="bottom"/>
            <w:gridSpan w:val="2"/>
          </w:tcPr>
          <w:p>
            <w:pPr>
              <w:jc w:val="right"/>
              <w:ind w:right="660"/>
              <w:spacing w:after="0"/>
              <w:rPr>
                <w:sz w:val="20"/>
                <w:szCs w:val="20"/>
                <w:color w:val="auto"/>
              </w:rPr>
            </w:pPr>
            <w:r>
              <w:rPr>
                <w:rFonts w:ascii="Arial" w:cs="Arial" w:eastAsia="Arial" w:hAnsi="Arial"/>
                <w:sz w:val="16"/>
                <w:szCs w:val="16"/>
                <w:color w:val="auto"/>
              </w:rPr>
              <w:t>1,312,059</w:t>
            </w:r>
          </w:p>
        </w:tc>
      </w:tr>
      <w:tr>
        <w:trPr>
          <w:trHeight w:val="20"/>
        </w:trPr>
        <w:tc>
          <w:tcPr>
            <w:tcW w:w="3360" w:type="dxa"/>
            <w:vAlign w:val="bottom"/>
            <w:tcBorders>
              <w:right w:val="single" w:sz="8" w:color="999999"/>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56"/>
        </w:trPr>
        <w:tc>
          <w:tcPr>
            <w:tcW w:w="3360" w:type="dxa"/>
            <w:vAlign w:val="bottom"/>
            <w:tcBorders>
              <w:right w:val="single" w:sz="8" w:color="999999"/>
            </w:tcBorders>
            <w:shd w:val="clear" w:color="auto" w:fill="D8D8D8"/>
          </w:tcPr>
          <w:p>
            <w:pPr>
              <w:ind w:left="40"/>
              <w:spacing w:after="0"/>
              <w:rPr>
                <w:sz w:val="20"/>
                <w:szCs w:val="20"/>
                <w:color w:val="auto"/>
              </w:rPr>
            </w:pPr>
            <w:r>
              <w:rPr>
                <w:rFonts w:ascii="Arial" w:cs="Arial" w:eastAsia="Arial" w:hAnsi="Arial"/>
                <w:sz w:val="16"/>
                <w:szCs w:val="16"/>
                <w:b w:val="1"/>
                <w:bCs w:val="1"/>
                <w:color w:val="auto"/>
              </w:rPr>
              <w:t>TOTAL</w:t>
            </w:r>
          </w:p>
        </w:tc>
        <w:tc>
          <w:tcPr>
            <w:tcW w:w="140" w:type="dxa"/>
            <w:vAlign w:val="bottom"/>
            <w:shd w:val="clear" w:color="auto" w:fill="D8D8D8"/>
          </w:tcPr>
          <w:p>
            <w:pPr>
              <w:spacing w:after="0"/>
              <w:rPr>
                <w:sz w:val="22"/>
                <w:szCs w:val="22"/>
                <w:color w:val="auto"/>
              </w:rPr>
            </w:pPr>
          </w:p>
        </w:tc>
        <w:tc>
          <w:tcPr>
            <w:tcW w:w="340" w:type="dxa"/>
            <w:vAlign w:val="bottom"/>
            <w:shd w:val="clear" w:color="auto" w:fill="D8D8D8"/>
          </w:tcPr>
          <w:p>
            <w:pPr>
              <w:jc w:val="right"/>
              <w:ind w:right="184"/>
              <w:spacing w:after="0"/>
              <w:rPr>
                <w:sz w:val="20"/>
                <w:szCs w:val="20"/>
                <w:color w:val="auto"/>
              </w:rPr>
            </w:pPr>
            <w:r>
              <w:rPr>
                <w:rFonts w:ascii="Arial" w:cs="Arial" w:eastAsia="Arial" w:hAnsi="Arial"/>
                <w:sz w:val="15"/>
                <w:szCs w:val="15"/>
                <w:color w:val="auto"/>
                <w:w w:val="71"/>
              </w:rPr>
              <w:t>$</w:t>
            </w:r>
          </w:p>
        </w:tc>
        <w:tc>
          <w:tcPr>
            <w:tcW w:w="1760" w:type="dxa"/>
            <w:vAlign w:val="bottom"/>
            <w:gridSpan w:val="2"/>
            <w:shd w:val="clear" w:color="auto" w:fill="D8D8D8"/>
          </w:tcPr>
          <w:p>
            <w:pPr>
              <w:jc w:val="right"/>
              <w:ind w:right="580"/>
              <w:spacing w:after="0"/>
              <w:rPr>
                <w:sz w:val="20"/>
                <w:szCs w:val="20"/>
                <w:color w:val="auto"/>
              </w:rPr>
            </w:pPr>
            <w:r>
              <w:rPr>
                <w:rFonts w:ascii="Arial" w:cs="Arial" w:eastAsia="Arial" w:hAnsi="Arial"/>
                <w:sz w:val="16"/>
                <w:szCs w:val="16"/>
                <w:color w:val="auto"/>
              </w:rPr>
              <w:t>12,856,357</w:t>
            </w:r>
          </w:p>
        </w:tc>
        <w:tc>
          <w:tcPr>
            <w:tcW w:w="900" w:type="dxa"/>
            <w:vAlign w:val="bottom"/>
            <w:gridSpan w:val="2"/>
            <w:shd w:val="clear" w:color="auto" w:fill="D8D8D8"/>
          </w:tcPr>
          <w:p>
            <w:pPr>
              <w:jc w:val="right"/>
              <w:ind w:right="240"/>
              <w:spacing w:after="0"/>
              <w:rPr>
                <w:sz w:val="20"/>
                <w:szCs w:val="20"/>
                <w:color w:val="auto"/>
              </w:rPr>
            </w:pPr>
            <w:r>
              <w:rPr>
                <w:rFonts w:ascii="Arial" w:cs="Arial" w:eastAsia="Arial" w:hAnsi="Arial"/>
                <w:sz w:val="16"/>
                <w:szCs w:val="16"/>
                <w:color w:val="auto"/>
              </w:rPr>
              <w:t>$</w:t>
            </w:r>
          </w:p>
        </w:tc>
        <w:tc>
          <w:tcPr>
            <w:tcW w:w="1860" w:type="dxa"/>
            <w:vAlign w:val="bottom"/>
            <w:gridSpan w:val="2"/>
            <w:shd w:val="clear" w:color="auto" w:fill="D8D8D8"/>
          </w:tcPr>
          <w:p>
            <w:pPr>
              <w:jc w:val="right"/>
              <w:ind w:right="660"/>
              <w:spacing w:after="0"/>
              <w:rPr>
                <w:sz w:val="20"/>
                <w:szCs w:val="20"/>
                <w:color w:val="auto"/>
              </w:rPr>
            </w:pPr>
            <w:r>
              <w:rPr>
                <w:rFonts w:ascii="Arial" w:cs="Arial" w:eastAsia="Arial" w:hAnsi="Arial"/>
                <w:sz w:val="16"/>
                <w:szCs w:val="16"/>
                <w:color w:val="auto"/>
              </w:rPr>
              <w:t>10,398,397</w:t>
            </w:r>
          </w:p>
        </w:tc>
      </w:tr>
    </w:tbl>
    <w:p>
      <w:pPr>
        <w:spacing w:after="0" w:line="202" w:lineRule="exact"/>
        <w:rPr>
          <w:sz w:val="20"/>
          <w:szCs w:val="20"/>
          <w:color w:val="auto"/>
        </w:rPr>
      </w:pPr>
    </w:p>
    <w:p>
      <w:pPr>
        <w:ind w:left="220" w:right="120"/>
        <w:spacing w:after="0" w:line="263" w:lineRule="auto"/>
        <w:rPr>
          <w:sz w:val="20"/>
          <w:szCs w:val="20"/>
          <w:color w:val="auto"/>
        </w:rPr>
      </w:pPr>
      <w:r>
        <w:rPr>
          <w:rFonts w:ascii="Arial" w:cs="Arial" w:eastAsia="Arial" w:hAnsi="Arial"/>
          <w:sz w:val="16"/>
          <w:szCs w:val="16"/>
          <w:i w:val="1"/>
          <w:iCs w:val="1"/>
          <w:color w:val="auto"/>
        </w:rPr>
        <w:t xml:space="preserve">Audit Fees. </w:t>
      </w:r>
      <w:r>
        <w:rPr>
          <w:rFonts w:ascii="Arial" w:cs="Arial" w:eastAsia="Arial" w:hAnsi="Arial"/>
          <w:sz w:val="16"/>
          <w:szCs w:val="16"/>
          <w:color w:val="auto"/>
        </w:rPr>
        <w:t>Audit fees include fees for audit or review services in accordance with generally accepted auditing standards of our consolidated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statements (including internal control over financial reporting), statutory and subsidiary audits and review of documents filed with the SEC. In 2017, audit fees include fees for audit and review services in connection with the spin-off of Apergy from Dover, including associated filings with the SEC.</w:t>
      </w:r>
    </w:p>
    <w:p>
      <w:pPr>
        <w:spacing w:after="0" w:line="137" w:lineRule="exact"/>
        <w:rPr>
          <w:sz w:val="20"/>
          <w:szCs w:val="20"/>
          <w:color w:val="auto"/>
        </w:rPr>
      </w:pPr>
    </w:p>
    <w:p>
      <w:pPr>
        <w:ind w:left="220" w:right="40"/>
        <w:spacing w:after="0" w:line="257" w:lineRule="auto"/>
        <w:rPr>
          <w:sz w:val="20"/>
          <w:szCs w:val="20"/>
          <w:color w:val="auto"/>
        </w:rPr>
      </w:pPr>
      <w:r>
        <w:rPr>
          <w:rFonts w:ascii="Arial" w:cs="Arial" w:eastAsia="Arial" w:hAnsi="Arial"/>
          <w:sz w:val="16"/>
          <w:szCs w:val="16"/>
          <w:i w:val="1"/>
          <w:iCs w:val="1"/>
          <w:color w:val="auto"/>
        </w:rPr>
        <w:t>Audit-Related Fees</w:t>
      </w:r>
      <w:r>
        <w:rPr>
          <w:rFonts w:ascii="Arial" w:cs="Arial" w:eastAsia="Arial" w:hAnsi="Arial"/>
          <w:sz w:val="16"/>
          <w:szCs w:val="16"/>
          <w:color w:val="auto"/>
        </w:rPr>
        <w:t>. Audit-related fees include fees for assurance and related services that are reasonably related to the audit of our financial statements,</w:t>
      </w:r>
      <w:r>
        <w:rPr>
          <w:rFonts w:ascii="Arial" w:cs="Arial" w:eastAsia="Arial" w:hAnsi="Arial"/>
          <w:sz w:val="16"/>
          <w:szCs w:val="16"/>
          <w:i w:val="1"/>
          <w:iCs w:val="1"/>
          <w:color w:val="auto"/>
        </w:rPr>
        <w:t xml:space="preserve"> </w:t>
      </w:r>
      <w:r>
        <w:rPr>
          <w:rFonts w:ascii="Arial" w:cs="Arial" w:eastAsia="Arial" w:hAnsi="Arial"/>
          <w:sz w:val="16"/>
          <w:szCs w:val="16"/>
          <w:color w:val="auto"/>
        </w:rPr>
        <w:t>such as due diligence services pertaining to potential business acquisitions and dispositions and consultations concerning the accounting and disclosure treatment of events and the impact of final or proposed rules and standards. In 2017, audit-related fees include fees for services in connection with our adoption of the new revenue recognition standard.</w:t>
      </w:r>
    </w:p>
    <w:p>
      <w:pPr>
        <w:spacing w:after="0" w:line="143" w:lineRule="exact"/>
        <w:rPr>
          <w:sz w:val="20"/>
          <w:szCs w:val="20"/>
          <w:color w:val="auto"/>
        </w:rPr>
      </w:pPr>
    </w:p>
    <w:p>
      <w:pPr>
        <w:ind w:left="220" w:right="240"/>
        <w:spacing w:after="0" w:line="280" w:lineRule="auto"/>
        <w:rPr>
          <w:sz w:val="20"/>
          <w:szCs w:val="20"/>
          <w:color w:val="auto"/>
        </w:rPr>
      </w:pPr>
      <w:r>
        <w:rPr>
          <w:rFonts w:ascii="Arial" w:cs="Arial" w:eastAsia="Arial" w:hAnsi="Arial"/>
          <w:sz w:val="16"/>
          <w:szCs w:val="16"/>
          <w:i w:val="1"/>
          <w:iCs w:val="1"/>
          <w:color w:val="auto"/>
        </w:rPr>
        <w:t>Tax Fees</w:t>
      </w:r>
      <w:r>
        <w:rPr>
          <w:rFonts w:ascii="Arial" w:cs="Arial" w:eastAsia="Arial" w:hAnsi="Arial"/>
          <w:sz w:val="16"/>
          <w:szCs w:val="16"/>
          <w:color w:val="auto"/>
        </w:rPr>
        <w:t>. Tax fees include fees for services that are performed by professional tax staff other than in connection with the audit. These services include</w:t>
      </w:r>
      <w:r>
        <w:rPr>
          <w:rFonts w:ascii="Arial" w:cs="Arial" w:eastAsia="Arial" w:hAnsi="Arial"/>
          <w:sz w:val="16"/>
          <w:szCs w:val="16"/>
          <w:i w:val="1"/>
          <w:iCs w:val="1"/>
          <w:color w:val="auto"/>
        </w:rPr>
        <w:t xml:space="preserve"> </w:t>
      </w:r>
      <w:r>
        <w:rPr>
          <w:rFonts w:ascii="Arial" w:cs="Arial" w:eastAsia="Arial" w:hAnsi="Arial"/>
          <w:sz w:val="16"/>
          <w:szCs w:val="16"/>
          <w:color w:val="auto"/>
        </w:rPr>
        <w:t>tax compliance, consulting and advisory services.</w:t>
      </w:r>
    </w:p>
    <w:p>
      <w:pPr>
        <w:spacing w:after="0" w:line="137" w:lineRule="exact"/>
        <w:rPr>
          <w:sz w:val="20"/>
          <w:szCs w:val="20"/>
          <w:color w:val="auto"/>
        </w:rPr>
      </w:pPr>
    </w:p>
    <w:p>
      <w:pPr>
        <w:ind w:left="220" w:right="220"/>
        <w:spacing w:after="0" w:line="280" w:lineRule="auto"/>
        <w:rPr>
          <w:sz w:val="20"/>
          <w:szCs w:val="20"/>
          <w:color w:val="auto"/>
        </w:rPr>
      </w:pPr>
      <w:r>
        <w:rPr>
          <w:rFonts w:ascii="Arial" w:cs="Arial" w:eastAsia="Arial" w:hAnsi="Arial"/>
          <w:sz w:val="16"/>
          <w:szCs w:val="16"/>
          <w:i w:val="1"/>
          <w:iCs w:val="1"/>
          <w:color w:val="auto"/>
        </w:rPr>
        <w:t>All Other Fees</w:t>
      </w:r>
      <w:r>
        <w:rPr>
          <w:rFonts w:ascii="Arial" w:cs="Arial" w:eastAsia="Arial" w:hAnsi="Arial"/>
          <w:sz w:val="16"/>
          <w:szCs w:val="16"/>
          <w:color w:val="auto"/>
        </w:rPr>
        <w:t>. Other fees include fees for non-audit services not listed above that do not impair the independence of the auditor and are not prohibited</w:t>
      </w:r>
      <w:r>
        <w:rPr>
          <w:rFonts w:ascii="Arial" w:cs="Arial" w:eastAsia="Arial" w:hAnsi="Arial"/>
          <w:sz w:val="16"/>
          <w:szCs w:val="16"/>
          <w:i w:val="1"/>
          <w:iCs w:val="1"/>
          <w:color w:val="auto"/>
        </w:rPr>
        <w:t xml:space="preserve"> </w:t>
      </w:r>
      <w:r>
        <w:rPr>
          <w:rFonts w:ascii="Arial" w:cs="Arial" w:eastAsia="Arial" w:hAnsi="Arial"/>
          <w:sz w:val="16"/>
          <w:szCs w:val="16"/>
          <w:color w:val="auto"/>
        </w:rPr>
        <w:t>by the SEC or PCAOB, such as market assessment and commercial due diligence services in 2016.</w:t>
      </w:r>
    </w:p>
    <w:p>
      <w:pPr>
        <w:spacing w:after="0" w:line="146"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32406B"/>
        </w:rPr>
        <w:t>Pre-Approval of Services Provided by Independent Registered Public Accounting Firm</w:t>
      </w:r>
    </w:p>
    <w:p>
      <w:pPr>
        <w:spacing w:after="0" w:line="92" w:lineRule="exact"/>
        <w:rPr>
          <w:sz w:val="20"/>
          <w:szCs w:val="20"/>
          <w:color w:val="auto"/>
        </w:rPr>
      </w:pPr>
    </w:p>
    <w:p>
      <w:pPr>
        <w:ind w:left="220" w:right="140"/>
        <w:spacing w:after="0" w:line="249" w:lineRule="auto"/>
        <w:rPr>
          <w:sz w:val="20"/>
          <w:szCs w:val="20"/>
          <w:color w:val="auto"/>
        </w:rPr>
      </w:pPr>
      <w:r>
        <w:rPr>
          <w:rFonts w:ascii="Arial" w:cs="Arial" w:eastAsia="Arial" w:hAnsi="Arial"/>
          <w:sz w:val="16"/>
          <w:szCs w:val="16"/>
          <w:color w:val="auto"/>
        </w:rPr>
        <w:t>Consistent with its charter and applicable SEC rules, our Audit Committee pre-approves all audit and permissible non-audit services provided by PwC to us and our subsidiaries. With respect to certain services which PwC has traditionally provided, the Audit Committee has adopted specific pre-approval policies and procedures. In developing these policies and procedures, the Audit Committee considered the need to ensure the independence of PwC while recognizing that, in certain situations, PwC may possess the expertise and be in the best position to advise us and our subsidiaries on issues and matters other than accounting and auditing.</w:t>
      </w:r>
    </w:p>
    <w:p>
      <w:pPr>
        <w:spacing w:after="0" w:line="165" w:lineRule="exact"/>
        <w:rPr>
          <w:sz w:val="20"/>
          <w:szCs w:val="20"/>
          <w:color w:val="auto"/>
        </w:rPr>
      </w:pPr>
    </w:p>
    <w:p>
      <w:pPr>
        <w:ind w:left="220" w:right="40"/>
        <w:spacing w:after="0" w:line="248" w:lineRule="auto"/>
        <w:rPr>
          <w:sz w:val="20"/>
          <w:szCs w:val="20"/>
          <w:color w:val="auto"/>
        </w:rPr>
      </w:pPr>
      <w:r>
        <w:rPr>
          <w:rFonts w:ascii="Arial" w:cs="Arial" w:eastAsia="Arial" w:hAnsi="Arial"/>
          <w:sz w:val="16"/>
          <w:szCs w:val="16"/>
          <w:color w:val="auto"/>
        </w:rPr>
        <w:t>The policies and procedures adopted by the Audit Committee allow the pre-approval by the Audit Committee of permissible audit-related services, non-audit-related services and tax services. Under the policies and procedures, pre-approval is generally provided for up to one year and any general pre-approval is detailed as to the particular services or category of services and is subject to a specific budget for each of them. The policies and procedures require that any other services be expressly and separately approved by the Audit Committee prior to such services being performed by the independent auditors. In addition, pre-approved services which are expected to exceed the budgeted amount included in a general pre-approval require separate, specific pre-approval. For each proposed service, the independent auditors and management are required to provide detailed information to the Audit Committee at the time of approval. The Audit Committee considers whether each pre-approved service is consistent with the SEC’s rules and regulations on auditor independence.</w:t>
      </w:r>
    </w:p>
    <w:p>
      <w:pPr>
        <w:spacing w:after="0" w:line="11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32</w:t>
      </w:r>
    </w:p>
    <w:p>
      <w:pPr>
        <w:sectPr>
          <w:pgSz w:w="11900" w:h="16838" w:orient="portrait"/>
          <w:cols w:equalWidth="0" w:num="1">
            <w:col w:w="11220"/>
          </w:cols>
          <w:pgMar w:left="240" w:top="459"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PROPOSAL 2 — RATIFICATION OF APPOINTMENT OF INDEPENDENT REGISTERED PUBLIC ACCOUNTING FIRM</w:t>
      </w:r>
    </w:p>
    <w:p>
      <w:pPr>
        <w:spacing w:after="0" w:line="173" w:lineRule="exact"/>
        <w:rPr>
          <w:sz w:val="20"/>
          <w:szCs w:val="20"/>
          <w:color w:val="auto"/>
        </w:rPr>
      </w:pPr>
    </w:p>
    <w:p>
      <w:pPr>
        <w:jc w:val="both"/>
        <w:ind w:left="220" w:right="300"/>
        <w:spacing w:after="0" w:line="253" w:lineRule="auto"/>
        <w:rPr>
          <w:sz w:val="20"/>
          <w:szCs w:val="20"/>
          <w:color w:val="auto"/>
        </w:rPr>
      </w:pPr>
      <w:r>
        <w:rPr>
          <w:rFonts w:ascii="Arial" w:cs="Arial" w:eastAsia="Arial" w:hAnsi="Arial"/>
          <w:sz w:val="16"/>
          <w:szCs w:val="16"/>
          <w:color w:val="auto"/>
        </w:rPr>
        <w:t>All audit-related and non-audit-related services of PwC during 2017 listed above under “Fees Paid to Independent Registered Public Accounting Firm” were pre-approved specifically or pursuant to the procedures outlined above. With respect to any tax services provided by PwC, PwC provided to the Audit Committee the communications required under PCAOB Rule 3524.</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33</w:t>
      </w:r>
    </w:p>
    <w:p>
      <w:pPr>
        <w:sectPr>
          <w:pgSz w:w="11900" w:h="16838" w:orient="portrait"/>
          <w:cols w:equalWidth="0" w:num="1">
            <w:col w:w="11220"/>
          </w:cols>
          <w:pgMar w:left="240" w:top="459"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76" w:lineRule="exact"/>
        <w:rPr>
          <w:sz w:val="20"/>
          <w:szCs w:val="20"/>
          <w:color w:val="auto"/>
        </w:rPr>
      </w:pPr>
    </w:p>
    <w:p>
      <w:pPr>
        <w:ind w:left="220"/>
        <w:spacing w:after="0"/>
        <w:rPr>
          <w:sz w:val="20"/>
          <w:szCs w:val="20"/>
          <w:color w:val="auto"/>
        </w:rPr>
      </w:pPr>
      <w:r>
        <w:rPr>
          <w:rFonts w:ascii="Arial" w:cs="Arial" w:eastAsia="Arial" w:hAnsi="Arial"/>
          <w:sz w:val="36"/>
          <w:szCs w:val="36"/>
          <w:b w:val="1"/>
          <w:bCs w:val="1"/>
          <w:color w:val="32406B"/>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187325</wp:posOffset>
            </wp:positionV>
            <wp:extent cx="6989445" cy="14903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89445" cy="1490345"/>
                    </a:xfrm>
                    <a:prstGeom prst="rect">
                      <a:avLst/>
                    </a:prstGeom>
                    <a:noFill/>
                  </pic:spPr>
                </pic:pic>
              </a:graphicData>
            </a:graphic>
          </wp:anchor>
        </w:drawing>
      </w:r>
    </w:p>
    <w:p>
      <w:pPr>
        <w:spacing w:after="0" w:line="31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Dear Dover Shareholders:</w:t>
      </w:r>
    </w:p>
    <w:p>
      <w:pPr>
        <w:spacing w:after="0" w:line="72" w:lineRule="exact"/>
        <w:rPr>
          <w:sz w:val="20"/>
          <w:szCs w:val="20"/>
          <w:color w:val="auto"/>
        </w:rPr>
      </w:pPr>
    </w:p>
    <w:p>
      <w:pPr>
        <w:ind w:left="320" w:right="580"/>
        <w:spacing w:after="0" w:line="260" w:lineRule="auto"/>
        <w:rPr>
          <w:sz w:val="20"/>
          <w:szCs w:val="20"/>
          <w:color w:val="auto"/>
        </w:rPr>
      </w:pPr>
      <w:r>
        <w:rPr>
          <w:rFonts w:ascii="Arial" w:cs="Arial" w:eastAsia="Arial" w:hAnsi="Arial"/>
          <w:sz w:val="16"/>
          <w:szCs w:val="16"/>
          <w:color w:val="auto"/>
        </w:rPr>
        <w:t>The executive compensation programs at Dover are designed to attract and retain talented individuals who have the skills and experience Dover needs to achieve its business and financial objectives, and to align their interests with those of our shareholders.</w:t>
      </w:r>
    </w:p>
    <w:p>
      <w:pPr>
        <w:spacing w:after="0" w:line="60" w:lineRule="exact"/>
        <w:rPr>
          <w:sz w:val="20"/>
          <w:szCs w:val="20"/>
          <w:color w:val="auto"/>
        </w:rPr>
      </w:pPr>
    </w:p>
    <w:p>
      <w:pPr>
        <w:jc w:val="both"/>
        <w:ind w:left="320" w:right="340"/>
        <w:spacing w:after="0" w:line="253" w:lineRule="auto"/>
        <w:rPr>
          <w:sz w:val="20"/>
          <w:szCs w:val="20"/>
          <w:color w:val="auto"/>
        </w:rPr>
      </w:pPr>
      <w:r>
        <w:rPr>
          <w:rFonts w:ascii="Arial" w:cs="Arial" w:eastAsia="Arial" w:hAnsi="Arial"/>
          <w:sz w:val="16"/>
          <w:szCs w:val="16"/>
          <w:color w:val="auto"/>
        </w:rPr>
        <w:t>When making executive pay decisions, we take into account our business strategy, considering both our annual financial performance and the long-term success of Dover. We ensure our compensation levels and programs are competitive, while maintaining consistency with market practices. We also ensure that compensation awards recognize the performance and contributions each executive makes toward Dover’s performance.</w:t>
      </w:r>
    </w:p>
    <w:p>
      <w:pPr>
        <w:spacing w:after="0" w:line="52" w:lineRule="exact"/>
        <w:rPr>
          <w:sz w:val="20"/>
          <w:szCs w:val="20"/>
          <w:color w:val="auto"/>
        </w:rPr>
      </w:pPr>
    </w:p>
    <w:p>
      <w:pPr>
        <w:ind w:left="320" w:right="180"/>
        <w:spacing w:after="0" w:line="260" w:lineRule="auto"/>
        <w:rPr>
          <w:sz w:val="20"/>
          <w:szCs w:val="20"/>
          <w:color w:val="auto"/>
        </w:rPr>
      </w:pPr>
      <w:r>
        <w:rPr>
          <w:rFonts w:ascii="Arial" w:cs="Arial" w:eastAsia="Arial" w:hAnsi="Arial"/>
          <w:sz w:val="16"/>
          <w:szCs w:val="16"/>
          <w:color w:val="auto"/>
        </w:rPr>
        <w:t>Thank you for being a Dover shareholder. We are pleased to share our compensation philosophy, our financial and strategic performance for the year, and the specifics of our compensation program for our senior executives.</w:t>
      </w:r>
    </w:p>
    <w:p>
      <w:pPr>
        <w:spacing w:after="0" w:line="4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Sincerely,</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6"/>
          <w:szCs w:val="16"/>
          <w:color w:val="auto"/>
        </w:rPr>
        <w:t>Richard K. Lochridge (Chair), Peter T. Francis, Kristiane C. Graham, Michael F. Johnston, Richard J. Tobin and Keith E. Wandell</w:t>
      </w:r>
    </w:p>
    <w:p>
      <w:pPr>
        <w:spacing w:after="0" w:line="234" w:lineRule="exact"/>
        <w:rPr>
          <w:sz w:val="20"/>
          <w:szCs w:val="20"/>
          <w:color w:val="auto"/>
        </w:rPr>
      </w:pPr>
    </w:p>
    <w:p>
      <w:pPr>
        <w:ind w:left="220" w:right="20"/>
        <w:spacing w:after="0" w:line="250" w:lineRule="auto"/>
        <w:rPr>
          <w:sz w:val="20"/>
          <w:szCs w:val="20"/>
          <w:color w:val="auto"/>
        </w:rPr>
      </w:pPr>
      <w:r>
        <w:rPr>
          <w:rFonts w:ascii="Arial" w:cs="Arial" w:eastAsia="Arial" w:hAnsi="Arial"/>
          <w:sz w:val="16"/>
          <w:szCs w:val="16"/>
          <w:color w:val="auto"/>
        </w:rPr>
        <w:t>This Compensation Discussion and Analysis (“CD&amp;A”) describes Dover’s executive compensation programs in 2017. It describes Dover’s pay philosophy, how the Board, the Compensation Committee and the CEO have applied that philosophy to Dover’s executives and the process the Compensation Committee uses to make executive pay decisions, assess performance goals and results, and implement updates to our compensation program. There are five officers who are a NEO:</w:t>
      </w:r>
    </w:p>
    <w:p>
      <w:pPr>
        <w:spacing w:after="0" w:line="230" w:lineRule="exact"/>
        <w:rPr>
          <w:sz w:val="20"/>
          <w:szCs w:val="20"/>
          <w:color w:val="auto"/>
        </w:rPr>
      </w:pPr>
    </w:p>
    <w:tbl>
      <w:tblPr>
        <w:tblLayout w:type="fixed"/>
        <w:tblInd w:w="220" w:type="dxa"/>
        <w:tblCellMar>
          <w:top w:w="0" w:type="dxa"/>
          <w:left w:w="0" w:type="dxa"/>
          <w:bottom w:w="0" w:type="dxa"/>
          <w:right w:w="0" w:type="dxa"/>
        </w:tblCellMar>
      </w:tblPr>
      <w:tr>
        <w:trPr>
          <w:trHeight w:val="263"/>
        </w:trPr>
        <w:tc>
          <w:tcPr>
            <w:tcW w:w="3560" w:type="dxa"/>
            <w:vAlign w:val="bottom"/>
            <w:tcBorders>
              <w:bottom w:val="single" w:sz="8" w:color="32406B"/>
            </w:tcBorders>
            <w:shd w:val="clear" w:color="auto" w:fill="32406B"/>
          </w:tcPr>
          <w:p>
            <w:pPr>
              <w:spacing w:after="0"/>
              <w:rPr>
                <w:sz w:val="22"/>
                <w:szCs w:val="22"/>
                <w:color w:val="auto"/>
              </w:rPr>
            </w:pPr>
          </w:p>
        </w:tc>
        <w:tc>
          <w:tcPr>
            <w:tcW w:w="7440" w:type="dxa"/>
            <w:vAlign w:val="bottom"/>
            <w:tcBorders>
              <w:bottom w:val="single" w:sz="8" w:color="32406B"/>
            </w:tcBorders>
            <w:shd w:val="clear" w:color="auto" w:fill="32406B"/>
          </w:tcPr>
          <w:p>
            <w:pPr>
              <w:ind w:left="720"/>
              <w:spacing w:after="0"/>
              <w:rPr>
                <w:sz w:val="20"/>
                <w:szCs w:val="20"/>
                <w:color w:val="auto"/>
              </w:rPr>
            </w:pPr>
            <w:r>
              <w:rPr>
                <w:rFonts w:ascii="Arial" w:cs="Arial" w:eastAsia="Arial" w:hAnsi="Arial"/>
                <w:sz w:val="16"/>
                <w:szCs w:val="16"/>
                <w:b w:val="1"/>
                <w:bCs w:val="1"/>
                <w:color w:val="FFFFFF"/>
              </w:rPr>
              <w:t>NAMED EXECUTIVE OFFICERS</w:t>
            </w:r>
          </w:p>
        </w:tc>
      </w:tr>
      <w:tr>
        <w:trPr>
          <w:trHeight w:val="237"/>
        </w:trPr>
        <w:tc>
          <w:tcPr>
            <w:tcW w:w="3560" w:type="dxa"/>
            <w:vAlign w:val="bottom"/>
          </w:tcPr>
          <w:p>
            <w:pPr>
              <w:ind w:left="80"/>
              <w:spacing w:after="0"/>
              <w:rPr>
                <w:sz w:val="20"/>
                <w:szCs w:val="20"/>
                <w:color w:val="auto"/>
              </w:rPr>
            </w:pPr>
            <w:r>
              <w:rPr>
                <w:rFonts w:ascii="Arial" w:cs="Arial" w:eastAsia="Arial" w:hAnsi="Arial"/>
                <w:sz w:val="16"/>
                <w:szCs w:val="16"/>
                <w:b w:val="1"/>
                <w:bCs w:val="1"/>
                <w:color w:val="auto"/>
              </w:rPr>
              <w:t>ROBERT A. LIVINGSTON</w:t>
            </w:r>
          </w:p>
        </w:tc>
        <w:tc>
          <w:tcPr>
            <w:tcW w:w="7440" w:type="dxa"/>
            <w:vAlign w:val="bottom"/>
          </w:tcPr>
          <w:p>
            <w:pPr>
              <w:ind w:left="740"/>
              <w:spacing w:after="0"/>
              <w:rPr>
                <w:sz w:val="20"/>
                <w:szCs w:val="20"/>
                <w:color w:val="auto"/>
              </w:rPr>
            </w:pPr>
            <w:r>
              <w:rPr>
                <w:rFonts w:ascii="Arial" w:cs="Arial" w:eastAsia="Arial" w:hAnsi="Arial"/>
                <w:sz w:val="16"/>
                <w:szCs w:val="16"/>
                <w:color w:val="auto"/>
              </w:rPr>
              <w:t>President &amp; CEO</w:t>
            </w:r>
          </w:p>
        </w:tc>
      </w:tr>
      <w:tr>
        <w:trPr>
          <w:trHeight w:val="46"/>
        </w:trPr>
        <w:tc>
          <w:tcPr>
            <w:tcW w:w="3560" w:type="dxa"/>
            <w:vAlign w:val="bottom"/>
          </w:tcPr>
          <w:p>
            <w:pPr>
              <w:spacing w:after="0"/>
              <w:rPr>
                <w:sz w:val="4"/>
                <w:szCs w:val="4"/>
                <w:color w:val="auto"/>
              </w:rPr>
            </w:pPr>
          </w:p>
        </w:tc>
        <w:tc>
          <w:tcPr>
            <w:tcW w:w="7440" w:type="dxa"/>
            <w:vAlign w:val="bottom"/>
          </w:tcPr>
          <w:p>
            <w:pPr>
              <w:spacing w:after="0"/>
              <w:rPr>
                <w:sz w:val="4"/>
                <w:szCs w:val="4"/>
                <w:color w:val="auto"/>
              </w:rPr>
            </w:pPr>
          </w:p>
        </w:tc>
      </w:tr>
      <w:tr>
        <w:trPr>
          <w:trHeight w:val="263"/>
        </w:trPr>
        <w:tc>
          <w:tcPr>
            <w:tcW w:w="3560" w:type="dxa"/>
            <w:vAlign w:val="bottom"/>
            <w:tcBorders>
              <w:bottom w:val="single" w:sz="8" w:color="D8D8D8"/>
            </w:tcBorders>
            <w:shd w:val="clear" w:color="auto" w:fill="D8D8D8"/>
          </w:tcPr>
          <w:p>
            <w:pPr>
              <w:ind w:left="80"/>
              <w:spacing w:after="0"/>
              <w:rPr>
                <w:sz w:val="20"/>
                <w:szCs w:val="20"/>
                <w:color w:val="auto"/>
              </w:rPr>
            </w:pPr>
            <w:r>
              <w:rPr>
                <w:rFonts w:ascii="Arial" w:cs="Arial" w:eastAsia="Arial" w:hAnsi="Arial"/>
                <w:sz w:val="16"/>
                <w:szCs w:val="16"/>
                <w:b w:val="1"/>
                <w:bCs w:val="1"/>
                <w:color w:val="auto"/>
              </w:rPr>
              <w:t>BRAD M. CEREPAK</w:t>
            </w:r>
          </w:p>
        </w:tc>
        <w:tc>
          <w:tcPr>
            <w:tcW w:w="7440" w:type="dxa"/>
            <w:vAlign w:val="bottom"/>
            <w:tcBorders>
              <w:bottom w:val="single" w:sz="8" w:color="D8D8D8"/>
            </w:tcBorders>
            <w:shd w:val="clear" w:color="auto" w:fill="D8D8D8"/>
          </w:tcPr>
          <w:p>
            <w:pPr>
              <w:ind w:left="740"/>
              <w:spacing w:after="0"/>
              <w:rPr>
                <w:sz w:val="20"/>
                <w:szCs w:val="20"/>
                <w:color w:val="auto"/>
              </w:rPr>
            </w:pPr>
            <w:r>
              <w:rPr>
                <w:rFonts w:ascii="Arial" w:cs="Arial" w:eastAsia="Arial" w:hAnsi="Arial"/>
                <w:sz w:val="16"/>
                <w:szCs w:val="16"/>
                <w:color w:val="auto"/>
              </w:rPr>
              <w:t>Senior Vice President &amp; Chief Financial Officer</w:t>
            </w:r>
          </w:p>
        </w:tc>
      </w:tr>
      <w:tr>
        <w:trPr>
          <w:trHeight w:val="237"/>
        </w:trPr>
        <w:tc>
          <w:tcPr>
            <w:tcW w:w="3560" w:type="dxa"/>
            <w:vAlign w:val="bottom"/>
          </w:tcPr>
          <w:p>
            <w:pPr>
              <w:ind w:left="80"/>
              <w:spacing w:after="0"/>
              <w:rPr>
                <w:sz w:val="20"/>
                <w:szCs w:val="20"/>
                <w:color w:val="auto"/>
              </w:rPr>
            </w:pPr>
            <w:r>
              <w:rPr>
                <w:rFonts w:ascii="Arial" w:cs="Arial" w:eastAsia="Arial" w:hAnsi="Arial"/>
                <w:sz w:val="16"/>
                <w:szCs w:val="16"/>
                <w:b w:val="1"/>
                <w:bCs w:val="1"/>
                <w:color w:val="auto"/>
              </w:rPr>
              <w:t>C. ANDERSON FINCHER</w:t>
            </w:r>
          </w:p>
        </w:tc>
        <w:tc>
          <w:tcPr>
            <w:tcW w:w="7440" w:type="dxa"/>
            <w:vAlign w:val="bottom"/>
          </w:tcPr>
          <w:p>
            <w:pPr>
              <w:ind w:left="740"/>
              <w:spacing w:after="0"/>
              <w:rPr>
                <w:sz w:val="20"/>
                <w:szCs w:val="20"/>
                <w:color w:val="auto"/>
              </w:rPr>
            </w:pPr>
            <w:r>
              <w:rPr>
                <w:rFonts w:ascii="Arial" w:cs="Arial" w:eastAsia="Arial" w:hAnsi="Arial"/>
                <w:sz w:val="16"/>
                <w:szCs w:val="16"/>
                <w:color w:val="auto"/>
              </w:rPr>
              <w:t>President &amp; CEO, Dover Engineered Systems</w:t>
            </w:r>
          </w:p>
        </w:tc>
      </w:tr>
      <w:tr>
        <w:trPr>
          <w:trHeight w:val="46"/>
        </w:trPr>
        <w:tc>
          <w:tcPr>
            <w:tcW w:w="3560" w:type="dxa"/>
            <w:vAlign w:val="bottom"/>
          </w:tcPr>
          <w:p>
            <w:pPr>
              <w:spacing w:after="0"/>
              <w:rPr>
                <w:sz w:val="4"/>
                <w:szCs w:val="4"/>
                <w:color w:val="auto"/>
              </w:rPr>
            </w:pPr>
          </w:p>
        </w:tc>
        <w:tc>
          <w:tcPr>
            <w:tcW w:w="7440" w:type="dxa"/>
            <w:vAlign w:val="bottom"/>
          </w:tcPr>
          <w:p>
            <w:pPr>
              <w:spacing w:after="0"/>
              <w:rPr>
                <w:sz w:val="4"/>
                <w:szCs w:val="4"/>
                <w:color w:val="auto"/>
              </w:rPr>
            </w:pPr>
          </w:p>
        </w:tc>
      </w:tr>
      <w:tr>
        <w:trPr>
          <w:trHeight w:val="263"/>
        </w:trPr>
        <w:tc>
          <w:tcPr>
            <w:tcW w:w="3560" w:type="dxa"/>
            <w:vAlign w:val="bottom"/>
            <w:tcBorders>
              <w:bottom w:val="single" w:sz="8" w:color="D8D8D8"/>
            </w:tcBorders>
            <w:shd w:val="clear" w:color="auto" w:fill="D8D8D8"/>
          </w:tcPr>
          <w:p>
            <w:pPr>
              <w:ind w:left="80"/>
              <w:spacing w:after="0"/>
              <w:rPr>
                <w:sz w:val="20"/>
                <w:szCs w:val="20"/>
                <w:color w:val="auto"/>
              </w:rPr>
            </w:pPr>
            <w:r>
              <w:rPr>
                <w:rFonts w:ascii="Arial" w:cs="Arial" w:eastAsia="Arial" w:hAnsi="Arial"/>
                <w:sz w:val="16"/>
                <w:szCs w:val="16"/>
                <w:b w:val="1"/>
                <w:bCs w:val="1"/>
                <w:color w:val="auto"/>
              </w:rPr>
              <w:t>SIVASANKARAN SOMASUNDARAM</w:t>
            </w:r>
          </w:p>
        </w:tc>
        <w:tc>
          <w:tcPr>
            <w:tcW w:w="7440" w:type="dxa"/>
            <w:vAlign w:val="bottom"/>
            <w:tcBorders>
              <w:bottom w:val="single" w:sz="8" w:color="D8D8D8"/>
            </w:tcBorders>
            <w:shd w:val="clear" w:color="auto" w:fill="D8D8D8"/>
          </w:tcPr>
          <w:p>
            <w:pPr>
              <w:ind w:left="740"/>
              <w:spacing w:after="0"/>
              <w:rPr>
                <w:sz w:val="20"/>
                <w:szCs w:val="20"/>
                <w:color w:val="auto"/>
              </w:rPr>
            </w:pPr>
            <w:r>
              <w:rPr>
                <w:rFonts w:ascii="Arial" w:cs="Arial" w:eastAsia="Arial" w:hAnsi="Arial"/>
                <w:sz w:val="16"/>
                <w:szCs w:val="16"/>
                <w:color w:val="auto"/>
              </w:rPr>
              <w:t>President &amp; CEO, Dover Energy</w:t>
            </w:r>
          </w:p>
        </w:tc>
      </w:tr>
      <w:tr>
        <w:trPr>
          <w:trHeight w:val="237"/>
        </w:trPr>
        <w:tc>
          <w:tcPr>
            <w:tcW w:w="3560" w:type="dxa"/>
            <w:vAlign w:val="bottom"/>
          </w:tcPr>
          <w:p>
            <w:pPr>
              <w:ind w:left="80"/>
              <w:spacing w:after="0"/>
              <w:rPr>
                <w:sz w:val="20"/>
                <w:szCs w:val="20"/>
                <w:color w:val="auto"/>
              </w:rPr>
            </w:pPr>
            <w:r>
              <w:rPr>
                <w:rFonts w:ascii="Arial" w:cs="Arial" w:eastAsia="Arial" w:hAnsi="Arial"/>
                <w:sz w:val="16"/>
                <w:szCs w:val="16"/>
                <w:b w:val="1"/>
                <w:bCs w:val="1"/>
                <w:color w:val="auto"/>
              </w:rPr>
              <w:t>WILLIAM W. SPURGEON, JR.</w:t>
            </w:r>
          </w:p>
        </w:tc>
        <w:tc>
          <w:tcPr>
            <w:tcW w:w="7440" w:type="dxa"/>
            <w:vAlign w:val="bottom"/>
          </w:tcPr>
          <w:p>
            <w:pPr>
              <w:ind w:left="740"/>
              <w:spacing w:after="0"/>
              <w:rPr>
                <w:sz w:val="20"/>
                <w:szCs w:val="20"/>
                <w:color w:val="auto"/>
              </w:rPr>
            </w:pPr>
            <w:r>
              <w:rPr>
                <w:rFonts w:ascii="Arial" w:cs="Arial" w:eastAsia="Arial" w:hAnsi="Arial"/>
                <w:sz w:val="16"/>
                <w:szCs w:val="16"/>
                <w:color w:val="auto"/>
              </w:rPr>
              <w:t>President &amp; CEO, Dover Fluids</w:t>
            </w:r>
          </w:p>
        </w:tc>
      </w:tr>
    </w:tbl>
    <w:p>
      <w:pPr>
        <w:spacing w:after="0" w:line="230"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32406B"/>
        </w:rPr>
        <w:t>Executive Summary</w:t>
      </w:r>
    </w:p>
    <w:p>
      <w:pPr>
        <w:spacing w:after="0" w:line="92" w:lineRule="exact"/>
        <w:rPr>
          <w:sz w:val="20"/>
          <w:szCs w:val="20"/>
          <w:color w:val="auto"/>
        </w:rPr>
      </w:pPr>
    </w:p>
    <w:p>
      <w:pPr>
        <w:ind w:left="220" w:right="280"/>
        <w:spacing w:after="0" w:line="253" w:lineRule="auto"/>
        <w:rPr>
          <w:sz w:val="20"/>
          <w:szCs w:val="20"/>
          <w:color w:val="auto"/>
        </w:rPr>
      </w:pPr>
      <w:r>
        <w:rPr>
          <w:rFonts w:ascii="Arial" w:cs="Arial" w:eastAsia="Arial" w:hAnsi="Arial"/>
          <w:sz w:val="16"/>
          <w:szCs w:val="16"/>
          <w:color w:val="auto"/>
        </w:rPr>
        <w:t>Our compensation programs are designed to support the primary objective of creating sustained, long-term value for our shareholders. To achieve this objective, management is required to execute Dover’s strategy, resulting in sustainable revenue and earnings growth. The Compensation Committee believes that a strong pay-for-performance philosophy aligns our executives’ goals with long-term value creation for our shareholders.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32406B"/>
        </w:rPr>
        <w:t>Dover Business Overview</w:t>
      </w:r>
    </w:p>
    <w:p>
      <w:pPr>
        <w:spacing w:after="0" w:line="106" w:lineRule="exact"/>
        <w:rPr>
          <w:sz w:val="20"/>
          <w:szCs w:val="20"/>
          <w:color w:val="auto"/>
        </w:rPr>
      </w:pPr>
    </w:p>
    <w:p>
      <w:pPr>
        <w:ind w:left="220" w:right="40"/>
        <w:spacing w:after="0" w:line="250" w:lineRule="auto"/>
        <w:rPr>
          <w:sz w:val="20"/>
          <w:szCs w:val="20"/>
          <w:color w:val="auto"/>
        </w:rPr>
      </w:pPr>
      <w:r>
        <w:rPr>
          <w:rFonts w:ascii="Arial" w:cs="Arial" w:eastAsia="Arial" w:hAnsi="Arial"/>
          <w:sz w:val="16"/>
          <w:szCs w:val="16"/>
          <w:color w:val="auto"/>
        </w:rPr>
        <w:t>Dover is a diversified global manufacturer delivering innovative equipment and components, specialty systems, consumable supplies, software and digital solutions, and support services through four operating segments: Engineered Systems, Fluids, Refrigeration &amp; Food Equipment and Energy. Our entrepreneurial business model encourages, promotes, and fosters deep customer engagement and collaboration, which has led to Dover’s well-established and valued reputation for providing superior customer service and industry-leading product innovation.</w:t>
      </w:r>
    </w:p>
    <w:p>
      <w:pPr>
        <w:spacing w:after="0" w:line="164" w:lineRule="exact"/>
        <w:rPr>
          <w:sz w:val="20"/>
          <w:szCs w:val="20"/>
          <w:color w:val="auto"/>
        </w:rPr>
      </w:pPr>
    </w:p>
    <w:p>
      <w:pPr>
        <w:ind w:left="220" w:right="340"/>
        <w:spacing w:after="0" w:line="260" w:lineRule="auto"/>
        <w:rPr>
          <w:sz w:val="20"/>
          <w:szCs w:val="20"/>
          <w:color w:val="auto"/>
        </w:rPr>
      </w:pPr>
      <w:r>
        <w:rPr>
          <w:rFonts w:ascii="Arial" w:cs="Arial" w:eastAsia="Arial" w:hAnsi="Arial"/>
          <w:sz w:val="16"/>
          <w:szCs w:val="16"/>
          <w:color w:val="auto"/>
        </w:rPr>
        <w:t>Our businesses are aligned in four segments and organized around our key end markets focused on growth strategies. The segment structure is also designed to provide increased opportunities to leverage our scale and capitalize on productivity initiatives.</w:t>
      </w:r>
    </w:p>
    <w:p>
      <w:pPr>
        <w:spacing w:after="0" w:line="10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34</w:t>
      </w:r>
    </w:p>
    <w:p>
      <w:pPr>
        <w:sectPr>
          <w:pgSz w:w="11900" w:h="16838" w:orient="portrait"/>
          <w:cols w:equalWidth="0" w:num="1">
            <w:col w:w="11220"/>
          </w:cols>
          <w:pgMar w:left="24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COMPENSATION DISCUSSION AND ANALYSIS</w:t>
      </w:r>
    </w:p>
    <w:p>
      <w:pPr>
        <w:spacing w:after="0" w:line="153"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32406B"/>
        </w:rPr>
        <w:t>2017 Company Performance Highlights</w:t>
      </w:r>
    </w:p>
    <w:p>
      <w:pPr>
        <w:spacing w:after="0" w:line="10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In 2017, we:</w:t>
      </w:r>
    </w:p>
    <w:p>
      <w:pPr>
        <w:spacing w:after="0" w:line="221" w:lineRule="exact"/>
        <w:rPr>
          <w:sz w:val="20"/>
          <w:szCs w:val="20"/>
          <w:color w:val="auto"/>
        </w:rPr>
      </w:pPr>
    </w:p>
    <w:p>
      <w:pPr>
        <w:ind w:left="860" w:hanging="326"/>
        <w:spacing w:after="0"/>
        <w:tabs>
          <w:tab w:leader="none" w:pos="8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Generated consolidated revenue from continuing operations of $7.8 billion, an increase of $1.0 billion or 15.2%, as compared to 2016.</w:t>
      </w:r>
    </w:p>
    <w:p>
      <w:pPr>
        <w:spacing w:after="0" w:line="85" w:lineRule="exact"/>
        <w:rPr>
          <w:rFonts w:ascii="Arial" w:cs="Arial" w:eastAsia="Arial" w:hAnsi="Arial"/>
          <w:sz w:val="16"/>
          <w:szCs w:val="16"/>
          <w:color w:val="auto"/>
        </w:rPr>
      </w:pPr>
    </w:p>
    <w:p>
      <w:pPr>
        <w:ind w:left="860" w:right="120" w:hanging="326"/>
        <w:spacing w:after="0" w:line="253" w:lineRule="auto"/>
        <w:tabs>
          <w:tab w:leader="none" w:pos="8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Delivered diluted net EPS of $5.15, compared with EPS of $3.25 for 2016. 2017 EPS includes a net benefit of $1.09 from dispositions, a net tax benefit primarily from the Tax Cuts and Jobs Act of $0.32, and a net benefit of $0.03 from a reduction to a previously recorded product recall accrual. 2017 EPS also includes rightsizing and other costs of $0.25, Apergy separation related costs of $0.06 and disposition costs of $0.02.</w:t>
      </w:r>
    </w:p>
    <w:p>
      <w:pPr>
        <w:spacing w:after="0" w:line="65" w:lineRule="exact"/>
        <w:rPr>
          <w:rFonts w:ascii="Arial" w:cs="Arial" w:eastAsia="Arial" w:hAnsi="Arial"/>
          <w:sz w:val="16"/>
          <w:szCs w:val="16"/>
          <w:color w:val="auto"/>
        </w:rPr>
      </w:pPr>
    </w:p>
    <w:p>
      <w:pPr>
        <w:ind w:left="860" w:right="320" w:hanging="326"/>
        <w:spacing w:after="0" w:line="260" w:lineRule="auto"/>
        <w:tabs>
          <w:tab w:leader="none" w:pos="8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Announced plans to pursue a tax-free spin-off our upstream energy businesses within our Energy segment into a standalone, publicly-traded company named Apergy.</w:t>
      </w:r>
    </w:p>
    <w:p>
      <w:pPr>
        <w:spacing w:after="0" w:line="60" w:lineRule="exact"/>
        <w:rPr>
          <w:rFonts w:ascii="Arial" w:cs="Arial" w:eastAsia="Arial" w:hAnsi="Arial"/>
          <w:sz w:val="16"/>
          <w:szCs w:val="16"/>
          <w:color w:val="auto"/>
        </w:rPr>
      </w:pPr>
    </w:p>
    <w:p>
      <w:pPr>
        <w:ind w:left="860" w:right="220" w:hanging="326"/>
        <w:spacing w:after="0" w:line="253" w:lineRule="auto"/>
        <w:tabs>
          <w:tab w:leader="none" w:pos="8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Made three acquisitions including Caldera Graphics S.A.S., which enhances our ability to serve the global digital textile printing market with its high-quality technical software designed for the digital printing industry. We also completed the divestiture of Performance Motorsports International and the consumer and industrial winch business of Warn Industries Inc.</w:t>
      </w:r>
    </w:p>
    <w:p>
      <w:pPr>
        <w:spacing w:after="0" w:line="60" w:lineRule="exact"/>
        <w:rPr>
          <w:rFonts w:ascii="Arial" w:cs="Arial" w:eastAsia="Arial" w:hAnsi="Arial"/>
          <w:sz w:val="16"/>
          <w:szCs w:val="16"/>
          <w:color w:val="auto"/>
        </w:rPr>
      </w:pPr>
    </w:p>
    <w:p>
      <w:pPr>
        <w:ind w:left="860" w:right="160" w:hanging="326"/>
        <w:spacing w:after="0" w:line="188" w:lineRule="auto"/>
        <w:tabs>
          <w:tab w:leader="none" w:pos="8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Increased quarterly dividends by 6% per share, marking our 62</w:t>
      </w:r>
      <w:r>
        <w:rPr>
          <w:rFonts w:ascii="Arial" w:cs="Arial" w:eastAsia="Arial" w:hAnsi="Arial"/>
          <w:sz w:val="27"/>
          <w:szCs w:val="27"/>
          <w:color w:val="auto"/>
          <w:vertAlign w:val="superscript"/>
        </w:rPr>
        <w:t>nd</w:t>
      </w:r>
      <w:r>
        <w:rPr>
          <w:rFonts w:ascii="Arial" w:cs="Arial" w:eastAsia="Arial" w:hAnsi="Arial"/>
          <w:sz w:val="16"/>
          <w:szCs w:val="16"/>
          <w:color w:val="auto"/>
        </w:rPr>
        <w:t xml:space="preserve"> year of dividend increases. Dover has the third longest record of consecutive annual dividend increases of all listed companies.</w:t>
      </w:r>
    </w:p>
    <w:p>
      <w:pPr>
        <w:spacing w:after="0" w:line="171" w:lineRule="exact"/>
        <w:rPr>
          <w:sz w:val="20"/>
          <w:szCs w:val="20"/>
          <w:color w:val="auto"/>
        </w:rPr>
      </w:pPr>
    </w:p>
    <w:p>
      <w:pPr>
        <w:ind w:left="220" w:right="460"/>
        <w:spacing w:after="0" w:line="250" w:lineRule="auto"/>
        <w:rPr>
          <w:sz w:val="20"/>
          <w:szCs w:val="20"/>
          <w:color w:val="auto"/>
        </w:rPr>
      </w:pPr>
      <w:r>
        <w:rPr>
          <w:rFonts w:ascii="Arial" w:cs="Arial" w:eastAsia="Arial" w:hAnsi="Arial"/>
          <w:sz w:val="16"/>
          <w:szCs w:val="16"/>
          <w:color w:val="auto"/>
        </w:rPr>
        <w:t>As a result of Dover’s strong financial performance and continued commitment to industry leadership through innovation and strong focus on our customers, annual bonuses were higher for 2017 than 2016. The slower growth in some of our end markets over the past three years resulted in no Performance Share payout for our NEOs, except for a below target payout for Mr. Fincher. Individual compensation varies widely based on the individual’s business unit and performance against specific strategic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146050</wp:posOffset>
            </wp:positionV>
            <wp:extent cx="6141720" cy="20300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141720" cy="2030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35</w:t>
      </w:r>
    </w:p>
    <w:p>
      <w:pPr>
        <w:sectPr>
          <w:pgSz w:w="11900" w:h="16838" w:orient="portrait"/>
          <w:cols w:equalWidth="0" w:num="1">
            <w:col w:w="11220"/>
          </w:cols>
          <w:pgMar w:left="24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COMPENSATION DISCUSSION AND ANALYSIS</w:t>
      </w:r>
    </w:p>
    <w:p>
      <w:pPr>
        <w:spacing w:after="0" w:line="153"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32406B"/>
        </w:rPr>
        <w:t>Components of Compensation Aligned with Company Performance</w:t>
      </w:r>
    </w:p>
    <w:p>
      <w:pPr>
        <w:spacing w:after="0" w:line="106" w:lineRule="exact"/>
        <w:rPr>
          <w:sz w:val="20"/>
          <w:szCs w:val="20"/>
          <w:color w:val="auto"/>
        </w:rPr>
      </w:pPr>
    </w:p>
    <w:p>
      <w:pPr>
        <w:ind w:left="220" w:right="120"/>
        <w:spacing w:after="0" w:line="253" w:lineRule="auto"/>
        <w:rPr>
          <w:sz w:val="20"/>
          <w:szCs w:val="20"/>
          <w:color w:val="auto"/>
        </w:rPr>
      </w:pPr>
      <w:r>
        <w:rPr>
          <w:rFonts w:ascii="Arial" w:cs="Arial" w:eastAsia="Arial" w:hAnsi="Arial"/>
          <w:sz w:val="16"/>
          <w:szCs w:val="16"/>
          <w:color w:val="auto"/>
        </w:rPr>
        <w:t>In light of the strong support from our shareholders for our compensation program structure and its close alignment with our pay for performance philosophy, our 2017 program structure was generally unchanged. For the AIP, our annual cash incentive plan, in 2017, we changed the weighting of the financial results and individual strategic objectives metrics to 60%/40% from the prior weighting of 50%/50%.</w:t>
      </w:r>
    </w:p>
    <w:p>
      <w:pPr>
        <w:spacing w:after="0" w:line="226" w:lineRule="exact"/>
        <w:rPr>
          <w:sz w:val="20"/>
          <w:szCs w:val="20"/>
          <w:color w:val="auto"/>
        </w:rPr>
      </w:pPr>
    </w:p>
    <w:tbl>
      <w:tblPr>
        <w:tblLayout w:type="fixed"/>
        <w:tblInd w:w="220" w:type="dxa"/>
        <w:tblCellMar>
          <w:top w:w="0" w:type="dxa"/>
          <w:left w:w="0" w:type="dxa"/>
          <w:bottom w:w="0" w:type="dxa"/>
          <w:right w:w="0" w:type="dxa"/>
        </w:tblCellMar>
      </w:tblPr>
      <w:tr>
        <w:trPr>
          <w:trHeight w:val="211"/>
        </w:trPr>
        <w:tc>
          <w:tcPr>
            <w:tcW w:w="1640" w:type="dxa"/>
            <w:vAlign w:val="bottom"/>
            <w:tcBorders>
              <w:right w:val="single" w:sz="8" w:color="999999"/>
            </w:tcBorders>
            <w:shd w:val="clear" w:color="auto" w:fill="505C81"/>
          </w:tcPr>
          <w:p>
            <w:pPr>
              <w:spacing w:after="0"/>
              <w:rPr>
                <w:sz w:val="18"/>
                <w:szCs w:val="18"/>
                <w:color w:val="auto"/>
              </w:rPr>
            </w:pPr>
          </w:p>
        </w:tc>
        <w:tc>
          <w:tcPr>
            <w:tcW w:w="80" w:type="dxa"/>
            <w:vAlign w:val="bottom"/>
            <w:shd w:val="clear" w:color="auto" w:fill="505C81"/>
          </w:tcPr>
          <w:p>
            <w:pPr>
              <w:spacing w:after="0"/>
              <w:rPr>
                <w:sz w:val="18"/>
                <w:szCs w:val="18"/>
                <w:color w:val="auto"/>
              </w:rPr>
            </w:pPr>
          </w:p>
        </w:tc>
        <w:tc>
          <w:tcPr>
            <w:tcW w:w="1640" w:type="dxa"/>
            <w:vAlign w:val="bottom"/>
            <w:shd w:val="clear" w:color="auto" w:fill="505C81"/>
          </w:tcPr>
          <w:p>
            <w:pPr>
              <w:jc w:val="center"/>
              <w:spacing w:after="0"/>
              <w:rPr>
                <w:sz w:val="20"/>
                <w:szCs w:val="20"/>
                <w:color w:val="auto"/>
              </w:rPr>
            </w:pPr>
            <w:r>
              <w:rPr>
                <w:rFonts w:ascii="Arial" w:cs="Arial" w:eastAsia="Arial" w:hAnsi="Arial"/>
                <w:sz w:val="16"/>
                <w:szCs w:val="16"/>
                <w:b w:val="1"/>
                <w:bCs w:val="1"/>
                <w:color w:val="FFFFFF"/>
                <w:w w:val="97"/>
              </w:rPr>
              <w:t>PAY</w:t>
            </w:r>
          </w:p>
        </w:tc>
        <w:tc>
          <w:tcPr>
            <w:tcW w:w="680" w:type="dxa"/>
            <w:vAlign w:val="bottom"/>
            <w:shd w:val="clear" w:color="auto" w:fill="505C81"/>
          </w:tcPr>
          <w:p>
            <w:pPr>
              <w:spacing w:after="0"/>
              <w:rPr>
                <w:sz w:val="18"/>
                <w:szCs w:val="18"/>
                <w:color w:val="auto"/>
              </w:rPr>
            </w:pPr>
          </w:p>
        </w:tc>
        <w:tc>
          <w:tcPr>
            <w:tcW w:w="1720" w:type="dxa"/>
            <w:vAlign w:val="bottom"/>
            <w:shd w:val="clear" w:color="auto" w:fill="505C81"/>
          </w:tcPr>
          <w:p>
            <w:pPr>
              <w:ind w:left="200"/>
              <w:spacing w:after="0"/>
              <w:rPr>
                <w:sz w:val="20"/>
                <w:szCs w:val="20"/>
                <w:color w:val="auto"/>
              </w:rPr>
            </w:pPr>
            <w:r>
              <w:rPr>
                <w:rFonts w:ascii="Arial" w:cs="Arial" w:eastAsia="Arial" w:hAnsi="Arial"/>
                <w:sz w:val="16"/>
                <w:szCs w:val="16"/>
                <w:b w:val="1"/>
                <w:bCs w:val="1"/>
                <w:color w:val="FFFFFF"/>
              </w:rPr>
              <w:t>METRICS &amp;</w:t>
            </w:r>
          </w:p>
        </w:tc>
        <w:tc>
          <w:tcPr>
            <w:tcW w:w="360" w:type="dxa"/>
            <w:vAlign w:val="bottom"/>
            <w:shd w:val="clear" w:color="auto" w:fill="505C81"/>
          </w:tcPr>
          <w:p>
            <w:pPr>
              <w:spacing w:after="0"/>
              <w:rPr>
                <w:sz w:val="18"/>
                <w:szCs w:val="18"/>
                <w:color w:val="auto"/>
              </w:rPr>
            </w:pPr>
          </w:p>
        </w:tc>
        <w:tc>
          <w:tcPr>
            <w:tcW w:w="2340" w:type="dxa"/>
            <w:vAlign w:val="bottom"/>
            <w:shd w:val="clear" w:color="auto" w:fill="505C81"/>
          </w:tcPr>
          <w:p>
            <w:pPr>
              <w:spacing w:after="0"/>
              <w:rPr>
                <w:sz w:val="18"/>
                <w:szCs w:val="18"/>
                <w:color w:val="auto"/>
              </w:rPr>
            </w:pPr>
          </w:p>
        </w:tc>
        <w:tc>
          <w:tcPr>
            <w:tcW w:w="2540" w:type="dxa"/>
            <w:vAlign w:val="bottom"/>
            <w:shd w:val="clear" w:color="auto" w:fill="505C81"/>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640" w:type="dxa"/>
            <w:vAlign w:val="bottom"/>
            <w:tcBorders>
              <w:bottom w:val="single" w:sz="8" w:color="505C81"/>
              <w:right w:val="single" w:sz="8" w:color="999999"/>
            </w:tcBorders>
            <w:shd w:val="clear" w:color="auto" w:fill="505C81"/>
          </w:tcPr>
          <w:p>
            <w:pPr>
              <w:ind w:left="140"/>
              <w:spacing w:after="0"/>
              <w:rPr>
                <w:sz w:val="20"/>
                <w:szCs w:val="20"/>
                <w:color w:val="auto"/>
              </w:rPr>
            </w:pPr>
            <w:r>
              <w:rPr>
                <w:rFonts w:ascii="Arial" w:cs="Arial" w:eastAsia="Arial" w:hAnsi="Arial"/>
                <w:sz w:val="16"/>
                <w:szCs w:val="16"/>
                <w:b w:val="1"/>
                <w:bCs w:val="1"/>
                <w:color w:val="FFFFFF"/>
              </w:rPr>
              <w:t>COMPONENT</w:t>
            </w:r>
          </w:p>
        </w:tc>
        <w:tc>
          <w:tcPr>
            <w:tcW w:w="80" w:type="dxa"/>
            <w:vAlign w:val="bottom"/>
            <w:tcBorders>
              <w:bottom w:val="single" w:sz="8" w:color="505C81"/>
            </w:tcBorders>
            <w:shd w:val="clear" w:color="auto" w:fill="505C81"/>
          </w:tcPr>
          <w:p>
            <w:pPr>
              <w:spacing w:after="0"/>
              <w:rPr>
                <w:sz w:val="20"/>
                <w:szCs w:val="20"/>
                <w:color w:val="auto"/>
              </w:rPr>
            </w:pPr>
          </w:p>
        </w:tc>
        <w:tc>
          <w:tcPr>
            <w:tcW w:w="1640" w:type="dxa"/>
            <w:vAlign w:val="bottom"/>
            <w:tcBorders>
              <w:bottom w:val="single" w:sz="8" w:color="505C81"/>
            </w:tcBorders>
            <w:shd w:val="clear" w:color="auto" w:fill="505C81"/>
          </w:tcPr>
          <w:p>
            <w:pPr>
              <w:jc w:val="center"/>
              <w:spacing w:after="0"/>
              <w:rPr>
                <w:sz w:val="20"/>
                <w:szCs w:val="20"/>
                <w:color w:val="auto"/>
              </w:rPr>
            </w:pPr>
            <w:r>
              <w:rPr>
                <w:rFonts w:ascii="Arial" w:cs="Arial" w:eastAsia="Arial" w:hAnsi="Arial"/>
                <w:sz w:val="16"/>
                <w:szCs w:val="16"/>
                <w:b w:val="1"/>
                <w:bCs w:val="1"/>
                <w:color w:val="FFFFFF"/>
                <w:w w:val="99"/>
              </w:rPr>
              <w:t>ELEMENT</w:t>
            </w:r>
          </w:p>
        </w:tc>
        <w:tc>
          <w:tcPr>
            <w:tcW w:w="680" w:type="dxa"/>
            <w:vAlign w:val="bottom"/>
            <w:tcBorders>
              <w:bottom w:val="single" w:sz="8" w:color="505C81"/>
            </w:tcBorders>
            <w:shd w:val="clear" w:color="auto" w:fill="505C81"/>
          </w:tcPr>
          <w:p>
            <w:pPr>
              <w:spacing w:after="0"/>
              <w:rPr>
                <w:sz w:val="20"/>
                <w:szCs w:val="20"/>
                <w:color w:val="auto"/>
              </w:rPr>
            </w:pPr>
          </w:p>
        </w:tc>
        <w:tc>
          <w:tcPr>
            <w:tcW w:w="1720" w:type="dxa"/>
            <w:vAlign w:val="bottom"/>
            <w:tcBorders>
              <w:bottom w:val="single" w:sz="8" w:color="505C81"/>
            </w:tcBorders>
            <w:shd w:val="clear" w:color="auto" w:fill="505C81"/>
          </w:tcPr>
          <w:p>
            <w:pPr>
              <w:ind w:left="180"/>
              <w:spacing w:after="0"/>
              <w:rPr>
                <w:sz w:val="20"/>
                <w:szCs w:val="20"/>
                <w:color w:val="auto"/>
              </w:rPr>
            </w:pPr>
            <w:r>
              <w:rPr>
                <w:rFonts w:ascii="Arial" w:cs="Arial" w:eastAsia="Arial" w:hAnsi="Arial"/>
                <w:sz w:val="16"/>
                <w:szCs w:val="16"/>
                <w:b w:val="1"/>
                <w:bCs w:val="1"/>
                <w:color w:val="FFFFFF"/>
              </w:rPr>
              <w:t>WEIGHTING</w:t>
            </w:r>
          </w:p>
        </w:tc>
        <w:tc>
          <w:tcPr>
            <w:tcW w:w="360" w:type="dxa"/>
            <w:vAlign w:val="bottom"/>
            <w:tcBorders>
              <w:bottom w:val="single" w:sz="8" w:color="505C81"/>
            </w:tcBorders>
            <w:shd w:val="clear" w:color="auto" w:fill="505C81"/>
          </w:tcPr>
          <w:p>
            <w:pPr>
              <w:spacing w:after="0"/>
              <w:rPr>
                <w:sz w:val="20"/>
                <w:szCs w:val="20"/>
                <w:color w:val="auto"/>
              </w:rPr>
            </w:pPr>
          </w:p>
        </w:tc>
        <w:tc>
          <w:tcPr>
            <w:tcW w:w="2340" w:type="dxa"/>
            <w:vAlign w:val="bottom"/>
            <w:tcBorders>
              <w:bottom w:val="single" w:sz="8" w:color="505C81"/>
            </w:tcBorders>
            <w:shd w:val="clear" w:color="auto" w:fill="505C81"/>
          </w:tcPr>
          <w:p>
            <w:pPr>
              <w:ind w:left="640"/>
              <w:spacing w:after="0"/>
              <w:rPr>
                <w:sz w:val="20"/>
                <w:szCs w:val="20"/>
                <w:color w:val="auto"/>
              </w:rPr>
            </w:pPr>
            <w:r>
              <w:rPr>
                <w:rFonts w:ascii="Arial" w:cs="Arial" w:eastAsia="Arial" w:hAnsi="Arial"/>
                <w:sz w:val="16"/>
                <w:szCs w:val="16"/>
                <w:b w:val="1"/>
                <w:bCs w:val="1"/>
                <w:color w:val="FFFFFF"/>
              </w:rPr>
              <w:t>OBJECTIVES</w:t>
            </w:r>
          </w:p>
        </w:tc>
        <w:tc>
          <w:tcPr>
            <w:tcW w:w="2540" w:type="dxa"/>
            <w:vAlign w:val="bottom"/>
            <w:tcBorders>
              <w:bottom w:val="single" w:sz="8" w:color="505C81"/>
            </w:tcBorders>
            <w:shd w:val="clear" w:color="auto" w:fill="505C81"/>
          </w:tcPr>
          <w:p>
            <w:pPr>
              <w:ind w:left="720"/>
              <w:spacing w:after="0"/>
              <w:rPr>
                <w:sz w:val="20"/>
                <w:szCs w:val="20"/>
                <w:color w:val="auto"/>
              </w:rPr>
            </w:pPr>
            <w:r>
              <w:rPr>
                <w:rFonts w:ascii="Arial" w:cs="Arial" w:eastAsia="Arial" w:hAnsi="Arial"/>
                <w:sz w:val="16"/>
                <w:szCs w:val="16"/>
                <w:b w:val="1"/>
                <w:bCs w:val="1"/>
                <w:color w:val="FFFFFF"/>
              </w:rPr>
              <w:t>RATIONALE</w:t>
            </w:r>
          </w:p>
        </w:tc>
        <w:tc>
          <w:tcPr>
            <w:tcW w:w="0" w:type="dxa"/>
            <w:vAlign w:val="bottom"/>
          </w:tcPr>
          <w:p>
            <w:pPr>
              <w:spacing w:after="0"/>
              <w:rPr>
                <w:sz w:val="1"/>
                <w:szCs w:val="1"/>
                <w:color w:val="auto"/>
              </w:rPr>
            </w:pPr>
          </w:p>
        </w:tc>
      </w:tr>
      <w:tr>
        <w:trPr>
          <w:trHeight w:val="231"/>
        </w:trPr>
        <w:tc>
          <w:tcPr>
            <w:tcW w:w="1640" w:type="dxa"/>
            <w:vAlign w:val="bottom"/>
            <w:tcBorders>
              <w:right w:val="single" w:sz="8" w:color="999999"/>
            </w:tcBorders>
            <w:vMerge w:val="restart"/>
            <w:shd w:val="clear" w:color="auto" w:fill="D8D8D8"/>
          </w:tcPr>
          <w:p>
            <w:pPr>
              <w:ind w:left="220"/>
              <w:spacing w:after="0"/>
              <w:rPr>
                <w:sz w:val="20"/>
                <w:szCs w:val="20"/>
                <w:color w:val="auto"/>
              </w:rPr>
            </w:pPr>
            <w:r>
              <w:rPr>
                <w:rFonts w:ascii="Arial" w:cs="Arial" w:eastAsia="Arial" w:hAnsi="Arial"/>
                <w:sz w:val="16"/>
                <w:szCs w:val="16"/>
                <w:b w:val="1"/>
                <w:bCs w:val="1"/>
                <w:color w:val="auto"/>
              </w:rPr>
              <w:t>BASE SALARY</w:t>
            </w:r>
          </w:p>
        </w:tc>
        <w:tc>
          <w:tcPr>
            <w:tcW w:w="80" w:type="dxa"/>
            <w:vAlign w:val="bottom"/>
            <w:shd w:val="clear" w:color="auto" w:fill="D8D8D8"/>
          </w:tcPr>
          <w:p>
            <w:pPr>
              <w:spacing w:after="0"/>
              <w:rPr>
                <w:sz w:val="20"/>
                <w:szCs w:val="20"/>
                <w:color w:val="auto"/>
              </w:rPr>
            </w:pPr>
          </w:p>
        </w:tc>
        <w:tc>
          <w:tcPr>
            <w:tcW w:w="1640" w:type="dxa"/>
            <w:vAlign w:val="bottom"/>
            <w:vMerge w:val="restart"/>
            <w:shd w:val="clear" w:color="auto" w:fill="D8D8D8"/>
          </w:tcPr>
          <w:p>
            <w:pPr>
              <w:jc w:val="center"/>
              <w:spacing w:after="0"/>
              <w:rPr>
                <w:sz w:val="20"/>
                <w:szCs w:val="20"/>
                <w:color w:val="auto"/>
              </w:rPr>
            </w:pPr>
            <w:r>
              <w:rPr>
                <w:rFonts w:ascii="Arial" w:cs="Arial" w:eastAsia="Arial" w:hAnsi="Arial"/>
                <w:sz w:val="16"/>
                <w:szCs w:val="16"/>
                <w:b w:val="1"/>
                <w:bCs w:val="1"/>
                <w:color w:val="auto"/>
              </w:rPr>
              <w:t>Cash</w:t>
            </w:r>
          </w:p>
        </w:tc>
        <w:tc>
          <w:tcPr>
            <w:tcW w:w="680" w:type="dxa"/>
            <w:vAlign w:val="bottom"/>
            <w:shd w:val="clear" w:color="auto" w:fill="D8D8D8"/>
          </w:tcPr>
          <w:p>
            <w:pPr>
              <w:spacing w:after="0"/>
              <w:rPr>
                <w:sz w:val="20"/>
                <w:szCs w:val="20"/>
                <w:color w:val="auto"/>
              </w:rPr>
            </w:pPr>
          </w:p>
        </w:tc>
        <w:tc>
          <w:tcPr>
            <w:tcW w:w="1720" w:type="dxa"/>
            <w:vAlign w:val="bottom"/>
            <w:shd w:val="clear" w:color="auto" w:fill="D8D8D8"/>
          </w:tcPr>
          <w:p>
            <w:pPr>
              <w:spacing w:after="0"/>
              <w:rPr>
                <w:sz w:val="20"/>
                <w:szCs w:val="20"/>
                <w:color w:val="auto"/>
              </w:rPr>
            </w:pPr>
          </w:p>
        </w:tc>
        <w:tc>
          <w:tcPr>
            <w:tcW w:w="360" w:type="dxa"/>
            <w:vAlign w:val="bottom"/>
            <w:shd w:val="clear" w:color="auto" w:fill="D8D8D8"/>
          </w:tcPr>
          <w:p>
            <w:pPr>
              <w:spacing w:after="0"/>
              <w:rPr>
                <w:sz w:val="20"/>
                <w:szCs w:val="20"/>
                <w:color w:val="auto"/>
              </w:rPr>
            </w:pPr>
          </w:p>
        </w:tc>
        <w:tc>
          <w:tcPr>
            <w:tcW w:w="2340" w:type="dxa"/>
            <w:vAlign w:val="bottom"/>
            <w:shd w:val="clear" w:color="auto" w:fill="D8D8D8"/>
          </w:tcPr>
          <w:p>
            <w:pPr>
              <w:spacing w:after="0"/>
              <w:rPr>
                <w:sz w:val="20"/>
                <w:szCs w:val="20"/>
                <w:color w:val="auto"/>
              </w:rPr>
            </w:pPr>
          </w:p>
        </w:tc>
        <w:tc>
          <w:tcPr>
            <w:tcW w:w="2540" w:type="dxa"/>
            <w:vAlign w:val="bottom"/>
            <w:shd w:val="clear" w:color="auto" w:fill="D8D8D8"/>
          </w:tcPr>
          <w:p>
            <w:pPr>
              <w:ind w:left="40"/>
              <w:spacing w:after="0"/>
              <w:rPr>
                <w:sz w:val="20"/>
                <w:szCs w:val="20"/>
                <w:color w:val="auto"/>
              </w:rPr>
            </w:pPr>
            <w:r>
              <w:rPr>
                <w:rFonts w:ascii="Arial" w:cs="Arial" w:eastAsia="Arial" w:hAnsi="Arial"/>
                <w:sz w:val="16"/>
                <w:szCs w:val="16"/>
                <w:color w:val="auto"/>
              </w:rPr>
              <w:t>Need to offer competitive</w:t>
            </w:r>
          </w:p>
        </w:tc>
        <w:tc>
          <w:tcPr>
            <w:tcW w:w="0" w:type="dxa"/>
            <w:vAlign w:val="bottom"/>
          </w:tcPr>
          <w:p>
            <w:pPr>
              <w:spacing w:after="0"/>
              <w:rPr>
                <w:sz w:val="1"/>
                <w:szCs w:val="1"/>
                <w:color w:val="auto"/>
              </w:rPr>
            </w:pPr>
          </w:p>
        </w:tc>
      </w:tr>
      <w:tr>
        <w:trPr>
          <w:trHeight w:val="189"/>
        </w:trPr>
        <w:tc>
          <w:tcPr>
            <w:tcW w:w="1640" w:type="dxa"/>
            <w:vAlign w:val="bottom"/>
            <w:tcBorders>
              <w:right w:val="single" w:sz="8" w:color="999999"/>
            </w:tcBorders>
            <w:vMerge w:val="continue"/>
            <w:shd w:val="clear" w:color="auto" w:fill="D8D8D8"/>
          </w:tcPr>
          <w:p>
            <w:pPr>
              <w:spacing w:after="0"/>
              <w:rPr>
                <w:sz w:val="16"/>
                <w:szCs w:val="16"/>
                <w:color w:val="auto"/>
              </w:rPr>
            </w:pPr>
          </w:p>
        </w:tc>
        <w:tc>
          <w:tcPr>
            <w:tcW w:w="80" w:type="dxa"/>
            <w:vAlign w:val="bottom"/>
            <w:shd w:val="clear" w:color="auto" w:fill="D8D8D8"/>
          </w:tcPr>
          <w:p>
            <w:pPr>
              <w:spacing w:after="0"/>
              <w:rPr>
                <w:sz w:val="16"/>
                <w:szCs w:val="16"/>
                <w:color w:val="auto"/>
              </w:rPr>
            </w:pPr>
          </w:p>
        </w:tc>
        <w:tc>
          <w:tcPr>
            <w:tcW w:w="1640" w:type="dxa"/>
            <w:vAlign w:val="bottom"/>
            <w:vMerge w:val="continue"/>
            <w:shd w:val="clear" w:color="auto" w:fill="D8D8D8"/>
          </w:tcPr>
          <w:p>
            <w:pPr>
              <w:spacing w:after="0"/>
              <w:rPr>
                <w:sz w:val="16"/>
                <w:szCs w:val="16"/>
                <w:color w:val="auto"/>
              </w:rPr>
            </w:pPr>
          </w:p>
        </w:tc>
        <w:tc>
          <w:tcPr>
            <w:tcW w:w="680" w:type="dxa"/>
            <w:vAlign w:val="bottom"/>
            <w:shd w:val="clear" w:color="auto" w:fill="D8D8D8"/>
          </w:tcPr>
          <w:p>
            <w:pPr>
              <w:spacing w:after="0"/>
              <w:rPr>
                <w:sz w:val="16"/>
                <w:szCs w:val="16"/>
                <w:color w:val="auto"/>
              </w:rPr>
            </w:pPr>
          </w:p>
        </w:tc>
        <w:tc>
          <w:tcPr>
            <w:tcW w:w="1720" w:type="dxa"/>
            <w:vAlign w:val="bottom"/>
            <w:shd w:val="clear" w:color="auto" w:fill="D8D8D8"/>
          </w:tcPr>
          <w:p>
            <w:pPr>
              <w:spacing w:after="0"/>
              <w:rPr>
                <w:sz w:val="16"/>
                <w:szCs w:val="16"/>
                <w:color w:val="auto"/>
              </w:rPr>
            </w:pPr>
          </w:p>
        </w:tc>
        <w:tc>
          <w:tcPr>
            <w:tcW w:w="2700" w:type="dxa"/>
            <w:vAlign w:val="bottom"/>
            <w:gridSpan w:val="2"/>
            <w:shd w:val="clear" w:color="auto" w:fill="D8D8D8"/>
          </w:tcPr>
          <w:p>
            <w:pPr>
              <w:ind w:left="360"/>
              <w:spacing w:after="0"/>
              <w:rPr>
                <w:sz w:val="20"/>
                <w:szCs w:val="20"/>
                <w:color w:val="auto"/>
              </w:rPr>
            </w:pPr>
            <w:r>
              <w:rPr>
                <w:rFonts w:ascii="Arial" w:cs="Arial" w:eastAsia="Arial" w:hAnsi="Arial"/>
                <w:sz w:val="16"/>
                <w:szCs w:val="16"/>
                <w:color w:val="auto"/>
              </w:rPr>
              <w:t>Attract and retain executives</w:t>
            </w:r>
          </w:p>
        </w:tc>
        <w:tc>
          <w:tcPr>
            <w:tcW w:w="2540" w:type="dxa"/>
            <w:vAlign w:val="bottom"/>
            <w:shd w:val="clear" w:color="auto" w:fill="D8D8D8"/>
          </w:tcPr>
          <w:p>
            <w:pPr>
              <w:ind w:left="40"/>
              <w:spacing w:after="0"/>
              <w:rPr>
                <w:sz w:val="20"/>
                <w:szCs w:val="20"/>
                <w:color w:val="auto"/>
              </w:rPr>
            </w:pPr>
            <w:r>
              <w:rPr>
                <w:rFonts w:ascii="Arial" w:cs="Arial" w:eastAsia="Arial" w:hAnsi="Arial"/>
                <w:sz w:val="16"/>
                <w:szCs w:val="16"/>
                <w:color w:val="auto"/>
              </w:rPr>
              <w:t>salaries (benchmark to median</w:t>
            </w:r>
          </w:p>
        </w:tc>
        <w:tc>
          <w:tcPr>
            <w:tcW w:w="0" w:type="dxa"/>
            <w:vAlign w:val="bottom"/>
          </w:tcPr>
          <w:p>
            <w:pPr>
              <w:spacing w:after="0"/>
              <w:rPr>
                <w:sz w:val="1"/>
                <w:szCs w:val="1"/>
                <w:color w:val="auto"/>
              </w:rPr>
            </w:pPr>
          </w:p>
        </w:tc>
      </w:tr>
      <w:tr>
        <w:trPr>
          <w:trHeight w:val="221"/>
        </w:trPr>
        <w:tc>
          <w:tcPr>
            <w:tcW w:w="1640" w:type="dxa"/>
            <w:vAlign w:val="bottom"/>
            <w:tcBorders>
              <w:bottom w:val="single" w:sz="8" w:color="D8D8D8"/>
              <w:right w:val="single" w:sz="8" w:color="999999"/>
            </w:tcBorders>
            <w:shd w:val="clear" w:color="auto" w:fill="D8D8D8"/>
          </w:tcPr>
          <w:p>
            <w:pPr>
              <w:spacing w:after="0"/>
              <w:rPr>
                <w:sz w:val="19"/>
                <w:szCs w:val="19"/>
                <w:color w:val="auto"/>
              </w:rPr>
            </w:pPr>
          </w:p>
        </w:tc>
        <w:tc>
          <w:tcPr>
            <w:tcW w:w="80" w:type="dxa"/>
            <w:vAlign w:val="bottom"/>
            <w:tcBorders>
              <w:bottom w:val="single" w:sz="8" w:color="D8D8D8"/>
            </w:tcBorders>
            <w:shd w:val="clear" w:color="auto" w:fill="D8D8D8"/>
          </w:tcPr>
          <w:p>
            <w:pPr>
              <w:spacing w:after="0"/>
              <w:rPr>
                <w:sz w:val="19"/>
                <w:szCs w:val="19"/>
                <w:color w:val="auto"/>
              </w:rPr>
            </w:pPr>
          </w:p>
        </w:tc>
        <w:tc>
          <w:tcPr>
            <w:tcW w:w="1640" w:type="dxa"/>
            <w:vAlign w:val="bottom"/>
            <w:tcBorders>
              <w:bottom w:val="single" w:sz="8" w:color="D8D8D8"/>
            </w:tcBorders>
            <w:shd w:val="clear" w:color="auto" w:fill="D8D8D8"/>
          </w:tcPr>
          <w:p>
            <w:pPr>
              <w:spacing w:after="0"/>
              <w:rPr>
                <w:sz w:val="19"/>
                <w:szCs w:val="19"/>
                <w:color w:val="auto"/>
              </w:rPr>
            </w:pPr>
          </w:p>
        </w:tc>
        <w:tc>
          <w:tcPr>
            <w:tcW w:w="680" w:type="dxa"/>
            <w:vAlign w:val="bottom"/>
            <w:tcBorders>
              <w:bottom w:val="single" w:sz="8" w:color="D8D8D8"/>
            </w:tcBorders>
            <w:shd w:val="clear" w:color="auto" w:fill="D8D8D8"/>
          </w:tcPr>
          <w:p>
            <w:pPr>
              <w:spacing w:after="0"/>
              <w:rPr>
                <w:sz w:val="19"/>
                <w:szCs w:val="19"/>
                <w:color w:val="auto"/>
              </w:rPr>
            </w:pPr>
          </w:p>
        </w:tc>
        <w:tc>
          <w:tcPr>
            <w:tcW w:w="1720" w:type="dxa"/>
            <w:vAlign w:val="bottom"/>
            <w:tcBorders>
              <w:bottom w:val="single" w:sz="8" w:color="D8D8D8"/>
            </w:tcBorders>
            <w:shd w:val="clear" w:color="auto" w:fill="D8D8D8"/>
          </w:tcPr>
          <w:p>
            <w:pPr>
              <w:spacing w:after="0"/>
              <w:rPr>
                <w:sz w:val="19"/>
                <w:szCs w:val="19"/>
                <w:color w:val="auto"/>
              </w:rPr>
            </w:pPr>
          </w:p>
        </w:tc>
        <w:tc>
          <w:tcPr>
            <w:tcW w:w="360" w:type="dxa"/>
            <w:vAlign w:val="bottom"/>
            <w:tcBorders>
              <w:bottom w:val="single" w:sz="8" w:color="D8D8D8"/>
            </w:tcBorders>
            <w:shd w:val="clear" w:color="auto" w:fill="D8D8D8"/>
          </w:tcPr>
          <w:p>
            <w:pPr>
              <w:spacing w:after="0"/>
              <w:rPr>
                <w:sz w:val="19"/>
                <w:szCs w:val="19"/>
                <w:color w:val="auto"/>
              </w:rPr>
            </w:pPr>
          </w:p>
        </w:tc>
        <w:tc>
          <w:tcPr>
            <w:tcW w:w="2340" w:type="dxa"/>
            <w:vAlign w:val="bottom"/>
            <w:tcBorders>
              <w:bottom w:val="single" w:sz="8" w:color="D8D8D8"/>
            </w:tcBorders>
            <w:shd w:val="clear" w:color="auto" w:fill="D8D8D8"/>
          </w:tcPr>
          <w:p>
            <w:pPr>
              <w:spacing w:after="0"/>
              <w:rPr>
                <w:sz w:val="19"/>
                <w:szCs w:val="19"/>
                <w:color w:val="auto"/>
              </w:rPr>
            </w:pPr>
          </w:p>
        </w:tc>
        <w:tc>
          <w:tcPr>
            <w:tcW w:w="254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6"/>
                <w:szCs w:val="16"/>
                <w:color w:val="auto"/>
              </w:rPr>
              <w:t>of peer group)</w:t>
            </w:r>
          </w:p>
        </w:tc>
        <w:tc>
          <w:tcPr>
            <w:tcW w:w="0" w:type="dxa"/>
            <w:vAlign w:val="bottom"/>
          </w:tcPr>
          <w:p>
            <w:pPr>
              <w:spacing w:after="0"/>
              <w:rPr>
                <w:sz w:val="1"/>
                <w:szCs w:val="1"/>
                <w:color w:val="auto"/>
              </w:rPr>
            </w:pPr>
          </w:p>
        </w:tc>
      </w:tr>
      <w:tr>
        <w:trPr>
          <w:trHeight w:val="258"/>
        </w:trPr>
        <w:tc>
          <w:tcPr>
            <w:tcW w:w="1640" w:type="dxa"/>
            <w:vAlign w:val="bottom"/>
            <w:tcBorders>
              <w:right w:val="single" w:sz="8" w:color="999999"/>
            </w:tcBorders>
          </w:tcPr>
          <w:p>
            <w:pPr>
              <w:spacing w:after="0"/>
              <w:rPr>
                <w:sz w:val="22"/>
                <w:szCs w:val="22"/>
                <w:color w:val="auto"/>
              </w:rPr>
            </w:pPr>
          </w:p>
        </w:tc>
        <w:tc>
          <w:tcPr>
            <w:tcW w:w="8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2400" w:type="dxa"/>
            <w:vAlign w:val="bottom"/>
            <w:gridSpan w:val="2"/>
          </w:tcPr>
          <w:p>
            <w:pPr>
              <w:ind w:left="120"/>
              <w:spacing w:after="0"/>
              <w:rPr>
                <w:sz w:val="20"/>
                <w:szCs w:val="20"/>
                <w:color w:val="auto"/>
              </w:rPr>
            </w:pPr>
            <w:r>
              <w:rPr>
                <w:rFonts w:ascii="Arial" w:cs="Arial" w:eastAsia="Arial" w:hAnsi="Arial"/>
                <w:sz w:val="16"/>
                <w:szCs w:val="16"/>
                <w:color w:val="auto"/>
              </w:rPr>
              <w:t>60% Financial Results</w:t>
            </w:r>
          </w:p>
        </w:tc>
        <w:tc>
          <w:tcPr>
            <w:tcW w:w="2700" w:type="dxa"/>
            <w:vAlign w:val="bottom"/>
            <w:gridSpan w:val="2"/>
          </w:tcPr>
          <w:p>
            <w:pPr>
              <w:ind w:left="360"/>
              <w:spacing w:after="0"/>
              <w:rPr>
                <w:sz w:val="20"/>
                <w:szCs w:val="20"/>
                <w:color w:val="auto"/>
              </w:rPr>
            </w:pPr>
            <w:r>
              <w:rPr>
                <w:rFonts w:ascii="Arial" w:cs="Arial" w:eastAsia="Arial" w:hAnsi="Arial"/>
                <w:sz w:val="16"/>
                <w:szCs w:val="16"/>
                <w:color w:val="auto"/>
              </w:rPr>
              <w:t>Drive profitability, growth, and</w:t>
            </w:r>
          </w:p>
        </w:tc>
        <w:tc>
          <w:tcPr>
            <w:tcW w:w="2540" w:type="dxa"/>
            <w:vAlign w:val="bottom"/>
          </w:tcPr>
          <w:p>
            <w:pPr>
              <w:ind w:left="40"/>
              <w:spacing w:after="0"/>
              <w:rPr>
                <w:sz w:val="20"/>
                <w:szCs w:val="20"/>
                <w:color w:val="auto"/>
              </w:rPr>
            </w:pPr>
            <w:r>
              <w:rPr>
                <w:rFonts w:ascii="Arial" w:cs="Arial" w:eastAsia="Arial" w:hAnsi="Arial"/>
                <w:sz w:val="16"/>
                <w:szCs w:val="16"/>
                <w:color w:val="auto"/>
              </w:rPr>
              <w:t>Individual objectives are</w:t>
            </w:r>
          </w:p>
        </w:tc>
        <w:tc>
          <w:tcPr>
            <w:tcW w:w="0" w:type="dxa"/>
            <w:vAlign w:val="bottom"/>
          </w:tcPr>
          <w:p>
            <w:pPr>
              <w:spacing w:after="0"/>
              <w:rPr>
                <w:sz w:val="1"/>
                <w:szCs w:val="1"/>
                <w:color w:val="auto"/>
              </w:rPr>
            </w:pPr>
          </w:p>
        </w:tc>
      </w:tr>
      <w:tr>
        <w:trPr>
          <w:trHeight w:val="189"/>
        </w:trPr>
        <w:tc>
          <w:tcPr>
            <w:tcW w:w="1640" w:type="dxa"/>
            <w:vAlign w:val="bottom"/>
            <w:tcBorders>
              <w:right w:val="single" w:sz="8" w:color="999999"/>
            </w:tcBorders>
          </w:tcPr>
          <w:p>
            <w:pPr>
              <w:spacing w:after="0"/>
              <w:rPr>
                <w:sz w:val="16"/>
                <w:szCs w:val="16"/>
                <w:color w:val="auto"/>
              </w:rPr>
            </w:pPr>
          </w:p>
        </w:tc>
        <w:tc>
          <w:tcPr>
            <w:tcW w:w="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680" w:type="dxa"/>
            <w:vAlign w:val="bottom"/>
            <w:vMerge w:val="restart"/>
          </w:tcPr>
          <w:p>
            <w:pPr>
              <w:ind w:left="440"/>
              <w:spacing w:after="0"/>
              <w:rPr>
                <w:sz w:val="20"/>
                <w:szCs w:val="20"/>
                <w:color w:val="auto"/>
              </w:rPr>
            </w:pPr>
            <w:r>
              <w:rPr>
                <w:rFonts w:ascii="Arial" w:cs="Arial" w:eastAsia="Arial" w:hAnsi="Arial"/>
                <w:sz w:val="16"/>
                <w:szCs w:val="16"/>
                <w:color w:val="auto"/>
              </w:rPr>
              <w:t>—</w:t>
            </w:r>
          </w:p>
        </w:tc>
        <w:tc>
          <w:tcPr>
            <w:tcW w:w="1720" w:type="dxa"/>
            <w:vAlign w:val="bottom"/>
            <w:vMerge w:val="restart"/>
          </w:tcPr>
          <w:p>
            <w:pPr>
              <w:ind w:left="100"/>
              <w:spacing w:after="0"/>
              <w:rPr>
                <w:sz w:val="20"/>
                <w:szCs w:val="20"/>
                <w:color w:val="auto"/>
              </w:rPr>
            </w:pPr>
            <w:r>
              <w:rPr>
                <w:rFonts w:ascii="Arial" w:cs="Arial" w:eastAsia="Arial" w:hAnsi="Arial"/>
                <w:sz w:val="16"/>
                <w:szCs w:val="16"/>
                <w:color w:val="auto"/>
              </w:rPr>
              <w:t>Revenue</w:t>
            </w:r>
          </w:p>
        </w:tc>
        <w:tc>
          <w:tcPr>
            <w:tcW w:w="2700" w:type="dxa"/>
            <w:vAlign w:val="bottom"/>
            <w:gridSpan w:val="2"/>
          </w:tcPr>
          <w:p>
            <w:pPr>
              <w:ind w:left="360"/>
              <w:spacing w:after="0"/>
              <w:rPr>
                <w:sz w:val="20"/>
                <w:szCs w:val="20"/>
                <w:color w:val="auto"/>
              </w:rPr>
            </w:pPr>
            <w:r>
              <w:rPr>
                <w:rFonts w:ascii="Arial" w:cs="Arial" w:eastAsia="Arial" w:hAnsi="Arial"/>
                <w:sz w:val="16"/>
                <w:szCs w:val="16"/>
                <w:color w:val="auto"/>
              </w:rPr>
              <w:t>progress toward strategy</w:t>
            </w:r>
          </w:p>
        </w:tc>
        <w:tc>
          <w:tcPr>
            <w:tcW w:w="2540" w:type="dxa"/>
            <w:vAlign w:val="bottom"/>
          </w:tcPr>
          <w:p>
            <w:pPr>
              <w:ind w:left="40"/>
              <w:spacing w:after="0"/>
              <w:rPr>
                <w:sz w:val="20"/>
                <w:szCs w:val="20"/>
                <w:color w:val="auto"/>
              </w:rPr>
            </w:pPr>
            <w:r>
              <w:rPr>
                <w:rFonts w:ascii="Arial" w:cs="Arial" w:eastAsia="Arial" w:hAnsi="Arial"/>
                <w:sz w:val="16"/>
                <w:szCs w:val="16"/>
                <w:color w:val="auto"/>
              </w:rPr>
              <w:t>designed to incentivize</w:t>
            </w:r>
          </w:p>
        </w:tc>
        <w:tc>
          <w:tcPr>
            <w:tcW w:w="0" w:type="dxa"/>
            <w:vAlign w:val="bottom"/>
          </w:tcPr>
          <w:p>
            <w:pPr>
              <w:spacing w:after="0"/>
              <w:rPr>
                <w:sz w:val="1"/>
                <w:szCs w:val="1"/>
                <w:color w:val="auto"/>
              </w:rPr>
            </w:pPr>
          </w:p>
        </w:tc>
      </w:tr>
      <w:tr>
        <w:trPr>
          <w:trHeight w:val="87"/>
        </w:trPr>
        <w:tc>
          <w:tcPr>
            <w:tcW w:w="1640" w:type="dxa"/>
            <w:vAlign w:val="bottom"/>
            <w:tcBorders>
              <w:right w:val="single" w:sz="8" w:color="999999"/>
            </w:tcBorders>
            <w:vMerge w:val="restart"/>
          </w:tcPr>
          <w:p>
            <w:pPr>
              <w:ind w:left="220"/>
              <w:spacing w:after="0"/>
              <w:rPr>
                <w:sz w:val="20"/>
                <w:szCs w:val="20"/>
                <w:color w:val="auto"/>
              </w:rPr>
            </w:pPr>
            <w:r>
              <w:rPr>
                <w:rFonts w:ascii="Arial" w:cs="Arial" w:eastAsia="Arial" w:hAnsi="Arial"/>
                <w:sz w:val="16"/>
                <w:szCs w:val="16"/>
                <w:b w:val="1"/>
                <w:bCs w:val="1"/>
                <w:color w:val="auto"/>
              </w:rPr>
              <w:t>ANNUAL</w:t>
            </w:r>
          </w:p>
        </w:tc>
        <w:tc>
          <w:tcPr>
            <w:tcW w:w="80" w:type="dxa"/>
            <w:vAlign w:val="bottom"/>
          </w:tcPr>
          <w:p>
            <w:pPr>
              <w:spacing w:after="0"/>
              <w:rPr>
                <w:sz w:val="7"/>
                <w:szCs w:val="7"/>
                <w:color w:val="auto"/>
              </w:rPr>
            </w:pPr>
          </w:p>
        </w:tc>
        <w:tc>
          <w:tcPr>
            <w:tcW w:w="16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1720" w:type="dxa"/>
            <w:vAlign w:val="bottom"/>
            <w:vMerge w:val="continue"/>
          </w:tcPr>
          <w:p>
            <w:pPr>
              <w:spacing w:after="0"/>
              <w:rPr>
                <w:sz w:val="7"/>
                <w:szCs w:val="7"/>
                <w:color w:val="auto"/>
              </w:rPr>
            </w:pPr>
          </w:p>
        </w:tc>
        <w:tc>
          <w:tcPr>
            <w:tcW w:w="2700" w:type="dxa"/>
            <w:vAlign w:val="bottom"/>
            <w:gridSpan w:val="2"/>
            <w:vMerge w:val="restart"/>
          </w:tcPr>
          <w:p>
            <w:pPr>
              <w:ind w:left="360"/>
              <w:spacing w:after="0"/>
              <w:rPr>
                <w:sz w:val="20"/>
                <w:szCs w:val="20"/>
                <w:color w:val="auto"/>
              </w:rPr>
            </w:pPr>
            <w:r>
              <w:rPr>
                <w:rFonts w:ascii="Arial" w:cs="Arial" w:eastAsia="Arial" w:hAnsi="Arial"/>
                <w:sz w:val="16"/>
                <w:szCs w:val="16"/>
                <w:color w:val="auto"/>
              </w:rPr>
              <w:t>implementation</w:t>
            </w:r>
          </w:p>
        </w:tc>
        <w:tc>
          <w:tcPr>
            <w:tcW w:w="2540" w:type="dxa"/>
            <w:vAlign w:val="bottom"/>
            <w:vMerge w:val="restart"/>
          </w:tcPr>
          <w:p>
            <w:pPr>
              <w:ind w:left="40"/>
              <w:spacing w:after="0"/>
              <w:rPr>
                <w:sz w:val="20"/>
                <w:szCs w:val="20"/>
                <w:color w:val="auto"/>
              </w:rPr>
            </w:pPr>
            <w:r>
              <w:rPr>
                <w:rFonts w:ascii="Arial" w:cs="Arial" w:eastAsia="Arial" w:hAnsi="Arial"/>
                <w:sz w:val="16"/>
                <w:szCs w:val="16"/>
                <w:color w:val="auto"/>
              </w:rPr>
              <w:t>achievement of long-term</w:t>
            </w:r>
          </w:p>
        </w:tc>
        <w:tc>
          <w:tcPr>
            <w:tcW w:w="0" w:type="dxa"/>
            <w:vAlign w:val="bottom"/>
          </w:tcPr>
          <w:p>
            <w:pPr>
              <w:spacing w:after="0"/>
              <w:rPr>
                <w:sz w:val="1"/>
                <w:szCs w:val="1"/>
                <w:color w:val="auto"/>
              </w:rPr>
            </w:pPr>
          </w:p>
        </w:tc>
      </w:tr>
      <w:tr>
        <w:trPr>
          <w:trHeight w:val="102"/>
        </w:trPr>
        <w:tc>
          <w:tcPr>
            <w:tcW w:w="1640" w:type="dxa"/>
            <w:vAlign w:val="bottom"/>
            <w:tcBorders>
              <w:right w:val="single" w:sz="8" w:color="999999"/>
            </w:tcBorders>
            <w:vMerge w:val="continue"/>
          </w:tcPr>
          <w:p>
            <w:pPr>
              <w:spacing w:after="0"/>
              <w:rPr>
                <w:sz w:val="8"/>
                <w:szCs w:val="8"/>
                <w:color w:val="auto"/>
              </w:rPr>
            </w:pPr>
          </w:p>
        </w:tc>
        <w:tc>
          <w:tcPr>
            <w:tcW w:w="80" w:type="dxa"/>
            <w:vAlign w:val="bottom"/>
          </w:tcPr>
          <w:p>
            <w:pPr>
              <w:spacing w:after="0"/>
              <w:rPr>
                <w:sz w:val="8"/>
                <w:szCs w:val="8"/>
                <w:color w:val="auto"/>
              </w:rPr>
            </w:pPr>
          </w:p>
        </w:tc>
        <w:tc>
          <w:tcPr>
            <w:tcW w:w="164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Cash</w:t>
            </w:r>
          </w:p>
        </w:tc>
        <w:tc>
          <w:tcPr>
            <w:tcW w:w="680" w:type="dxa"/>
            <w:vAlign w:val="bottom"/>
            <w:vMerge w:val="restart"/>
          </w:tcPr>
          <w:p>
            <w:pPr>
              <w:ind w:left="440"/>
              <w:spacing w:after="0"/>
              <w:rPr>
                <w:sz w:val="20"/>
                <w:szCs w:val="20"/>
                <w:color w:val="auto"/>
              </w:rPr>
            </w:pPr>
            <w:r>
              <w:rPr>
                <w:rFonts w:ascii="Arial" w:cs="Arial" w:eastAsia="Arial" w:hAnsi="Arial"/>
                <w:sz w:val="16"/>
                <w:szCs w:val="16"/>
                <w:color w:val="auto"/>
              </w:rPr>
              <w:t>—</w:t>
            </w:r>
          </w:p>
        </w:tc>
        <w:tc>
          <w:tcPr>
            <w:tcW w:w="1720" w:type="dxa"/>
            <w:vAlign w:val="bottom"/>
            <w:vMerge w:val="restart"/>
          </w:tcPr>
          <w:p>
            <w:pPr>
              <w:ind w:left="100"/>
              <w:spacing w:after="0"/>
              <w:rPr>
                <w:sz w:val="20"/>
                <w:szCs w:val="20"/>
                <w:color w:val="auto"/>
              </w:rPr>
            </w:pPr>
            <w:r>
              <w:rPr>
                <w:rFonts w:ascii="Arial" w:cs="Arial" w:eastAsia="Arial" w:hAnsi="Arial"/>
                <w:sz w:val="16"/>
                <w:szCs w:val="16"/>
                <w:color w:val="auto"/>
              </w:rPr>
              <w:t>Income</w:t>
            </w:r>
          </w:p>
        </w:tc>
        <w:tc>
          <w:tcPr>
            <w:tcW w:w="2700" w:type="dxa"/>
            <w:vAlign w:val="bottom"/>
            <w:gridSpan w:val="2"/>
            <w:vMerge w:val="continue"/>
          </w:tcPr>
          <w:p>
            <w:pPr>
              <w:spacing w:after="0"/>
              <w:rPr>
                <w:sz w:val="8"/>
                <w:szCs w:val="8"/>
                <w:color w:val="auto"/>
              </w:rPr>
            </w:pPr>
          </w:p>
        </w:tc>
        <w:tc>
          <w:tcPr>
            <w:tcW w:w="2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1640" w:type="dxa"/>
            <w:vAlign w:val="bottom"/>
            <w:tcBorders>
              <w:right w:val="single" w:sz="8" w:color="999999"/>
            </w:tcBorders>
            <w:vMerge w:val="restart"/>
          </w:tcPr>
          <w:p>
            <w:pPr>
              <w:ind w:left="220"/>
              <w:spacing w:after="0" w:line="175" w:lineRule="exact"/>
              <w:rPr>
                <w:sz w:val="20"/>
                <w:szCs w:val="20"/>
                <w:color w:val="auto"/>
              </w:rPr>
            </w:pPr>
            <w:r>
              <w:rPr>
                <w:rFonts w:ascii="Arial" w:cs="Arial" w:eastAsia="Arial" w:hAnsi="Arial"/>
                <w:sz w:val="16"/>
                <w:szCs w:val="16"/>
                <w:b w:val="1"/>
                <w:bCs w:val="1"/>
                <w:color w:val="auto"/>
              </w:rPr>
              <w:t>INCENTIVE PLAN</w:t>
            </w:r>
          </w:p>
        </w:tc>
        <w:tc>
          <w:tcPr>
            <w:tcW w:w="80" w:type="dxa"/>
            <w:vAlign w:val="bottom"/>
          </w:tcPr>
          <w:p>
            <w:pPr>
              <w:spacing w:after="0"/>
              <w:rPr>
                <w:sz w:val="11"/>
                <w:szCs w:val="11"/>
                <w:color w:val="auto"/>
              </w:rPr>
            </w:pPr>
          </w:p>
        </w:tc>
        <w:tc>
          <w:tcPr>
            <w:tcW w:w="16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172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2540" w:type="dxa"/>
            <w:vAlign w:val="bottom"/>
            <w:vMerge w:val="restart"/>
          </w:tcPr>
          <w:p>
            <w:pPr>
              <w:ind w:left="40"/>
              <w:spacing w:after="0" w:line="175" w:lineRule="exact"/>
              <w:rPr>
                <w:sz w:val="20"/>
                <w:szCs w:val="20"/>
                <w:color w:val="auto"/>
              </w:rPr>
            </w:pPr>
            <w:r>
              <w:rPr>
                <w:rFonts w:ascii="Arial" w:cs="Arial" w:eastAsia="Arial" w:hAnsi="Arial"/>
                <w:sz w:val="16"/>
                <w:szCs w:val="16"/>
                <w:color w:val="auto"/>
              </w:rPr>
              <w:t>strategic goals in order to</w:t>
            </w:r>
          </w:p>
        </w:tc>
        <w:tc>
          <w:tcPr>
            <w:tcW w:w="0" w:type="dxa"/>
            <w:vAlign w:val="bottom"/>
          </w:tcPr>
          <w:p>
            <w:pPr>
              <w:spacing w:after="0"/>
              <w:rPr>
                <w:sz w:val="1"/>
                <w:szCs w:val="1"/>
                <w:color w:val="auto"/>
              </w:rPr>
            </w:pPr>
          </w:p>
        </w:tc>
      </w:tr>
      <w:tr>
        <w:trPr>
          <w:trHeight w:val="48"/>
        </w:trPr>
        <w:tc>
          <w:tcPr>
            <w:tcW w:w="1640" w:type="dxa"/>
            <w:vAlign w:val="bottom"/>
            <w:tcBorders>
              <w:right w:val="single" w:sz="8" w:color="999999"/>
            </w:tcBorders>
            <w:vMerge w:val="continue"/>
          </w:tcPr>
          <w:p>
            <w:pPr>
              <w:spacing w:after="0"/>
              <w:rPr>
                <w:sz w:val="4"/>
                <w:szCs w:val="4"/>
                <w:color w:val="auto"/>
              </w:rPr>
            </w:pPr>
          </w:p>
        </w:tc>
        <w:tc>
          <w:tcPr>
            <w:tcW w:w="80" w:type="dxa"/>
            <w:vAlign w:val="bottom"/>
          </w:tcPr>
          <w:p>
            <w:pPr>
              <w:spacing w:after="0"/>
              <w:rPr>
                <w:sz w:val="4"/>
                <w:szCs w:val="4"/>
                <w:color w:val="auto"/>
              </w:rPr>
            </w:pPr>
          </w:p>
        </w:tc>
        <w:tc>
          <w:tcPr>
            <w:tcW w:w="164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1720" w:type="dxa"/>
            <w:vAlign w:val="bottom"/>
            <w:vMerge w:val="continue"/>
          </w:tcPr>
          <w:p>
            <w:pPr>
              <w:spacing w:after="0"/>
              <w:rPr>
                <w:sz w:val="4"/>
                <w:szCs w:val="4"/>
                <w:color w:val="auto"/>
              </w:rPr>
            </w:pPr>
          </w:p>
        </w:tc>
        <w:tc>
          <w:tcPr>
            <w:tcW w:w="360" w:type="dxa"/>
            <w:vAlign w:val="bottom"/>
          </w:tcPr>
          <w:p>
            <w:pPr>
              <w:spacing w:after="0"/>
              <w:rPr>
                <w:sz w:val="4"/>
                <w:szCs w:val="4"/>
                <w:color w:val="auto"/>
              </w:rPr>
            </w:pPr>
          </w:p>
        </w:tc>
        <w:tc>
          <w:tcPr>
            <w:tcW w:w="2340" w:type="dxa"/>
            <w:vAlign w:val="bottom"/>
          </w:tcPr>
          <w:p>
            <w:pPr>
              <w:spacing w:after="0"/>
              <w:rPr>
                <w:sz w:val="4"/>
                <w:szCs w:val="4"/>
                <w:color w:val="auto"/>
              </w:rPr>
            </w:pPr>
          </w:p>
        </w:tc>
        <w:tc>
          <w:tcPr>
            <w:tcW w:w="25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640" w:type="dxa"/>
            <w:vAlign w:val="bottom"/>
            <w:tcBorders>
              <w:right w:val="single" w:sz="8" w:color="999999"/>
            </w:tcBorders>
          </w:tcPr>
          <w:p>
            <w:pPr>
              <w:spacing w:after="0"/>
              <w:rPr>
                <w:sz w:val="16"/>
                <w:szCs w:val="16"/>
                <w:color w:val="auto"/>
              </w:rPr>
            </w:pPr>
          </w:p>
        </w:tc>
        <w:tc>
          <w:tcPr>
            <w:tcW w:w="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400" w:type="dxa"/>
            <w:vAlign w:val="bottom"/>
            <w:gridSpan w:val="2"/>
          </w:tcPr>
          <w:p>
            <w:pPr>
              <w:ind w:left="120"/>
              <w:spacing w:after="0"/>
              <w:rPr>
                <w:sz w:val="20"/>
                <w:szCs w:val="20"/>
                <w:color w:val="auto"/>
              </w:rPr>
            </w:pPr>
            <w:r>
              <w:rPr>
                <w:rFonts w:ascii="Arial" w:cs="Arial" w:eastAsia="Arial" w:hAnsi="Arial"/>
                <w:sz w:val="16"/>
                <w:szCs w:val="16"/>
                <w:color w:val="auto"/>
              </w:rPr>
              <w:t>40% Individual Strategic</w:t>
            </w:r>
          </w:p>
        </w:tc>
        <w:tc>
          <w:tcPr>
            <w:tcW w:w="36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2540" w:type="dxa"/>
            <w:vAlign w:val="bottom"/>
          </w:tcPr>
          <w:p>
            <w:pPr>
              <w:ind w:left="40"/>
              <w:spacing w:after="0"/>
              <w:rPr>
                <w:sz w:val="20"/>
                <w:szCs w:val="20"/>
                <w:color w:val="auto"/>
              </w:rPr>
            </w:pPr>
            <w:r>
              <w:rPr>
                <w:rFonts w:ascii="Arial" w:cs="Arial" w:eastAsia="Arial" w:hAnsi="Arial"/>
                <w:sz w:val="16"/>
                <w:szCs w:val="16"/>
                <w:color w:val="auto"/>
              </w:rPr>
              <w:t>create shareholder value over</w:t>
            </w:r>
          </w:p>
        </w:tc>
        <w:tc>
          <w:tcPr>
            <w:tcW w:w="0" w:type="dxa"/>
            <w:vAlign w:val="bottom"/>
          </w:tcPr>
          <w:p>
            <w:pPr>
              <w:spacing w:after="0"/>
              <w:rPr>
                <w:sz w:val="1"/>
                <w:szCs w:val="1"/>
                <w:color w:val="auto"/>
              </w:rPr>
            </w:pPr>
          </w:p>
        </w:tc>
      </w:tr>
      <w:tr>
        <w:trPr>
          <w:trHeight w:val="208"/>
        </w:trPr>
        <w:tc>
          <w:tcPr>
            <w:tcW w:w="1640" w:type="dxa"/>
            <w:vAlign w:val="bottom"/>
            <w:tcBorders>
              <w:right w:val="single" w:sz="8" w:color="999999"/>
            </w:tcBorders>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400" w:type="dxa"/>
            <w:vAlign w:val="bottom"/>
            <w:gridSpan w:val="2"/>
          </w:tcPr>
          <w:p>
            <w:pPr>
              <w:ind w:left="120"/>
              <w:spacing w:after="0"/>
              <w:rPr>
                <w:sz w:val="20"/>
                <w:szCs w:val="20"/>
                <w:color w:val="auto"/>
              </w:rPr>
            </w:pPr>
            <w:r>
              <w:rPr>
                <w:rFonts w:ascii="Arial" w:cs="Arial" w:eastAsia="Arial" w:hAnsi="Arial"/>
                <w:sz w:val="16"/>
                <w:szCs w:val="16"/>
                <w:color w:val="auto"/>
              </w:rPr>
              <w:t>Objectives</w:t>
            </w:r>
          </w:p>
        </w:tc>
        <w:tc>
          <w:tcPr>
            <w:tcW w:w="3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540" w:type="dxa"/>
            <w:vAlign w:val="bottom"/>
          </w:tcPr>
          <w:p>
            <w:pPr>
              <w:ind w:left="40"/>
              <w:spacing w:after="0"/>
              <w:rPr>
                <w:sz w:val="20"/>
                <w:szCs w:val="20"/>
                <w:color w:val="auto"/>
              </w:rPr>
            </w:pPr>
            <w:r>
              <w:rPr>
                <w:rFonts w:ascii="Arial" w:cs="Arial" w:eastAsia="Arial" w:hAnsi="Arial"/>
                <w:sz w:val="16"/>
                <w:szCs w:val="16"/>
                <w:color w:val="auto"/>
              </w:rPr>
              <w:t>time</w:t>
            </w:r>
          </w:p>
        </w:tc>
        <w:tc>
          <w:tcPr>
            <w:tcW w:w="0" w:type="dxa"/>
            <w:vAlign w:val="bottom"/>
          </w:tcPr>
          <w:p>
            <w:pPr>
              <w:spacing w:after="0"/>
              <w:rPr>
                <w:sz w:val="1"/>
                <w:szCs w:val="1"/>
                <w:color w:val="auto"/>
              </w:rPr>
            </w:pPr>
          </w:p>
        </w:tc>
      </w:tr>
      <w:tr>
        <w:trPr>
          <w:trHeight w:val="46"/>
        </w:trPr>
        <w:tc>
          <w:tcPr>
            <w:tcW w:w="1640" w:type="dxa"/>
            <w:vAlign w:val="bottom"/>
            <w:tcBorders>
              <w:right w:val="single" w:sz="8" w:color="999999"/>
            </w:tcBorders>
          </w:tcPr>
          <w:p>
            <w:pPr>
              <w:spacing w:after="0"/>
              <w:rPr>
                <w:sz w:val="4"/>
                <w:szCs w:val="4"/>
                <w:color w:val="auto"/>
              </w:rPr>
            </w:pPr>
          </w:p>
        </w:tc>
        <w:tc>
          <w:tcPr>
            <w:tcW w:w="80" w:type="dxa"/>
            <w:vAlign w:val="bottom"/>
          </w:tcPr>
          <w:p>
            <w:pPr>
              <w:spacing w:after="0"/>
              <w:rPr>
                <w:sz w:val="4"/>
                <w:szCs w:val="4"/>
                <w:color w:val="auto"/>
              </w:rPr>
            </w:pPr>
          </w:p>
        </w:tc>
        <w:tc>
          <w:tcPr>
            <w:tcW w:w="1640" w:type="dxa"/>
            <w:vAlign w:val="bottom"/>
          </w:tcPr>
          <w:p>
            <w:pPr>
              <w:spacing w:after="0"/>
              <w:rPr>
                <w:sz w:val="4"/>
                <w:szCs w:val="4"/>
                <w:color w:val="auto"/>
              </w:rPr>
            </w:pPr>
          </w:p>
        </w:tc>
        <w:tc>
          <w:tcPr>
            <w:tcW w:w="2400" w:type="dxa"/>
            <w:vAlign w:val="bottom"/>
            <w:gridSpan w:val="2"/>
          </w:tcPr>
          <w:p>
            <w:pPr>
              <w:spacing w:after="0"/>
              <w:rPr>
                <w:sz w:val="4"/>
                <w:szCs w:val="4"/>
                <w:color w:val="auto"/>
              </w:rPr>
            </w:pPr>
          </w:p>
        </w:tc>
        <w:tc>
          <w:tcPr>
            <w:tcW w:w="2700" w:type="dxa"/>
            <w:vAlign w:val="bottom"/>
            <w:gridSpan w:val="2"/>
          </w:tcPr>
          <w:p>
            <w:pPr>
              <w:spacing w:after="0"/>
              <w:rPr>
                <w:sz w:val="4"/>
                <w:szCs w:val="4"/>
                <w:color w:val="auto"/>
              </w:rPr>
            </w:pPr>
          </w:p>
        </w:tc>
        <w:tc>
          <w:tcPr>
            <w:tcW w:w="2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640" w:type="dxa"/>
            <w:vAlign w:val="bottom"/>
            <w:tcBorders>
              <w:right w:val="single" w:sz="8" w:color="999999"/>
            </w:tcBorders>
            <w:shd w:val="clear" w:color="auto" w:fill="D8D8D8"/>
          </w:tcPr>
          <w:p>
            <w:pPr>
              <w:spacing w:after="0"/>
              <w:rPr>
                <w:sz w:val="18"/>
                <w:szCs w:val="18"/>
                <w:color w:val="auto"/>
              </w:rPr>
            </w:pPr>
          </w:p>
        </w:tc>
        <w:tc>
          <w:tcPr>
            <w:tcW w:w="80" w:type="dxa"/>
            <w:vAlign w:val="bottom"/>
            <w:shd w:val="clear" w:color="auto" w:fill="D8D8D8"/>
          </w:tcPr>
          <w:p>
            <w:pPr>
              <w:spacing w:after="0"/>
              <w:rPr>
                <w:sz w:val="18"/>
                <w:szCs w:val="18"/>
                <w:color w:val="auto"/>
              </w:rPr>
            </w:pPr>
          </w:p>
        </w:tc>
        <w:tc>
          <w:tcPr>
            <w:tcW w:w="1640" w:type="dxa"/>
            <w:vAlign w:val="bottom"/>
            <w:shd w:val="clear" w:color="auto" w:fill="D8D8D8"/>
          </w:tcPr>
          <w:p>
            <w:pPr>
              <w:jc w:val="center"/>
              <w:spacing w:after="0"/>
              <w:rPr>
                <w:sz w:val="20"/>
                <w:szCs w:val="20"/>
                <w:color w:val="auto"/>
              </w:rPr>
            </w:pPr>
            <w:r>
              <w:rPr>
                <w:rFonts w:ascii="Arial" w:cs="Arial" w:eastAsia="Arial" w:hAnsi="Arial"/>
                <w:sz w:val="16"/>
                <w:szCs w:val="16"/>
                <w:b w:val="1"/>
                <w:bCs w:val="1"/>
                <w:color w:val="auto"/>
                <w:w w:val="97"/>
              </w:rPr>
              <w:t>SSARs</w:t>
            </w:r>
          </w:p>
        </w:tc>
        <w:tc>
          <w:tcPr>
            <w:tcW w:w="2400" w:type="dxa"/>
            <w:vAlign w:val="bottom"/>
            <w:gridSpan w:val="2"/>
            <w:shd w:val="clear" w:color="auto" w:fill="D8D8D8"/>
          </w:tcPr>
          <w:p>
            <w:pPr>
              <w:ind w:left="120"/>
              <w:spacing w:after="0"/>
              <w:rPr>
                <w:sz w:val="20"/>
                <w:szCs w:val="20"/>
                <w:color w:val="auto"/>
              </w:rPr>
            </w:pPr>
            <w:r>
              <w:rPr>
                <w:rFonts w:ascii="Arial" w:cs="Arial" w:eastAsia="Arial" w:hAnsi="Arial"/>
                <w:sz w:val="16"/>
                <w:szCs w:val="16"/>
                <w:color w:val="auto"/>
              </w:rPr>
              <w:t>Dover Stock Price</w:t>
            </w:r>
          </w:p>
        </w:tc>
        <w:tc>
          <w:tcPr>
            <w:tcW w:w="360" w:type="dxa"/>
            <w:vAlign w:val="bottom"/>
            <w:shd w:val="clear" w:color="auto" w:fill="D8D8D8"/>
          </w:tcPr>
          <w:p>
            <w:pPr>
              <w:spacing w:after="0"/>
              <w:rPr>
                <w:sz w:val="18"/>
                <w:szCs w:val="18"/>
                <w:color w:val="auto"/>
              </w:rPr>
            </w:pPr>
          </w:p>
        </w:tc>
        <w:tc>
          <w:tcPr>
            <w:tcW w:w="2340" w:type="dxa"/>
            <w:vAlign w:val="bottom"/>
            <w:shd w:val="clear" w:color="auto" w:fill="D8D8D8"/>
          </w:tcPr>
          <w:p>
            <w:pPr>
              <w:spacing w:after="0"/>
              <w:rPr>
                <w:sz w:val="20"/>
                <w:szCs w:val="20"/>
                <w:color w:val="auto"/>
              </w:rPr>
            </w:pPr>
            <w:r>
              <w:rPr>
                <w:rFonts w:ascii="Arial" w:cs="Arial" w:eastAsia="Arial" w:hAnsi="Arial"/>
                <w:sz w:val="16"/>
                <w:szCs w:val="16"/>
                <w:color w:val="auto"/>
              </w:rPr>
              <w:t>Drive profitability and growth,</w:t>
            </w:r>
          </w:p>
        </w:tc>
        <w:tc>
          <w:tcPr>
            <w:tcW w:w="2540" w:type="dxa"/>
            <w:vAlign w:val="bottom"/>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40" w:type="dxa"/>
            <w:vAlign w:val="bottom"/>
            <w:tcBorders>
              <w:right w:val="single" w:sz="8" w:color="999999"/>
            </w:tcBorders>
            <w:shd w:val="clear" w:color="auto" w:fill="D8D8D8"/>
          </w:tcPr>
          <w:p>
            <w:pPr>
              <w:spacing w:after="0"/>
              <w:rPr>
                <w:sz w:val="18"/>
                <w:szCs w:val="18"/>
                <w:color w:val="auto"/>
              </w:rPr>
            </w:pPr>
          </w:p>
        </w:tc>
        <w:tc>
          <w:tcPr>
            <w:tcW w:w="80" w:type="dxa"/>
            <w:vAlign w:val="bottom"/>
            <w:shd w:val="clear" w:color="auto" w:fill="D8D8D8"/>
          </w:tcPr>
          <w:p>
            <w:pPr>
              <w:spacing w:after="0"/>
              <w:rPr>
                <w:sz w:val="18"/>
                <w:szCs w:val="18"/>
                <w:color w:val="auto"/>
              </w:rPr>
            </w:pPr>
          </w:p>
        </w:tc>
        <w:tc>
          <w:tcPr>
            <w:tcW w:w="1640" w:type="dxa"/>
            <w:vAlign w:val="bottom"/>
            <w:vMerge w:val="restart"/>
            <w:shd w:val="clear" w:color="auto" w:fill="D8D8D8"/>
          </w:tcPr>
          <w:p>
            <w:pPr>
              <w:jc w:val="center"/>
              <w:spacing w:after="0"/>
              <w:rPr>
                <w:sz w:val="20"/>
                <w:szCs w:val="20"/>
                <w:color w:val="auto"/>
              </w:rPr>
            </w:pPr>
            <w:r>
              <w:rPr>
                <w:rFonts w:ascii="Arial" w:cs="Arial" w:eastAsia="Arial" w:hAnsi="Arial"/>
                <w:sz w:val="16"/>
                <w:szCs w:val="16"/>
                <w:b w:val="1"/>
                <w:bCs w:val="1"/>
                <w:color w:val="auto"/>
              </w:rPr>
              <w:t>RSUs</w:t>
            </w:r>
          </w:p>
        </w:tc>
        <w:tc>
          <w:tcPr>
            <w:tcW w:w="2400" w:type="dxa"/>
            <w:vAlign w:val="bottom"/>
            <w:gridSpan w:val="2"/>
            <w:shd w:val="clear" w:color="auto" w:fill="D8D8D8"/>
          </w:tcPr>
          <w:p>
            <w:pPr>
              <w:ind w:left="120"/>
              <w:spacing w:after="0"/>
              <w:rPr>
                <w:sz w:val="20"/>
                <w:szCs w:val="20"/>
                <w:color w:val="auto"/>
              </w:rPr>
            </w:pPr>
            <w:r>
              <w:rPr>
                <w:rFonts w:ascii="Arial" w:cs="Arial" w:eastAsia="Arial" w:hAnsi="Arial"/>
                <w:sz w:val="16"/>
                <w:szCs w:val="16"/>
                <w:i w:val="1"/>
                <w:iCs w:val="1"/>
                <w:color w:val="auto"/>
              </w:rPr>
              <w:t>3-year performance period</w:t>
            </w:r>
          </w:p>
        </w:tc>
        <w:tc>
          <w:tcPr>
            <w:tcW w:w="360" w:type="dxa"/>
            <w:vAlign w:val="bottom"/>
            <w:shd w:val="clear" w:color="auto" w:fill="D8D8D8"/>
          </w:tcPr>
          <w:p>
            <w:pPr>
              <w:spacing w:after="0"/>
              <w:rPr>
                <w:sz w:val="18"/>
                <w:szCs w:val="18"/>
                <w:color w:val="auto"/>
              </w:rPr>
            </w:pPr>
          </w:p>
        </w:tc>
        <w:tc>
          <w:tcPr>
            <w:tcW w:w="2340" w:type="dxa"/>
            <w:vAlign w:val="bottom"/>
            <w:shd w:val="clear" w:color="auto" w:fill="D8D8D8"/>
          </w:tcPr>
          <w:p>
            <w:pPr>
              <w:spacing w:after="0"/>
              <w:rPr>
                <w:sz w:val="20"/>
                <w:szCs w:val="20"/>
                <w:color w:val="auto"/>
              </w:rPr>
            </w:pPr>
            <w:r>
              <w:rPr>
                <w:rFonts w:ascii="Arial" w:cs="Arial" w:eastAsia="Arial" w:hAnsi="Arial"/>
                <w:sz w:val="16"/>
                <w:szCs w:val="16"/>
                <w:color w:val="auto"/>
              </w:rPr>
              <w:t>create shareholder value, foster</w:t>
            </w:r>
          </w:p>
        </w:tc>
        <w:tc>
          <w:tcPr>
            <w:tcW w:w="2540" w:type="dxa"/>
            <w:vAlign w:val="bottom"/>
            <w:vMerge w:val="restart"/>
            <w:shd w:val="clear" w:color="auto" w:fill="D8D8D8"/>
          </w:tcPr>
          <w:p>
            <w:pPr>
              <w:ind w:left="40"/>
              <w:spacing w:after="0"/>
              <w:rPr>
                <w:sz w:val="20"/>
                <w:szCs w:val="20"/>
                <w:color w:val="auto"/>
              </w:rPr>
            </w:pPr>
            <w:r>
              <w:rPr>
                <w:rFonts w:ascii="Arial" w:cs="Arial" w:eastAsia="Arial" w:hAnsi="Arial"/>
                <w:sz w:val="16"/>
                <w:szCs w:val="16"/>
                <w:color w:val="auto"/>
              </w:rPr>
              <w:t>All components paid in stock to</w:t>
            </w:r>
          </w:p>
        </w:tc>
        <w:tc>
          <w:tcPr>
            <w:tcW w:w="0" w:type="dxa"/>
            <w:vAlign w:val="bottom"/>
          </w:tcPr>
          <w:p>
            <w:pPr>
              <w:spacing w:after="0"/>
              <w:rPr>
                <w:sz w:val="1"/>
                <w:szCs w:val="1"/>
                <w:color w:val="auto"/>
              </w:rPr>
            </w:pPr>
          </w:p>
        </w:tc>
      </w:tr>
      <w:tr>
        <w:trPr>
          <w:trHeight w:val="88"/>
        </w:trPr>
        <w:tc>
          <w:tcPr>
            <w:tcW w:w="1640" w:type="dxa"/>
            <w:vAlign w:val="bottom"/>
            <w:tcBorders>
              <w:right w:val="single" w:sz="8" w:color="999999"/>
            </w:tcBorders>
            <w:vMerge w:val="restart"/>
            <w:shd w:val="clear" w:color="auto" w:fill="D8D8D8"/>
          </w:tcPr>
          <w:p>
            <w:pPr>
              <w:ind w:left="220"/>
              <w:spacing w:after="0" w:line="183" w:lineRule="exact"/>
              <w:rPr>
                <w:sz w:val="20"/>
                <w:szCs w:val="20"/>
                <w:color w:val="auto"/>
              </w:rPr>
            </w:pPr>
            <w:r>
              <w:rPr>
                <w:rFonts w:ascii="Arial" w:cs="Arial" w:eastAsia="Arial" w:hAnsi="Arial"/>
                <w:sz w:val="16"/>
                <w:szCs w:val="16"/>
                <w:b w:val="1"/>
                <w:bCs w:val="1"/>
                <w:color w:val="auto"/>
              </w:rPr>
              <w:t>LONG-TERM</w:t>
            </w:r>
          </w:p>
        </w:tc>
        <w:tc>
          <w:tcPr>
            <w:tcW w:w="80" w:type="dxa"/>
            <w:vAlign w:val="bottom"/>
            <w:shd w:val="clear" w:color="auto" w:fill="D8D8D8"/>
          </w:tcPr>
          <w:p>
            <w:pPr>
              <w:spacing w:after="0"/>
              <w:rPr>
                <w:sz w:val="7"/>
                <w:szCs w:val="7"/>
                <w:color w:val="auto"/>
              </w:rPr>
            </w:pPr>
          </w:p>
        </w:tc>
        <w:tc>
          <w:tcPr>
            <w:tcW w:w="1640" w:type="dxa"/>
            <w:vAlign w:val="bottom"/>
            <w:vMerge w:val="continue"/>
            <w:shd w:val="clear" w:color="auto" w:fill="D8D8D8"/>
          </w:tcPr>
          <w:p>
            <w:pPr>
              <w:spacing w:after="0"/>
              <w:rPr>
                <w:sz w:val="7"/>
                <w:szCs w:val="7"/>
                <w:color w:val="auto"/>
              </w:rPr>
            </w:pPr>
          </w:p>
        </w:tc>
        <w:tc>
          <w:tcPr>
            <w:tcW w:w="680" w:type="dxa"/>
            <w:vAlign w:val="bottom"/>
            <w:shd w:val="clear" w:color="auto" w:fill="D8D8D8"/>
          </w:tcPr>
          <w:p>
            <w:pPr>
              <w:spacing w:after="0"/>
              <w:rPr>
                <w:sz w:val="7"/>
                <w:szCs w:val="7"/>
                <w:color w:val="auto"/>
              </w:rPr>
            </w:pPr>
          </w:p>
        </w:tc>
        <w:tc>
          <w:tcPr>
            <w:tcW w:w="1720" w:type="dxa"/>
            <w:vAlign w:val="bottom"/>
            <w:shd w:val="clear" w:color="auto" w:fill="D8D8D8"/>
          </w:tcPr>
          <w:p>
            <w:pPr>
              <w:spacing w:after="0"/>
              <w:rPr>
                <w:sz w:val="7"/>
                <w:szCs w:val="7"/>
                <w:color w:val="auto"/>
              </w:rPr>
            </w:pPr>
          </w:p>
        </w:tc>
        <w:tc>
          <w:tcPr>
            <w:tcW w:w="360" w:type="dxa"/>
            <w:vAlign w:val="bottom"/>
            <w:shd w:val="clear" w:color="auto" w:fill="D8D8D8"/>
          </w:tcPr>
          <w:p>
            <w:pPr>
              <w:spacing w:after="0"/>
              <w:rPr>
                <w:sz w:val="7"/>
                <w:szCs w:val="7"/>
                <w:color w:val="auto"/>
              </w:rPr>
            </w:pPr>
          </w:p>
        </w:tc>
        <w:tc>
          <w:tcPr>
            <w:tcW w:w="2340" w:type="dxa"/>
            <w:vAlign w:val="bottom"/>
            <w:vMerge w:val="restart"/>
            <w:shd w:val="clear" w:color="auto" w:fill="D8D8D8"/>
          </w:tcPr>
          <w:p>
            <w:pPr>
              <w:spacing w:after="0" w:line="183" w:lineRule="exact"/>
              <w:rPr>
                <w:sz w:val="20"/>
                <w:szCs w:val="20"/>
                <w:color w:val="auto"/>
              </w:rPr>
            </w:pPr>
            <w:r>
              <w:rPr>
                <w:rFonts w:ascii="Arial" w:cs="Arial" w:eastAsia="Arial" w:hAnsi="Arial"/>
                <w:sz w:val="16"/>
                <w:szCs w:val="16"/>
                <w:color w:val="auto"/>
              </w:rPr>
              <w:t>executive retention, and align</w:t>
            </w:r>
          </w:p>
        </w:tc>
        <w:tc>
          <w:tcPr>
            <w:tcW w:w="2540" w:type="dxa"/>
            <w:vAlign w:val="bottom"/>
            <w:vMerge w:val="continue"/>
            <w:shd w:val="clear" w:color="auto" w:fill="D8D8D8"/>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1640" w:type="dxa"/>
            <w:vAlign w:val="bottom"/>
            <w:tcBorders>
              <w:right w:val="single" w:sz="8" w:color="999999"/>
            </w:tcBorders>
            <w:vMerge w:val="continue"/>
            <w:shd w:val="clear" w:color="auto" w:fill="D8D8D8"/>
          </w:tcPr>
          <w:p>
            <w:pPr>
              <w:spacing w:after="0"/>
              <w:rPr>
                <w:sz w:val="8"/>
                <w:szCs w:val="8"/>
                <w:color w:val="auto"/>
              </w:rPr>
            </w:pPr>
          </w:p>
        </w:tc>
        <w:tc>
          <w:tcPr>
            <w:tcW w:w="80" w:type="dxa"/>
            <w:vAlign w:val="bottom"/>
            <w:shd w:val="clear" w:color="auto" w:fill="D8D8D8"/>
          </w:tcPr>
          <w:p>
            <w:pPr>
              <w:spacing w:after="0"/>
              <w:rPr>
                <w:sz w:val="8"/>
                <w:szCs w:val="8"/>
                <w:color w:val="auto"/>
              </w:rPr>
            </w:pPr>
          </w:p>
        </w:tc>
        <w:tc>
          <w:tcPr>
            <w:tcW w:w="1640" w:type="dxa"/>
            <w:vAlign w:val="bottom"/>
            <w:vMerge w:val="continue"/>
            <w:shd w:val="clear" w:color="auto" w:fill="D8D8D8"/>
          </w:tcPr>
          <w:p>
            <w:pPr>
              <w:spacing w:after="0"/>
              <w:rPr>
                <w:sz w:val="8"/>
                <w:szCs w:val="8"/>
                <w:color w:val="auto"/>
              </w:rPr>
            </w:pPr>
          </w:p>
        </w:tc>
        <w:tc>
          <w:tcPr>
            <w:tcW w:w="680" w:type="dxa"/>
            <w:vAlign w:val="bottom"/>
            <w:shd w:val="clear" w:color="auto" w:fill="D8D8D8"/>
          </w:tcPr>
          <w:p>
            <w:pPr>
              <w:spacing w:after="0"/>
              <w:rPr>
                <w:sz w:val="8"/>
                <w:szCs w:val="8"/>
                <w:color w:val="auto"/>
              </w:rPr>
            </w:pPr>
          </w:p>
        </w:tc>
        <w:tc>
          <w:tcPr>
            <w:tcW w:w="1720" w:type="dxa"/>
            <w:vAlign w:val="bottom"/>
            <w:shd w:val="clear" w:color="auto" w:fill="D8D8D8"/>
          </w:tcPr>
          <w:p>
            <w:pPr>
              <w:spacing w:after="0"/>
              <w:rPr>
                <w:sz w:val="8"/>
                <w:szCs w:val="8"/>
                <w:color w:val="auto"/>
              </w:rPr>
            </w:pPr>
          </w:p>
        </w:tc>
        <w:tc>
          <w:tcPr>
            <w:tcW w:w="360" w:type="dxa"/>
            <w:vAlign w:val="bottom"/>
            <w:shd w:val="clear" w:color="auto" w:fill="D8D8D8"/>
          </w:tcPr>
          <w:p>
            <w:pPr>
              <w:spacing w:after="0"/>
              <w:rPr>
                <w:sz w:val="8"/>
                <w:szCs w:val="8"/>
                <w:color w:val="auto"/>
              </w:rPr>
            </w:pPr>
          </w:p>
        </w:tc>
        <w:tc>
          <w:tcPr>
            <w:tcW w:w="2340" w:type="dxa"/>
            <w:vAlign w:val="bottom"/>
            <w:vMerge w:val="continue"/>
            <w:shd w:val="clear" w:color="auto" w:fill="D8D8D8"/>
          </w:tcPr>
          <w:p>
            <w:pPr>
              <w:spacing w:after="0"/>
              <w:rPr>
                <w:sz w:val="8"/>
                <w:szCs w:val="8"/>
                <w:color w:val="auto"/>
              </w:rPr>
            </w:pPr>
          </w:p>
        </w:tc>
        <w:tc>
          <w:tcPr>
            <w:tcW w:w="2540" w:type="dxa"/>
            <w:vAlign w:val="bottom"/>
            <w:vMerge w:val="restart"/>
            <w:shd w:val="clear" w:color="auto" w:fill="D8D8D8"/>
          </w:tcPr>
          <w:p>
            <w:pPr>
              <w:ind w:left="40"/>
              <w:spacing w:after="0"/>
              <w:rPr>
                <w:sz w:val="20"/>
                <w:szCs w:val="20"/>
                <w:color w:val="auto"/>
              </w:rPr>
            </w:pPr>
            <w:r>
              <w:rPr>
                <w:rFonts w:ascii="Arial" w:cs="Arial" w:eastAsia="Arial" w:hAnsi="Arial"/>
                <w:sz w:val="16"/>
                <w:szCs w:val="16"/>
                <w:color w:val="auto"/>
              </w:rPr>
              <w:t>align executive and shareholder</w:t>
            </w:r>
          </w:p>
        </w:tc>
        <w:tc>
          <w:tcPr>
            <w:tcW w:w="0" w:type="dxa"/>
            <w:vAlign w:val="bottom"/>
          </w:tcPr>
          <w:p>
            <w:pPr>
              <w:spacing w:after="0"/>
              <w:rPr>
                <w:sz w:val="1"/>
                <w:szCs w:val="1"/>
                <w:color w:val="auto"/>
              </w:rPr>
            </w:pPr>
          </w:p>
        </w:tc>
      </w:tr>
      <w:tr>
        <w:trPr>
          <w:trHeight w:val="94"/>
        </w:trPr>
        <w:tc>
          <w:tcPr>
            <w:tcW w:w="1640" w:type="dxa"/>
            <w:vAlign w:val="bottom"/>
            <w:tcBorders>
              <w:right w:val="single" w:sz="8" w:color="999999"/>
            </w:tcBorders>
            <w:vMerge w:val="restart"/>
            <w:shd w:val="clear" w:color="auto" w:fill="D8D8D8"/>
          </w:tcPr>
          <w:p>
            <w:pPr>
              <w:ind w:left="220"/>
              <w:spacing w:after="0"/>
              <w:rPr>
                <w:sz w:val="20"/>
                <w:szCs w:val="20"/>
                <w:color w:val="auto"/>
              </w:rPr>
            </w:pPr>
            <w:r>
              <w:rPr>
                <w:rFonts w:ascii="Arial" w:cs="Arial" w:eastAsia="Arial" w:hAnsi="Arial"/>
                <w:sz w:val="16"/>
                <w:szCs w:val="16"/>
                <w:b w:val="1"/>
                <w:bCs w:val="1"/>
                <w:color w:val="auto"/>
              </w:rPr>
              <w:t>INCENTIVE PLAN</w:t>
            </w:r>
          </w:p>
        </w:tc>
        <w:tc>
          <w:tcPr>
            <w:tcW w:w="80" w:type="dxa"/>
            <w:vAlign w:val="bottom"/>
            <w:shd w:val="clear" w:color="auto" w:fill="D8D8D8"/>
          </w:tcPr>
          <w:p>
            <w:pPr>
              <w:spacing w:after="0"/>
              <w:rPr>
                <w:sz w:val="8"/>
                <w:szCs w:val="8"/>
                <w:color w:val="auto"/>
              </w:rPr>
            </w:pPr>
          </w:p>
        </w:tc>
        <w:tc>
          <w:tcPr>
            <w:tcW w:w="1640" w:type="dxa"/>
            <w:vAlign w:val="bottom"/>
            <w:shd w:val="clear" w:color="auto" w:fill="D8D8D8"/>
          </w:tcPr>
          <w:p>
            <w:pPr>
              <w:spacing w:after="0"/>
              <w:rPr>
                <w:sz w:val="8"/>
                <w:szCs w:val="8"/>
                <w:color w:val="auto"/>
              </w:rPr>
            </w:pPr>
          </w:p>
        </w:tc>
        <w:tc>
          <w:tcPr>
            <w:tcW w:w="680" w:type="dxa"/>
            <w:vAlign w:val="bottom"/>
            <w:shd w:val="clear" w:color="auto" w:fill="D8D8D8"/>
          </w:tcPr>
          <w:p>
            <w:pPr>
              <w:spacing w:after="0"/>
              <w:rPr>
                <w:sz w:val="8"/>
                <w:szCs w:val="8"/>
                <w:color w:val="auto"/>
              </w:rPr>
            </w:pPr>
          </w:p>
        </w:tc>
        <w:tc>
          <w:tcPr>
            <w:tcW w:w="1720" w:type="dxa"/>
            <w:vAlign w:val="bottom"/>
            <w:shd w:val="clear" w:color="auto" w:fill="D8D8D8"/>
          </w:tcPr>
          <w:p>
            <w:pPr>
              <w:spacing w:after="0"/>
              <w:rPr>
                <w:sz w:val="8"/>
                <w:szCs w:val="8"/>
                <w:color w:val="auto"/>
              </w:rPr>
            </w:pPr>
          </w:p>
        </w:tc>
        <w:tc>
          <w:tcPr>
            <w:tcW w:w="360" w:type="dxa"/>
            <w:vAlign w:val="bottom"/>
            <w:shd w:val="clear" w:color="auto" w:fill="D8D8D8"/>
          </w:tcPr>
          <w:p>
            <w:pPr>
              <w:spacing w:after="0"/>
              <w:rPr>
                <w:sz w:val="8"/>
                <w:szCs w:val="8"/>
                <w:color w:val="auto"/>
              </w:rPr>
            </w:pPr>
          </w:p>
        </w:tc>
        <w:tc>
          <w:tcPr>
            <w:tcW w:w="2340" w:type="dxa"/>
            <w:vAlign w:val="bottom"/>
            <w:vMerge w:val="restart"/>
            <w:shd w:val="clear" w:color="auto" w:fill="D8D8D8"/>
          </w:tcPr>
          <w:p>
            <w:pPr>
              <w:spacing w:after="0"/>
              <w:rPr>
                <w:sz w:val="20"/>
                <w:szCs w:val="20"/>
                <w:color w:val="auto"/>
              </w:rPr>
            </w:pPr>
            <w:r>
              <w:rPr>
                <w:rFonts w:ascii="Arial" w:cs="Arial" w:eastAsia="Arial" w:hAnsi="Arial"/>
                <w:sz w:val="16"/>
                <w:szCs w:val="16"/>
                <w:color w:val="auto"/>
              </w:rPr>
              <w:t>executive and shareholder</w:t>
            </w:r>
          </w:p>
        </w:tc>
        <w:tc>
          <w:tcPr>
            <w:tcW w:w="2540" w:type="dxa"/>
            <w:vAlign w:val="bottom"/>
            <w:vMerge w:val="continue"/>
            <w:shd w:val="clear" w:color="auto" w:fill="D8D8D8"/>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1640" w:type="dxa"/>
            <w:vAlign w:val="bottom"/>
            <w:tcBorders>
              <w:right w:val="single" w:sz="8" w:color="999999"/>
            </w:tcBorders>
            <w:vMerge w:val="continue"/>
            <w:shd w:val="clear" w:color="auto" w:fill="D8D8D8"/>
          </w:tcPr>
          <w:p>
            <w:pPr>
              <w:spacing w:after="0"/>
              <w:rPr>
                <w:sz w:val="8"/>
                <w:szCs w:val="8"/>
                <w:color w:val="auto"/>
              </w:rPr>
            </w:pPr>
          </w:p>
        </w:tc>
        <w:tc>
          <w:tcPr>
            <w:tcW w:w="80" w:type="dxa"/>
            <w:vAlign w:val="bottom"/>
            <w:shd w:val="clear" w:color="auto" w:fill="D8D8D8"/>
          </w:tcPr>
          <w:p>
            <w:pPr>
              <w:spacing w:after="0"/>
              <w:rPr>
                <w:sz w:val="8"/>
                <w:szCs w:val="8"/>
                <w:color w:val="auto"/>
              </w:rPr>
            </w:pPr>
          </w:p>
        </w:tc>
        <w:tc>
          <w:tcPr>
            <w:tcW w:w="1640" w:type="dxa"/>
            <w:vAlign w:val="bottom"/>
            <w:vMerge w:val="restart"/>
            <w:shd w:val="clear" w:color="auto" w:fill="D8D8D8"/>
          </w:tcPr>
          <w:p>
            <w:pPr>
              <w:jc w:val="center"/>
              <w:spacing w:after="0"/>
              <w:rPr>
                <w:sz w:val="20"/>
                <w:szCs w:val="20"/>
                <w:color w:val="auto"/>
              </w:rPr>
            </w:pPr>
            <w:r>
              <w:rPr>
                <w:rFonts w:ascii="Arial" w:cs="Arial" w:eastAsia="Arial" w:hAnsi="Arial"/>
                <w:sz w:val="16"/>
                <w:szCs w:val="16"/>
                <w:b w:val="1"/>
                <w:bCs w:val="1"/>
                <w:color w:val="auto"/>
              </w:rPr>
              <w:t>Performance</w:t>
            </w:r>
          </w:p>
        </w:tc>
        <w:tc>
          <w:tcPr>
            <w:tcW w:w="680" w:type="dxa"/>
            <w:vAlign w:val="bottom"/>
            <w:vMerge w:val="restart"/>
            <w:shd w:val="clear" w:color="auto" w:fill="D8D8D8"/>
          </w:tcPr>
          <w:p>
            <w:pPr>
              <w:ind w:left="120"/>
              <w:spacing w:after="0"/>
              <w:rPr>
                <w:sz w:val="20"/>
                <w:szCs w:val="20"/>
                <w:color w:val="auto"/>
              </w:rPr>
            </w:pPr>
            <w:r>
              <w:rPr>
                <w:rFonts w:ascii="Arial" w:cs="Arial" w:eastAsia="Arial" w:hAnsi="Arial"/>
                <w:sz w:val="16"/>
                <w:szCs w:val="16"/>
                <w:color w:val="auto"/>
              </w:rPr>
              <w:t>iTSR</w:t>
            </w:r>
          </w:p>
        </w:tc>
        <w:tc>
          <w:tcPr>
            <w:tcW w:w="1720" w:type="dxa"/>
            <w:vAlign w:val="bottom"/>
            <w:shd w:val="clear" w:color="auto" w:fill="D8D8D8"/>
          </w:tcPr>
          <w:p>
            <w:pPr>
              <w:spacing w:after="0"/>
              <w:rPr>
                <w:sz w:val="8"/>
                <w:szCs w:val="8"/>
                <w:color w:val="auto"/>
              </w:rPr>
            </w:pPr>
          </w:p>
        </w:tc>
        <w:tc>
          <w:tcPr>
            <w:tcW w:w="360" w:type="dxa"/>
            <w:vAlign w:val="bottom"/>
            <w:shd w:val="clear" w:color="auto" w:fill="D8D8D8"/>
          </w:tcPr>
          <w:p>
            <w:pPr>
              <w:spacing w:after="0"/>
              <w:rPr>
                <w:sz w:val="8"/>
                <w:szCs w:val="8"/>
                <w:color w:val="auto"/>
              </w:rPr>
            </w:pPr>
          </w:p>
        </w:tc>
        <w:tc>
          <w:tcPr>
            <w:tcW w:w="2340" w:type="dxa"/>
            <w:vAlign w:val="bottom"/>
            <w:vMerge w:val="continue"/>
            <w:shd w:val="clear" w:color="auto" w:fill="D8D8D8"/>
          </w:tcPr>
          <w:p>
            <w:pPr>
              <w:spacing w:after="0"/>
              <w:rPr>
                <w:sz w:val="8"/>
                <w:szCs w:val="8"/>
                <w:color w:val="auto"/>
              </w:rPr>
            </w:pPr>
          </w:p>
        </w:tc>
        <w:tc>
          <w:tcPr>
            <w:tcW w:w="2540" w:type="dxa"/>
            <w:vAlign w:val="bottom"/>
            <w:vMerge w:val="restart"/>
            <w:shd w:val="clear" w:color="auto" w:fill="D8D8D8"/>
          </w:tcPr>
          <w:p>
            <w:pPr>
              <w:ind w:left="40"/>
              <w:spacing w:after="0"/>
              <w:rPr>
                <w:sz w:val="20"/>
                <w:szCs w:val="20"/>
                <w:color w:val="auto"/>
              </w:rPr>
            </w:pPr>
            <w:r>
              <w:rPr>
                <w:rFonts w:ascii="Arial" w:cs="Arial" w:eastAsia="Arial" w:hAnsi="Arial"/>
                <w:sz w:val="16"/>
                <w:szCs w:val="16"/>
                <w:color w:val="auto"/>
              </w:rPr>
              <w:t>interests</w:t>
            </w:r>
          </w:p>
        </w:tc>
        <w:tc>
          <w:tcPr>
            <w:tcW w:w="0" w:type="dxa"/>
            <w:vAlign w:val="bottom"/>
          </w:tcPr>
          <w:p>
            <w:pPr>
              <w:spacing w:after="0"/>
              <w:rPr>
                <w:sz w:val="1"/>
                <w:szCs w:val="1"/>
                <w:color w:val="auto"/>
              </w:rPr>
            </w:pPr>
          </w:p>
        </w:tc>
      </w:tr>
      <w:tr>
        <w:trPr>
          <w:trHeight w:val="146"/>
        </w:trPr>
        <w:tc>
          <w:tcPr>
            <w:tcW w:w="1640" w:type="dxa"/>
            <w:vAlign w:val="bottom"/>
            <w:tcBorders>
              <w:right w:val="single" w:sz="8" w:color="999999"/>
            </w:tcBorders>
            <w:shd w:val="clear" w:color="auto" w:fill="D8D8D8"/>
          </w:tcPr>
          <w:p>
            <w:pPr>
              <w:spacing w:after="0"/>
              <w:rPr>
                <w:sz w:val="12"/>
                <w:szCs w:val="12"/>
                <w:color w:val="auto"/>
              </w:rPr>
            </w:pPr>
          </w:p>
        </w:tc>
        <w:tc>
          <w:tcPr>
            <w:tcW w:w="80" w:type="dxa"/>
            <w:vAlign w:val="bottom"/>
            <w:shd w:val="clear" w:color="auto" w:fill="D8D8D8"/>
          </w:tcPr>
          <w:p>
            <w:pPr>
              <w:spacing w:after="0"/>
              <w:rPr>
                <w:sz w:val="12"/>
                <w:szCs w:val="12"/>
                <w:color w:val="auto"/>
              </w:rPr>
            </w:pPr>
          </w:p>
        </w:tc>
        <w:tc>
          <w:tcPr>
            <w:tcW w:w="1640" w:type="dxa"/>
            <w:vAlign w:val="bottom"/>
            <w:vMerge w:val="continue"/>
            <w:shd w:val="clear" w:color="auto" w:fill="D8D8D8"/>
          </w:tcPr>
          <w:p>
            <w:pPr>
              <w:spacing w:after="0"/>
              <w:rPr>
                <w:sz w:val="12"/>
                <w:szCs w:val="12"/>
                <w:color w:val="auto"/>
              </w:rPr>
            </w:pPr>
          </w:p>
        </w:tc>
        <w:tc>
          <w:tcPr>
            <w:tcW w:w="680" w:type="dxa"/>
            <w:vAlign w:val="bottom"/>
            <w:vMerge w:val="continue"/>
            <w:shd w:val="clear" w:color="auto" w:fill="D8D8D8"/>
          </w:tcPr>
          <w:p>
            <w:pPr>
              <w:spacing w:after="0"/>
              <w:rPr>
                <w:sz w:val="12"/>
                <w:szCs w:val="12"/>
                <w:color w:val="auto"/>
              </w:rPr>
            </w:pPr>
          </w:p>
        </w:tc>
        <w:tc>
          <w:tcPr>
            <w:tcW w:w="1720" w:type="dxa"/>
            <w:vAlign w:val="bottom"/>
            <w:shd w:val="clear" w:color="auto" w:fill="D8D8D8"/>
          </w:tcPr>
          <w:p>
            <w:pPr>
              <w:spacing w:after="0"/>
              <w:rPr>
                <w:sz w:val="12"/>
                <w:szCs w:val="12"/>
                <w:color w:val="auto"/>
              </w:rPr>
            </w:pPr>
          </w:p>
        </w:tc>
        <w:tc>
          <w:tcPr>
            <w:tcW w:w="360" w:type="dxa"/>
            <w:vAlign w:val="bottom"/>
            <w:shd w:val="clear" w:color="auto" w:fill="D8D8D8"/>
          </w:tcPr>
          <w:p>
            <w:pPr>
              <w:spacing w:after="0"/>
              <w:rPr>
                <w:sz w:val="12"/>
                <w:szCs w:val="12"/>
                <w:color w:val="auto"/>
              </w:rPr>
            </w:pPr>
          </w:p>
        </w:tc>
        <w:tc>
          <w:tcPr>
            <w:tcW w:w="2340" w:type="dxa"/>
            <w:vAlign w:val="bottom"/>
            <w:shd w:val="clear" w:color="auto" w:fill="D8D8D8"/>
          </w:tcPr>
          <w:p>
            <w:pPr>
              <w:spacing w:after="0" w:line="147" w:lineRule="exact"/>
              <w:rPr>
                <w:sz w:val="20"/>
                <w:szCs w:val="20"/>
                <w:color w:val="auto"/>
              </w:rPr>
            </w:pPr>
            <w:r>
              <w:rPr>
                <w:rFonts w:ascii="Arial" w:cs="Arial" w:eastAsia="Arial" w:hAnsi="Arial"/>
                <w:sz w:val="16"/>
                <w:szCs w:val="16"/>
                <w:color w:val="auto"/>
              </w:rPr>
              <w:t>interests</w:t>
            </w:r>
          </w:p>
        </w:tc>
        <w:tc>
          <w:tcPr>
            <w:tcW w:w="2540" w:type="dxa"/>
            <w:vAlign w:val="bottom"/>
            <w:vMerge w:val="continue"/>
            <w:shd w:val="clear" w:color="auto" w:fill="D8D8D8"/>
          </w:tcPr>
          <w:p>
            <w:pPr>
              <w:spacing w:after="0"/>
              <w:rPr>
                <w:sz w:val="12"/>
                <w:szCs w:val="12"/>
                <w:color w:val="auto"/>
              </w:rPr>
            </w:pPr>
          </w:p>
        </w:tc>
        <w:tc>
          <w:tcPr>
            <w:tcW w:w="0" w:type="dxa"/>
            <w:vAlign w:val="bottom"/>
          </w:tcPr>
          <w:p>
            <w:pPr>
              <w:spacing w:after="0"/>
              <w:rPr>
                <w:sz w:val="1"/>
                <w:szCs w:val="1"/>
                <w:color w:val="auto"/>
              </w:rPr>
            </w:pPr>
          </w:p>
        </w:tc>
      </w:tr>
      <w:tr>
        <w:trPr>
          <w:trHeight w:val="263"/>
        </w:trPr>
        <w:tc>
          <w:tcPr>
            <w:tcW w:w="1640" w:type="dxa"/>
            <w:vAlign w:val="bottom"/>
            <w:tcBorders>
              <w:bottom w:val="single" w:sz="8" w:color="D8D8D8"/>
              <w:right w:val="single" w:sz="8" w:color="999999"/>
            </w:tcBorders>
            <w:shd w:val="clear" w:color="auto" w:fill="D8D8D8"/>
          </w:tcPr>
          <w:p>
            <w:pPr>
              <w:spacing w:after="0"/>
              <w:rPr>
                <w:sz w:val="22"/>
                <w:szCs w:val="22"/>
                <w:color w:val="auto"/>
              </w:rPr>
            </w:pPr>
          </w:p>
        </w:tc>
        <w:tc>
          <w:tcPr>
            <w:tcW w:w="80" w:type="dxa"/>
            <w:vAlign w:val="bottom"/>
            <w:tcBorders>
              <w:bottom w:val="single" w:sz="8" w:color="D8D8D8"/>
            </w:tcBorders>
            <w:shd w:val="clear" w:color="auto" w:fill="D8D8D8"/>
          </w:tcPr>
          <w:p>
            <w:pPr>
              <w:spacing w:after="0"/>
              <w:rPr>
                <w:sz w:val="22"/>
                <w:szCs w:val="22"/>
                <w:color w:val="auto"/>
              </w:rPr>
            </w:pPr>
          </w:p>
        </w:tc>
        <w:tc>
          <w:tcPr>
            <w:tcW w:w="1640" w:type="dxa"/>
            <w:vAlign w:val="bottom"/>
            <w:tcBorders>
              <w:bottom w:val="single" w:sz="8" w:color="D8D8D8"/>
            </w:tcBorders>
            <w:shd w:val="clear" w:color="auto" w:fill="D8D8D8"/>
          </w:tcPr>
          <w:p>
            <w:pPr>
              <w:jc w:val="center"/>
              <w:spacing w:after="0"/>
              <w:rPr>
                <w:sz w:val="20"/>
                <w:szCs w:val="20"/>
                <w:color w:val="auto"/>
              </w:rPr>
            </w:pPr>
            <w:r>
              <w:rPr>
                <w:rFonts w:ascii="Arial" w:cs="Arial" w:eastAsia="Arial" w:hAnsi="Arial"/>
                <w:sz w:val="16"/>
                <w:szCs w:val="16"/>
                <w:b w:val="1"/>
                <w:bCs w:val="1"/>
                <w:color w:val="auto"/>
              </w:rPr>
              <w:t>Shares</w:t>
            </w:r>
          </w:p>
        </w:tc>
        <w:tc>
          <w:tcPr>
            <w:tcW w:w="2400" w:type="dxa"/>
            <w:vAlign w:val="bottom"/>
            <w:tcBorders>
              <w:bottom w:val="single" w:sz="8" w:color="D8D8D8"/>
            </w:tcBorders>
            <w:gridSpan w:val="2"/>
            <w:shd w:val="clear" w:color="auto" w:fill="D8D8D8"/>
          </w:tcPr>
          <w:p>
            <w:pPr>
              <w:ind w:left="120"/>
              <w:spacing w:after="0"/>
              <w:rPr>
                <w:sz w:val="20"/>
                <w:szCs w:val="20"/>
                <w:color w:val="auto"/>
              </w:rPr>
            </w:pPr>
            <w:r>
              <w:rPr>
                <w:rFonts w:ascii="Arial" w:cs="Arial" w:eastAsia="Arial" w:hAnsi="Arial"/>
                <w:sz w:val="16"/>
                <w:szCs w:val="16"/>
                <w:color w:val="auto"/>
              </w:rPr>
              <w:t>3-year performance period</w:t>
            </w:r>
          </w:p>
        </w:tc>
        <w:tc>
          <w:tcPr>
            <w:tcW w:w="360" w:type="dxa"/>
            <w:vAlign w:val="bottom"/>
            <w:tcBorders>
              <w:bottom w:val="single" w:sz="8" w:color="D8D8D8"/>
            </w:tcBorders>
            <w:shd w:val="clear" w:color="auto" w:fill="D8D8D8"/>
          </w:tcPr>
          <w:p>
            <w:pPr>
              <w:spacing w:after="0"/>
              <w:rPr>
                <w:sz w:val="22"/>
                <w:szCs w:val="22"/>
                <w:color w:val="auto"/>
              </w:rPr>
            </w:pPr>
          </w:p>
        </w:tc>
        <w:tc>
          <w:tcPr>
            <w:tcW w:w="2340" w:type="dxa"/>
            <w:vAlign w:val="bottom"/>
            <w:tcBorders>
              <w:bottom w:val="single" w:sz="8" w:color="D8D8D8"/>
            </w:tcBorders>
            <w:shd w:val="clear" w:color="auto" w:fill="D8D8D8"/>
          </w:tcPr>
          <w:p>
            <w:pPr>
              <w:spacing w:after="0"/>
              <w:rPr>
                <w:sz w:val="22"/>
                <w:szCs w:val="22"/>
                <w:color w:val="auto"/>
              </w:rPr>
            </w:pPr>
          </w:p>
        </w:tc>
        <w:tc>
          <w:tcPr>
            <w:tcW w:w="2540" w:type="dxa"/>
            <w:vAlign w:val="bottom"/>
            <w:tcBorders>
              <w:bottom w:val="single" w:sz="8" w:color="D8D8D8"/>
            </w:tcBorders>
            <w:shd w:val="clear" w:color="auto" w:fill="D8D8D8"/>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40" w:type="dxa"/>
            <w:vAlign w:val="bottom"/>
            <w:tcBorders>
              <w:right w:val="single" w:sz="8" w:color="999999"/>
            </w:tcBorders>
          </w:tcPr>
          <w:p>
            <w:pPr>
              <w:ind w:left="220"/>
              <w:spacing w:after="0"/>
              <w:rPr>
                <w:sz w:val="20"/>
                <w:szCs w:val="20"/>
                <w:color w:val="auto"/>
              </w:rPr>
            </w:pPr>
            <w:r>
              <w:rPr>
                <w:rFonts w:ascii="Arial" w:cs="Arial" w:eastAsia="Arial" w:hAnsi="Arial"/>
                <w:sz w:val="16"/>
                <w:szCs w:val="16"/>
                <w:b w:val="1"/>
                <w:bCs w:val="1"/>
                <w:color w:val="auto"/>
              </w:rPr>
              <w:t>BENEFITS</w:t>
            </w:r>
          </w:p>
        </w:tc>
        <w:tc>
          <w:tcPr>
            <w:tcW w:w="80" w:type="dxa"/>
            <w:vAlign w:val="bottom"/>
          </w:tcPr>
          <w:p>
            <w:pPr>
              <w:spacing w:after="0"/>
              <w:rPr>
                <w:sz w:val="21"/>
                <w:szCs w:val="21"/>
                <w:color w:val="auto"/>
              </w:rPr>
            </w:pPr>
          </w:p>
        </w:tc>
        <w:tc>
          <w:tcPr>
            <w:tcW w:w="4040" w:type="dxa"/>
            <w:vAlign w:val="bottom"/>
            <w:gridSpan w:val="3"/>
          </w:tcPr>
          <w:p>
            <w:pPr>
              <w:spacing w:after="0"/>
              <w:rPr>
                <w:sz w:val="20"/>
                <w:szCs w:val="20"/>
                <w:color w:val="auto"/>
              </w:rPr>
            </w:pPr>
            <w:r>
              <w:rPr>
                <w:rFonts w:ascii="Arial" w:cs="Arial" w:eastAsia="Arial" w:hAnsi="Arial"/>
                <w:sz w:val="16"/>
                <w:szCs w:val="16"/>
                <w:color w:val="auto"/>
              </w:rPr>
              <w:t>Consistent with other similarly situated employees</w:t>
            </w:r>
          </w:p>
        </w:tc>
        <w:tc>
          <w:tcPr>
            <w:tcW w:w="36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32406B"/>
        </w:rPr>
        <w:t>2017 Compensation Drivers and Outcomes</w:t>
      </w:r>
    </w:p>
    <w:p>
      <w:pPr>
        <w:spacing w:after="0" w:line="92" w:lineRule="exact"/>
        <w:rPr>
          <w:sz w:val="20"/>
          <w:szCs w:val="20"/>
          <w:color w:val="auto"/>
        </w:rPr>
      </w:pPr>
    </w:p>
    <w:p>
      <w:pPr>
        <w:ind w:left="220" w:right="80"/>
        <w:spacing w:after="0" w:line="260" w:lineRule="auto"/>
        <w:rPr>
          <w:sz w:val="20"/>
          <w:szCs w:val="20"/>
          <w:color w:val="auto"/>
        </w:rPr>
      </w:pPr>
      <w:r>
        <w:rPr>
          <w:rFonts w:ascii="Arial" w:cs="Arial" w:eastAsia="Arial" w:hAnsi="Arial"/>
          <w:sz w:val="16"/>
          <w:szCs w:val="16"/>
          <w:color w:val="auto"/>
        </w:rPr>
        <w:t>The primary elements of our philosophy include a clear pay strategy, emphasis on incentive-driven pay based on metrics that align with value creation for our shareholders and objectives that support our strategy. The following are key elements of our program:</w:t>
      </w:r>
    </w:p>
    <w:p>
      <w:pPr>
        <w:spacing w:after="0" w:line="195" w:lineRule="exact"/>
        <w:rPr>
          <w:sz w:val="20"/>
          <w:szCs w:val="20"/>
          <w:color w:val="auto"/>
        </w:rPr>
      </w:pPr>
    </w:p>
    <w:p>
      <w:pPr>
        <w:ind w:left="860" w:right="80" w:hanging="326"/>
        <w:spacing w:after="0" w:line="260" w:lineRule="auto"/>
        <w:tabs>
          <w:tab w:leader="none" w:pos="8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Financial metrics that are clearly linked to the creation of shareholder value: earnings from continuing operations, revenue, and iTSR (increased enterprise value as measured by EBITDA growth plus free cash flow generation).</w:t>
      </w:r>
    </w:p>
    <w:p>
      <w:pPr>
        <w:spacing w:after="0" w:line="60" w:lineRule="exact"/>
        <w:rPr>
          <w:rFonts w:ascii="Arial" w:cs="Arial" w:eastAsia="Arial" w:hAnsi="Arial"/>
          <w:sz w:val="16"/>
          <w:szCs w:val="16"/>
          <w:color w:val="auto"/>
        </w:rPr>
      </w:pPr>
    </w:p>
    <w:p>
      <w:pPr>
        <w:ind w:left="860" w:right="780" w:hanging="326"/>
        <w:spacing w:after="0" w:line="260" w:lineRule="auto"/>
        <w:tabs>
          <w:tab w:leader="none" w:pos="8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Focus on our business strategy to ensure our long-term compensation program aligns the interests of our executives with those of our shareholders by placing an emphasis on performance-based stock compensation.</w:t>
      </w:r>
    </w:p>
    <w:p>
      <w:pPr>
        <w:spacing w:after="0" w:line="60" w:lineRule="exact"/>
        <w:rPr>
          <w:rFonts w:ascii="Arial" w:cs="Arial" w:eastAsia="Arial" w:hAnsi="Arial"/>
          <w:sz w:val="16"/>
          <w:szCs w:val="16"/>
          <w:color w:val="auto"/>
        </w:rPr>
      </w:pPr>
    </w:p>
    <w:p>
      <w:pPr>
        <w:ind w:left="860" w:hanging="326"/>
        <w:spacing w:after="0"/>
        <w:tabs>
          <w:tab w:leader="none" w:pos="8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An annual review of the level of compensation and the components of our programs.</w:t>
      </w:r>
    </w:p>
    <w:p>
      <w:pPr>
        <w:spacing w:after="0" w:line="85" w:lineRule="exact"/>
        <w:rPr>
          <w:rFonts w:ascii="Arial" w:cs="Arial" w:eastAsia="Arial" w:hAnsi="Arial"/>
          <w:sz w:val="16"/>
          <w:szCs w:val="16"/>
          <w:color w:val="auto"/>
        </w:rPr>
      </w:pPr>
    </w:p>
    <w:p>
      <w:pPr>
        <w:ind w:left="860" w:right="380" w:hanging="326"/>
        <w:spacing w:after="0" w:line="260" w:lineRule="auto"/>
        <w:tabs>
          <w:tab w:leader="none" w:pos="8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 reference to the median of our peer group for total direct compensation, with consideration for internal pay equity, sustained performance, specific responsibilities, and experience with comparable market talent.</w:t>
      </w:r>
    </w:p>
    <w:p>
      <w:pPr>
        <w:spacing w:after="0" w:line="60" w:lineRule="exact"/>
        <w:rPr>
          <w:rFonts w:ascii="Arial" w:cs="Arial" w:eastAsia="Arial" w:hAnsi="Arial"/>
          <w:sz w:val="16"/>
          <w:szCs w:val="16"/>
          <w:color w:val="auto"/>
        </w:rPr>
      </w:pPr>
    </w:p>
    <w:p>
      <w:pPr>
        <w:ind w:left="860" w:hanging="326"/>
        <w:spacing w:after="0"/>
        <w:tabs>
          <w:tab w:leader="none" w:pos="8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Total compensation opportunities designed so that the large majority of compensation is based on business performance.</w:t>
      </w:r>
    </w:p>
    <w:p>
      <w:pPr>
        <w:spacing w:after="0" w:line="85" w:lineRule="exact"/>
        <w:rPr>
          <w:rFonts w:ascii="Arial" w:cs="Arial" w:eastAsia="Arial" w:hAnsi="Arial"/>
          <w:sz w:val="16"/>
          <w:szCs w:val="16"/>
          <w:color w:val="auto"/>
        </w:rPr>
      </w:pPr>
    </w:p>
    <w:p>
      <w:pPr>
        <w:ind w:left="860" w:right="300" w:hanging="326"/>
        <w:spacing w:after="0" w:line="260" w:lineRule="auto"/>
        <w:tabs>
          <w:tab w:leader="none" w:pos="8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An annual cash bonus plan designed to reward annual financial performance as well as attainment of strategic objectives for the current year that the Board believes will assure the long-term success of Dover.</w:t>
      </w:r>
    </w:p>
    <w:p>
      <w:pPr>
        <w:spacing w:after="0" w:line="60" w:lineRule="exact"/>
        <w:rPr>
          <w:rFonts w:ascii="Arial" w:cs="Arial" w:eastAsia="Arial" w:hAnsi="Arial"/>
          <w:sz w:val="16"/>
          <w:szCs w:val="16"/>
          <w:color w:val="auto"/>
        </w:rPr>
      </w:pPr>
    </w:p>
    <w:p>
      <w:pPr>
        <w:ind w:left="860" w:right="220" w:hanging="326"/>
        <w:spacing w:after="0" w:line="260" w:lineRule="auto"/>
        <w:tabs>
          <w:tab w:leader="none" w:pos="8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Executive benefits and programs that are consistent with those offered to other employees. We provide substantially no executive perquisites, nor do we own or operate any corporate aircraft.</w:t>
      </w:r>
    </w:p>
    <w:p>
      <w:pPr>
        <w:spacing w:after="0" w:line="107" w:lineRule="exact"/>
        <w:rPr>
          <w:sz w:val="20"/>
          <w:szCs w:val="20"/>
          <w:color w:val="auto"/>
        </w:rPr>
      </w:pPr>
    </w:p>
    <w:p>
      <w:pPr>
        <w:ind w:left="7380"/>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36</w:t>
      </w:r>
    </w:p>
    <w:p>
      <w:pPr>
        <w:sectPr>
          <w:pgSz w:w="11900" w:h="16838" w:orient="portrait"/>
          <w:cols w:equalWidth="0" w:num="1">
            <w:col w:w="11220"/>
          </w:cols>
          <w:pgMar w:left="240" w:top="45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COMPENSATION DISCUSSION AND ANALYSIS</w:t>
      </w:r>
    </w:p>
    <w:p>
      <w:pPr>
        <w:spacing w:after="0" w:line="173" w:lineRule="exact"/>
        <w:rPr>
          <w:sz w:val="20"/>
          <w:szCs w:val="20"/>
          <w:color w:val="auto"/>
        </w:rPr>
      </w:pPr>
    </w:p>
    <w:p>
      <w:pPr>
        <w:ind w:left="220" w:right="460"/>
        <w:spacing w:after="0" w:line="260" w:lineRule="auto"/>
        <w:rPr>
          <w:sz w:val="20"/>
          <w:szCs w:val="20"/>
          <w:color w:val="auto"/>
        </w:rPr>
      </w:pPr>
      <w:r>
        <w:rPr>
          <w:rFonts w:ascii="Arial" w:cs="Arial" w:eastAsia="Arial" w:hAnsi="Arial"/>
          <w:sz w:val="16"/>
          <w:szCs w:val="16"/>
          <w:color w:val="auto"/>
        </w:rPr>
        <w:t>The following chart demonstrates the variability of the CEO’s compensation, and the relationship between CEO pay and our performance over time, consistent with our pay-for-performance philosophy.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1238250</wp:posOffset>
            </wp:positionH>
            <wp:positionV relativeFrom="paragraph">
              <wp:posOffset>139700</wp:posOffset>
            </wp:positionV>
            <wp:extent cx="4779645" cy="20300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779645" cy="2030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40" w:right="240" w:hanging="330"/>
        <w:spacing w:after="0" w:line="253" w:lineRule="auto"/>
        <w:tabs>
          <w:tab w:leader="none" w:pos="540" w:val="left"/>
        </w:tabs>
        <w:numPr>
          <w:ilvl w:val="0"/>
          <w:numId w:val="30"/>
        </w:numPr>
        <w:rPr>
          <w:rFonts w:ascii="Arial" w:cs="Arial" w:eastAsia="Arial" w:hAnsi="Arial"/>
          <w:sz w:val="16"/>
          <w:szCs w:val="16"/>
          <w:i w:val="1"/>
          <w:iCs w:val="1"/>
          <w:color w:val="auto"/>
        </w:rPr>
      </w:pPr>
      <w:r>
        <w:rPr>
          <w:rFonts w:ascii="Arial" w:cs="Arial" w:eastAsia="Arial" w:hAnsi="Arial"/>
          <w:sz w:val="16"/>
          <w:szCs w:val="16"/>
          <w:i w:val="1"/>
          <w:iCs w:val="1"/>
          <w:color w:val="auto"/>
        </w:rPr>
        <w:t>The CEO’s total pay included in the chart represents the amount of compensation reported in the “Total” column, minus the amount reported in the “Changes in Pension Value and Nonqualified Deferred Compensation Earnings” column, as applicable, in the Summary Compensation Table for each year.</w:t>
      </w:r>
    </w:p>
    <w:p>
      <w:pPr>
        <w:ind w:left="540" w:right="120" w:hanging="330"/>
        <w:spacing w:after="0" w:line="260" w:lineRule="auto"/>
        <w:tabs>
          <w:tab w:leader="none" w:pos="540" w:val="left"/>
        </w:tabs>
        <w:numPr>
          <w:ilvl w:val="0"/>
          <w:numId w:val="30"/>
        </w:numPr>
        <w:rPr>
          <w:rFonts w:ascii="Arial" w:cs="Arial" w:eastAsia="Arial" w:hAnsi="Arial"/>
          <w:sz w:val="16"/>
          <w:szCs w:val="16"/>
          <w:i w:val="1"/>
          <w:iCs w:val="1"/>
          <w:color w:val="auto"/>
        </w:rPr>
      </w:pPr>
      <w:r>
        <w:rPr>
          <w:rFonts w:ascii="Arial" w:cs="Arial" w:eastAsia="Arial" w:hAnsi="Arial"/>
          <w:sz w:val="16"/>
          <w:szCs w:val="16"/>
          <w:i w:val="1"/>
          <w:iCs w:val="1"/>
          <w:color w:val="auto"/>
        </w:rPr>
        <w:t>Three-year Total Shareholder Return (“TSR”) data was not available for Fortive Corporation (“Fortive”), so it is not included in the 2016 or 2017 TSR Peer Rank %.</w:t>
      </w:r>
    </w:p>
    <w:p>
      <w:pPr>
        <w:spacing w:after="0" w:line="168" w:lineRule="exact"/>
        <w:rPr>
          <w:sz w:val="20"/>
          <w:szCs w:val="20"/>
          <w:color w:val="auto"/>
        </w:rPr>
      </w:pPr>
    </w:p>
    <w:p>
      <w:pPr>
        <w:ind w:left="220" w:right="1540"/>
        <w:spacing w:after="0" w:line="260" w:lineRule="auto"/>
        <w:rPr>
          <w:sz w:val="20"/>
          <w:szCs w:val="20"/>
          <w:color w:val="auto"/>
        </w:rPr>
      </w:pPr>
      <w:r>
        <w:rPr>
          <w:rFonts w:ascii="Arial" w:cs="Arial" w:eastAsia="Arial" w:hAnsi="Arial"/>
          <w:sz w:val="16"/>
          <w:szCs w:val="16"/>
          <w:color w:val="auto"/>
        </w:rPr>
        <w:t>For a discussion of the elements of our executive compensation program, including incentive-based pay, see “Elements of Executive Compensation — Long-Term Incentive Compensation.”</w:t>
      </w:r>
    </w:p>
    <w:p>
      <w:pPr>
        <w:spacing w:after="0" w:line="268"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32406B"/>
        </w:rPr>
        <w:t>2017 Say-on-Pay Advisory Vote and Shareholder Outreach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166370</wp:posOffset>
            </wp:positionV>
            <wp:extent cx="6993890" cy="2870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3890" cy="287020"/>
                    </a:xfrm>
                    <a:prstGeom prst="rect">
                      <a:avLst/>
                    </a:prstGeom>
                    <a:noFill/>
                  </pic:spPr>
                </pic:pic>
              </a:graphicData>
            </a:graphic>
          </wp:anchor>
        </w:drawing>
      </w:r>
    </w:p>
    <w:p>
      <w:pPr>
        <w:spacing w:after="0" w:line="348" w:lineRule="exact"/>
        <w:rPr>
          <w:sz w:val="20"/>
          <w:szCs w:val="20"/>
          <w:color w:val="auto"/>
        </w:rPr>
      </w:pPr>
    </w:p>
    <w:p>
      <w:pPr>
        <w:jc w:val="center"/>
        <w:ind w:right="-199"/>
        <w:spacing w:after="0"/>
        <w:rPr>
          <w:sz w:val="20"/>
          <w:szCs w:val="20"/>
          <w:color w:val="auto"/>
        </w:rPr>
      </w:pPr>
      <w:r>
        <w:rPr>
          <w:rFonts w:ascii="Arial" w:cs="Arial" w:eastAsia="Arial" w:hAnsi="Arial"/>
          <w:sz w:val="16"/>
          <w:szCs w:val="16"/>
          <w:b w:val="1"/>
          <w:bCs w:val="1"/>
          <w:color w:val="32406B"/>
        </w:rPr>
        <w:t xml:space="preserve">96% </w:t>
      </w:r>
      <w:r>
        <w:rPr>
          <w:rFonts w:ascii="Arial" w:cs="Arial" w:eastAsia="Arial" w:hAnsi="Arial"/>
          <w:sz w:val="16"/>
          <w:szCs w:val="16"/>
          <w:color w:val="000000"/>
        </w:rPr>
        <w:t>Say on Pay support |</w:t>
      </w:r>
      <w:r>
        <w:rPr>
          <w:rFonts w:ascii="Arial" w:cs="Arial" w:eastAsia="Arial" w:hAnsi="Arial"/>
          <w:sz w:val="16"/>
          <w:szCs w:val="16"/>
          <w:b w:val="1"/>
          <w:bCs w:val="1"/>
          <w:color w:val="32406B"/>
        </w:rPr>
        <w:t xml:space="preserve"> 53% </w:t>
      </w:r>
      <w:r>
        <w:rPr>
          <w:rFonts w:ascii="Arial" w:cs="Arial" w:eastAsia="Arial" w:hAnsi="Arial"/>
          <w:sz w:val="16"/>
          <w:szCs w:val="16"/>
          <w:color w:val="000000"/>
        </w:rPr>
        <w:t>Shares Outstanding Contacted |</w:t>
      </w:r>
      <w:r>
        <w:rPr>
          <w:rFonts w:ascii="Arial" w:cs="Arial" w:eastAsia="Arial" w:hAnsi="Arial"/>
          <w:sz w:val="16"/>
          <w:szCs w:val="16"/>
          <w:b w:val="1"/>
          <w:bCs w:val="1"/>
          <w:color w:val="32406B"/>
        </w:rPr>
        <w:t xml:space="preserve"> 33% </w:t>
      </w:r>
      <w:r>
        <w:rPr>
          <w:rFonts w:ascii="Arial" w:cs="Arial" w:eastAsia="Arial" w:hAnsi="Arial"/>
          <w:sz w:val="16"/>
          <w:szCs w:val="16"/>
          <w:color w:val="000000"/>
        </w:rPr>
        <w:t>Shares Engaged</w:t>
      </w:r>
    </w:p>
    <w:p>
      <w:pPr>
        <w:spacing w:after="0" w:line="335" w:lineRule="exact"/>
        <w:rPr>
          <w:sz w:val="20"/>
          <w:szCs w:val="20"/>
          <w:color w:val="auto"/>
        </w:rPr>
      </w:pPr>
    </w:p>
    <w:p>
      <w:pPr>
        <w:ind w:left="220" w:right="20"/>
        <w:spacing w:after="0" w:line="248" w:lineRule="auto"/>
        <w:rPr>
          <w:sz w:val="20"/>
          <w:szCs w:val="20"/>
          <w:color w:val="auto"/>
        </w:rPr>
      </w:pPr>
      <w:r>
        <w:rPr>
          <w:rFonts w:ascii="Arial" w:cs="Arial" w:eastAsia="Arial" w:hAnsi="Arial"/>
          <w:sz w:val="16"/>
          <w:szCs w:val="16"/>
          <w:color w:val="auto"/>
        </w:rPr>
        <w:t>In 2017, our executive compensation program received 96% approval from our shareholders, which was the same level of support received in 2016, signifying shareholders’ ongoing approval of our compensation program. In 2017, we continued our shareholder engagement program. We reached out to holders of over 53% of our outstanding shares and met or spoke with governance professionals and portfolio managers at investors holding approximately 33% of our outstanding shares. In addition to the governance topics detailed earlier in this proxy statement, we had thoughtful discussions with our shareholders regarding our compensation program. Our investors told us they believe Dover’s pay practices are aligned with our pay-for-performance philosophy. The Board appreciated the feedback it received, particularly regarding shareholder opinions on our metrics and the rigor of our target selection. The Compensation Committee will continue to consider this feedback, as well as the results from future shareholder advisory votes, in its ongoing evaluation of executive compensation programs and practices at Dover.</w:t>
      </w:r>
    </w:p>
    <w:p>
      <w:pPr>
        <w:spacing w:after="0" w:line="30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37</w:t>
      </w:r>
    </w:p>
    <w:p>
      <w:pPr>
        <w:sectPr>
          <w:pgSz w:w="11900" w:h="16838" w:orient="portrait"/>
          <w:cols w:equalWidth="0" w:num="1">
            <w:col w:w="11220"/>
          </w:cols>
          <w:pgMar w:left="24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COMPENSATION DISCUSSION AND ANALYSIS</w:t>
      </w:r>
    </w:p>
    <w:p>
      <w:pPr>
        <w:spacing w:after="0" w:line="139" w:lineRule="exact"/>
        <w:rPr>
          <w:sz w:val="20"/>
          <w:szCs w:val="20"/>
          <w:color w:val="auto"/>
        </w:rPr>
      </w:pPr>
    </w:p>
    <w:p>
      <w:pPr>
        <w:ind w:left="220"/>
        <w:spacing w:after="0"/>
        <w:rPr>
          <w:sz w:val="20"/>
          <w:szCs w:val="20"/>
          <w:color w:val="auto"/>
        </w:rPr>
      </w:pPr>
      <w:r>
        <w:rPr>
          <w:rFonts w:ascii="Arial" w:cs="Arial" w:eastAsia="Arial" w:hAnsi="Arial"/>
          <w:sz w:val="21"/>
          <w:szCs w:val="21"/>
          <w:b w:val="1"/>
          <w:bCs w:val="1"/>
          <w:color w:val="32406B"/>
        </w:rPr>
        <w:t>Dover’s Alignment with Leading Compensation Governance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158750</wp:posOffset>
            </wp:positionV>
            <wp:extent cx="6989445" cy="1625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89445" cy="16256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77" w:lineRule="exact"/>
        <w:rPr>
          <w:sz w:val="20"/>
          <w:szCs w:val="20"/>
          <w:color w:val="auto"/>
        </w:rPr>
      </w:pPr>
    </w:p>
    <w:p>
      <w:pPr>
        <w:ind w:left="2600"/>
        <w:spacing w:after="0"/>
        <w:rPr>
          <w:sz w:val="20"/>
          <w:szCs w:val="20"/>
          <w:color w:val="auto"/>
        </w:rPr>
      </w:pPr>
      <w:r>
        <w:rPr>
          <w:rFonts w:ascii="Arial" w:cs="Arial" w:eastAsia="Arial" w:hAnsi="Arial"/>
          <w:sz w:val="14"/>
          <w:szCs w:val="14"/>
          <w:b w:val="1"/>
          <w:bCs w:val="1"/>
          <w:color w:val="FFFFFF"/>
        </w:rPr>
        <w:t>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43180</wp:posOffset>
            </wp:positionV>
            <wp:extent cx="3340735" cy="340042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40735" cy="3400425"/>
                    </a:xfrm>
                    <a:prstGeom prst="rect">
                      <a:avLst/>
                    </a:prstGeom>
                    <a:noFill/>
                  </pic:spPr>
                </pic:pic>
              </a:graphicData>
            </a:graphic>
          </wp:anchor>
        </w:drawing>
      </w:r>
    </w:p>
    <w:p>
      <w:pPr>
        <w:spacing w:after="0" w:line="117" w:lineRule="exact"/>
        <w:rPr>
          <w:sz w:val="20"/>
          <w:szCs w:val="20"/>
          <w:color w:val="auto"/>
        </w:rPr>
      </w:pPr>
    </w:p>
    <w:p>
      <w:pPr>
        <w:ind w:left="920" w:right="462" w:hanging="350"/>
        <w:spacing w:after="0" w:line="277" w:lineRule="auto"/>
        <w:tabs>
          <w:tab w:leader="none" w:pos="873" w:val="left"/>
        </w:tabs>
        <w:numPr>
          <w:ilvl w:val="0"/>
          <w:numId w:val="31"/>
        </w:numPr>
        <w:rPr>
          <w:rFonts w:ascii="MS PGothic" w:cs="MS PGothic" w:eastAsia="MS PGothic" w:hAnsi="MS PGothic"/>
          <w:sz w:val="16"/>
          <w:szCs w:val="16"/>
          <w:color w:val="auto"/>
        </w:rPr>
      </w:pPr>
      <w:r>
        <w:rPr>
          <w:rFonts w:ascii="Arial" w:cs="Arial" w:eastAsia="Arial" w:hAnsi="Arial"/>
          <w:sz w:val="16"/>
          <w:szCs w:val="16"/>
          <w:color w:val="auto"/>
        </w:rPr>
        <w:t>The majority of target NEO pay opportunity is performance based (74% for the CEO; 65% for the other NEOs)</w:t>
      </w:r>
    </w:p>
    <w:p>
      <w:pPr>
        <w:spacing w:after="0" w:line="87" w:lineRule="exact"/>
        <w:rPr>
          <w:rFonts w:ascii="MS PGothic" w:cs="MS PGothic" w:eastAsia="MS PGothic" w:hAnsi="MS PGothic"/>
          <w:sz w:val="16"/>
          <w:szCs w:val="16"/>
          <w:color w:val="auto"/>
        </w:rPr>
      </w:pPr>
    </w:p>
    <w:p>
      <w:pPr>
        <w:ind w:left="920" w:right="462" w:hanging="350"/>
        <w:spacing w:after="0" w:line="262" w:lineRule="auto"/>
        <w:tabs>
          <w:tab w:leader="none" w:pos="873" w:val="left"/>
        </w:tabs>
        <w:numPr>
          <w:ilvl w:val="0"/>
          <w:numId w:val="31"/>
        </w:numPr>
        <w:rPr>
          <w:rFonts w:ascii="MS PGothic" w:cs="MS PGothic" w:eastAsia="MS PGothic" w:hAnsi="MS PGothic"/>
          <w:sz w:val="16"/>
          <w:szCs w:val="16"/>
          <w:color w:val="auto"/>
        </w:rPr>
      </w:pPr>
      <w:r>
        <w:rPr>
          <w:rFonts w:ascii="Arial" w:cs="Arial" w:eastAsia="Arial" w:hAnsi="Arial"/>
          <w:sz w:val="16"/>
          <w:szCs w:val="16"/>
          <w:color w:val="auto"/>
        </w:rPr>
        <w:t>The majority of target NEO pay opportunity is tied to Dover stock performance (75% for the CEO; 50% for the other NEOs)</w:t>
      </w:r>
    </w:p>
    <w:p>
      <w:pPr>
        <w:spacing w:after="0" w:line="98" w:lineRule="exact"/>
        <w:rPr>
          <w:rFonts w:ascii="MS PGothic" w:cs="MS PGothic" w:eastAsia="MS PGothic" w:hAnsi="MS PGothic"/>
          <w:sz w:val="16"/>
          <w:szCs w:val="16"/>
          <w:color w:val="auto"/>
        </w:rPr>
      </w:pPr>
    </w:p>
    <w:p>
      <w:pPr>
        <w:jc w:val="both"/>
        <w:ind w:left="920" w:right="582" w:hanging="350"/>
        <w:spacing w:after="0" w:line="277" w:lineRule="auto"/>
        <w:tabs>
          <w:tab w:leader="none" w:pos="876" w:val="left"/>
        </w:tabs>
        <w:numPr>
          <w:ilvl w:val="0"/>
          <w:numId w:val="31"/>
        </w:numPr>
        <w:rPr>
          <w:rFonts w:ascii="MS PGothic" w:cs="MS PGothic" w:eastAsia="MS PGothic" w:hAnsi="MS PGothic"/>
          <w:sz w:val="16"/>
          <w:szCs w:val="16"/>
          <w:color w:val="auto"/>
        </w:rPr>
      </w:pPr>
      <w:r>
        <w:rPr>
          <w:rFonts w:ascii="Arial" w:cs="Arial" w:eastAsia="Arial" w:hAnsi="Arial"/>
          <w:sz w:val="16"/>
          <w:szCs w:val="16"/>
          <w:color w:val="auto"/>
        </w:rPr>
        <w:t>Each year, Dover interacts with key shareholders to seek feedback on Dover’s executive compensation programs</w:t>
      </w:r>
    </w:p>
    <w:p>
      <w:pPr>
        <w:spacing w:after="0" w:line="87" w:lineRule="exact"/>
        <w:rPr>
          <w:rFonts w:ascii="MS PGothic" w:cs="MS PGothic" w:eastAsia="MS PGothic" w:hAnsi="MS PGothic"/>
          <w:sz w:val="16"/>
          <w:szCs w:val="16"/>
          <w:color w:val="auto"/>
        </w:rPr>
      </w:pPr>
    </w:p>
    <w:p>
      <w:pPr>
        <w:ind w:left="880" w:hanging="310"/>
        <w:spacing w:after="0"/>
        <w:tabs>
          <w:tab w:leader="none" w:pos="880" w:val="left"/>
        </w:tabs>
        <w:numPr>
          <w:ilvl w:val="0"/>
          <w:numId w:val="31"/>
        </w:numPr>
        <w:rPr>
          <w:rFonts w:ascii="MS PGothic" w:cs="MS PGothic" w:eastAsia="MS PGothic" w:hAnsi="MS PGothic"/>
          <w:sz w:val="16"/>
          <w:szCs w:val="16"/>
          <w:color w:val="auto"/>
        </w:rPr>
      </w:pPr>
      <w:r>
        <w:rPr>
          <w:rFonts w:ascii="Arial" w:cs="Arial" w:eastAsia="Arial" w:hAnsi="Arial"/>
          <w:sz w:val="16"/>
          <w:szCs w:val="16"/>
          <w:color w:val="auto"/>
        </w:rPr>
        <w:t>All long-term incentives are paid in stock, not cash</w:t>
      </w:r>
    </w:p>
    <w:p>
      <w:pPr>
        <w:spacing w:after="0" w:line="139" w:lineRule="exact"/>
        <w:rPr>
          <w:rFonts w:ascii="MS PGothic" w:cs="MS PGothic" w:eastAsia="MS PGothic" w:hAnsi="MS PGothic"/>
          <w:sz w:val="16"/>
          <w:szCs w:val="16"/>
          <w:color w:val="auto"/>
        </w:rPr>
      </w:pPr>
    </w:p>
    <w:p>
      <w:pPr>
        <w:jc w:val="both"/>
        <w:ind w:left="920" w:right="522" w:hanging="350"/>
        <w:spacing w:after="0" w:line="277" w:lineRule="auto"/>
        <w:tabs>
          <w:tab w:leader="none" w:pos="876" w:val="left"/>
        </w:tabs>
        <w:numPr>
          <w:ilvl w:val="0"/>
          <w:numId w:val="31"/>
        </w:numPr>
        <w:rPr>
          <w:rFonts w:ascii="MS PGothic" w:cs="MS PGothic" w:eastAsia="MS PGothic" w:hAnsi="MS PGothic"/>
          <w:sz w:val="16"/>
          <w:szCs w:val="16"/>
          <w:color w:val="auto"/>
        </w:rPr>
      </w:pPr>
      <w:r>
        <w:rPr>
          <w:rFonts w:ascii="Arial" w:cs="Arial" w:eastAsia="Arial" w:hAnsi="Arial"/>
          <w:sz w:val="16"/>
          <w:szCs w:val="16"/>
          <w:color w:val="auto"/>
        </w:rPr>
        <w:t>Executives must hold significant amounts of Dover stock: five-times salary for the CEO, three-times for other NEOs</w:t>
      </w:r>
    </w:p>
    <w:p>
      <w:pPr>
        <w:spacing w:after="0" w:line="87" w:lineRule="exact"/>
        <w:rPr>
          <w:rFonts w:ascii="MS PGothic" w:cs="MS PGothic" w:eastAsia="MS PGothic" w:hAnsi="MS PGothic"/>
          <w:sz w:val="16"/>
          <w:szCs w:val="16"/>
          <w:color w:val="auto"/>
        </w:rPr>
      </w:pPr>
    </w:p>
    <w:p>
      <w:pPr>
        <w:ind w:left="880" w:hanging="310"/>
        <w:spacing w:after="0"/>
        <w:tabs>
          <w:tab w:leader="none" w:pos="880" w:val="left"/>
        </w:tabs>
        <w:numPr>
          <w:ilvl w:val="0"/>
          <w:numId w:val="31"/>
        </w:numPr>
        <w:rPr>
          <w:rFonts w:ascii="MS PGothic" w:cs="MS PGothic" w:eastAsia="MS PGothic" w:hAnsi="MS PGothic"/>
          <w:sz w:val="16"/>
          <w:szCs w:val="16"/>
          <w:color w:val="auto"/>
        </w:rPr>
      </w:pPr>
      <w:r>
        <w:rPr>
          <w:rFonts w:ascii="Arial" w:cs="Arial" w:eastAsia="Arial" w:hAnsi="Arial"/>
          <w:sz w:val="16"/>
          <w:szCs w:val="16"/>
          <w:color w:val="auto"/>
        </w:rPr>
        <w:t>All long-term incentives are earned or vest over three years</w:t>
      </w:r>
    </w:p>
    <w:p>
      <w:pPr>
        <w:spacing w:after="0" w:line="139" w:lineRule="exact"/>
        <w:rPr>
          <w:rFonts w:ascii="MS PGothic" w:cs="MS PGothic" w:eastAsia="MS PGothic" w:hAnsi="MS PGothic"/>
          <w:sz w:val="16"/>
          <w:szCs w:val="16"/>
          <w:color w:val="auto"/>
        </w:rPr>
      </w:pPr>
    </w:p>
    <w:p>
      <w:pPr>
        <w:ind w:left="880" w:hanging="310"/>
        <w:spacing w:after="0"/>
        <w:tabs>
          <w:tab w:leader="none" w:pos="880" w:val="left"/>
        </w:tabs>
        <w:numPr>
          <w:ilvl w:val="0"/>
          <w:numId w:val="31"/>
        </w:numPr>
        <w:rPr>
          <w:rFonts w:ascii="MS PGothic" w:cs="MS PGothic" w:eastAsia="MS PGothic" w:hAnsi="MS PGothic"/>
          <w:sz w:val="16"/>
          <w:szCs w:val="16"/>
          <w:color w:val="auto"/>
        </w:rPr>
      </w:pPr>
      <w:r>
        <w:rPr>
          <w:rFonts w:ascii="Arial" w:cs="Arial" w:eastAsia="Arial" w:hAnsi="Arial"/>
          <w:sz w:val="16"/>
          <w:szCs w:val="16"/>
          <w:color w:val="auto"/>
        </w:rPr>
        <w:t>Change in control (“CIC”) provisions require double trigger.</w:t>
      </w:r>
    </w:p>
    <w:p>
      <w:pPr>
        <w:spacing w:after="0" w:line="139" w:lineRule="exact"/>
        <w:rPr>
          <w:rFonts w:ascii="MS PGothic" w:cs="MS PGothic" w:eastAsia="MS PGothic" w:hAnsi="MS PGothic"/>
          <w:sz w:val="16"/>
          <w:szCs w:val="16"/>
          <w:color w:val="auto"/>
        </w:rPr>
      </w:pPr>
    </w:p>
    <w:p>
      <w:pPr>
        <w:ind w:left="920" w:right="362" w:hanging="350"/>
        <w:spacing w:after="0" w:line="277" w:lineRule="auto"/>
        <w:tabs>
          <w:tab w:leader="none" w:pos="876" w:val="left"/>
        </w:tabs>
        <w:numPr>
          <w:ilvl w:val="0"/>
          <w:numId w:val="31"/>
        </w:numPr>
        <w:rPr>
          <w:rFonts w:ascii="MS PGothic" w:cs="MS PGothic" w:eastAsia="MS PGothic" w:hAnsi="MS PGothic"/>
          <w:sz w:val="16"/>
          <w:szCs w:val="16"/>
          <w:color w:val="auto"/>
        </w:rPr>
      </w:pPr>
      <w:r>
        <w:rPr>
          <w:rFonts w:ascii="Arial" w:cs="Arial" w:eastAsia="Arial" w:hAnsi="Arial"/>
          <w:sz w:val="16"/>
          <w:szCs w:val="16"/>
          <w:color w:val="auto"/>
        </w:rPr>
        <w:t>Executives participate in benefit and employee programs on the same basis as other Dover employees</w:t>
      </w:r>
    </w:p>
    <w:p>
      <w:pPr>
        <w:spacing w:after="0" w:line="87" w:lineRule="exact"/>
        <w:rPr>
          <w:rFonts w:ascii="MS PGothic" w:cs="MS PGothic" w:eastAsia="MS PGothic" w:hAnsi="MS PGothic"/>
          <w:sz w:val="16"/>
          <w:szCs w:val="16"/>
          <w:color w:val="auto"/>
        </w:rPr>
      </w:pPr>
    </w:p>
    <w:p>
      <w:pPr>
        <w:ind w:left="920" w:right="462" w:hanging="350"/>
        <w:spacing w:after="0" w:line="254" w:lineRule="auto"/>
        <w:tabs>
          <w:tab w:leader="none" w:pos="876" w:val="left"/>
        </w:tabs>
        <w:numPr>
          <w:ilvl w:val="0"/>
          <w:numId w:val="31"/>
        </w:numPr>
        <w:rPr>
          <w:rFonts w:ascii="MS PGothic" w:cs="MS PGothic" w:eastAsia="MS PGothic" w:hAnsi="MS PGothic"/>
          <w:sz w:val="16"/>
          <w:szCs w:val="16"/>
          <w:color w:val="auto"/>
        </w:rPr>
      </w:pPr>
      <w:r>
        <w:rPr>
          <w:rFonts w:ascii="Arial" w:cs="Arial" w:eastAsia="Arial" w:hAnsi="Arial"/>
          <w:sz w:val="16"/>
          <w:szCs w:val="16"/>
          <w:color w:val="auto"/>
        </w:rPr>
        <w:t>Clawback provisions are included in the Pension Replacement Plan (“PRP”), executive severance plan (the “severance plan”), and the CIC severance plan. Clawback provisions are set to take effect in our long-term incentive plan once the SEC issues final rules</w:t>
      </w:r>
    </w:p>
    <w:p>
      <w:pPr>
        <w:spacing w:after="0" w:line="105" w:lineRule="exact"/>
        <w:rPr>
          <w:rFonts w:ascii="MS PGothic" w:cs="MS PGothic" w:eastAsia="MS PGothic" w:hAnsi="MS PGothic"/>
          <w:sz w:val="16"/>
          <w:szCs w:val="16"/>
          <w:color w:val="auto"/>
        </w:rPr>
      </w:pPr>
    </w:p>
    <w:p>
      <w:pPr>
        <w:ind w:left="920" w:right="442" w:hanging="350"/>
        <w:spacing w:after="0" w:line="277" w:lineRule="auto"/>
        <w:tabs>
          <w:tab w:leader="none" w:pos="873" w:val="left"/>
        </w:tabs>
        <w:numPr>
          <w:ilvl w:val="0"/>
          <w:numId w:val="31"/>
        </w:numPr>
        <w:rPr>
          <w:rFonts w:ascii="MS PGothic" w:cs="MS PGothic" w:eastAsia="MS PGothic" w:hAnsi="MS PGothic"/>
          <w:sz w:val="16"/>
          <w:szCs w:val="16"/>
          <w:color w:val="auto"/>
        </w:rPr>
      </w:pPr>
      <w:r>
        <w:rPr>
          <w:rFonts w:ascii="Arial" w:cs="Arial" w:eastAsia="Arial" w:hAnsi="Arial"/>
          <w:sz w:val="16"/>
          <w:szCs w:val="16"/>
          <w:color w:val="auto"/>
        </w:rPr>
        <w:t>The Compensation Committee retains its own independent consultant</w:t>
      </w:r>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ind w:left="2138"/>
        <w:spacing w:after="0"/>
        <w:rPr>
          <w:sz w:val="20"/>
          <w:szCs w:val="20"/>
          <w:color w:val="auto"/>
        </w:rPr>
      </w:pPr>
      <w:r>
        <w:rPr>
          <w:rFonts w:ascii="Arial" w:cs="Arial" w:eastAsia="Arial" w:hAnsi="Arial"/>
          <w:sz w:val="14"/>
          <w:szCs w:val="14"/>
          <w:b w:val="1"/>
          <w:bCs w:val="1"/>
          <w:color w:val="FFFFFF"/>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-295910</wp:posOffset>
            </wp:positionH>
            <wp:positionV relativeFrom="paragraph">
              <wp:posOffset>43180</wp:posOffset>
            </wp:positionV>
            <wp:extent cx="3443605" cy="340042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43605" cy="3400425"/>
                    </a:xfrm>
                    <a:prstGeom prst="rect">
                      <a:avLst/>
                    </a:prstGeom>
                    <a:noFill/>
                  </pic:spPr>
                </pic:pic>
              </a:graphicData>
            </a:graphic>
          </wp:anchor>
        </w:drawing>
      </w:r>
    </w:p>
    <w:p>
      <w:pPr>
        <w:spacing w:after="0" w:line="117" w:lineRule="exact"/>
        <w:rPr>
          <w:sz w:val="20"/>
          <w:szCs w:val="20"/>
          <w:color w:val="auto"/>
        </w:rPr>
      </w:pPr>
    </w:p>
    <w:p>
      <w:pPr>
        <w:ind w:left="318" w:hanging="318"/>
        <w:spacing w:after="0"/>
        <w:tabs>
          <w:tab w:leader="none" w:pos="318" w:val="left"/>
        </w:tabs>
        <w:numPr>
          <w:ilvl w:val="0"/>
          <w:numId w:val="32"/>
        </w:numPr>
        <w:rPr>
          <w:rFonts w:ascii="MS PGothic" w:cs="MS PGothic" w:eastAsia="MS PGothic" w:hAnsi="MS PGothic"/>
          <w:sz w:val="16"/>
          <w:szCs w:val="16"/>
          <w:color w:val="auto"/>
        </w:rPr>
      </w:pPr>
      <w:r>
        <w:rPr>
          <w:rFonts w:ascii="Arial" w:cs="Arial" w:eastAsia="Arial" w:hAnsi="Arial"/>
          <w:sz w:val="16"/>
          <w:szCs w:val="16"/>
          <w:color w:val="auto"/>
        </w:rPr>
        <w:t>No tax gross ups</w:t>
      </w:r>
    </w:p>
    <w:p>
      <w:pPr>
        <w:spacing w:after="0" w:line="139" w:lineRule="exact"/>
        <w:rPr>
          <w:rFonts w:ascii="MS PGothic" w:cs="MS PGothic" w:eastAsia="MS PGothic" w:hAnsi="MS PGothic"/>
          <w:sz w:val="16"/>
          <w:szCs w:val="16"/>
          <w:color w:val="auto"/>
        </w:rPr>
      </w:pPr>
    </w:p>
    <w:p>
      <w:pPr>
        <w:ind w:left="318" w:hanging="318"/>
        <w:spacing w:after="0"/>
        <w:tabs>
          <w:tab w:leader="none" w:pos="318" w:val="left"/>
        </w:tabs>
        <w:numPr>
          <w:ilvl w:val="0"/>
          <w:numId w:val="32"/>
        </w:numPr>
        <w:rPr>
          <w:rFonts w:ascii="MS PGothic" w:cs="MS PGothic" w:eastAsia="MS PGothic" w:hAnsi="MS PGothic"/>
          <w:sz w:val="16"/>
          <w:szCs w:val="16"/>
          <w:color w:val="auto"/>
        </w:rPr>
      </w:pPr>
      <w:r>
        <w:rPr>
          <w:rFonts w:ascii="Arial" w:cs="Arial" w:eastAsia="Arial" w:hAnsi="Arial"/>
          <w:sz w:val="16"/>
          <w:szCs w:val="16"/>
          <w:color w:val="auto"/>
        </w:rPr>
        <w:t>No repricing, reloads or exchanges of SSARs</w:t>
      </w:r>
    </w:p>
    <w:p>
      <w:pPr>
        <w:spacing w:after="0" w:line="139" w:lineRule="exact"/>
        <w:rPr>
          <w:rFonts w:ascii="MS PGothic" w:cs="MS PGothic" w:eastAsia="MS PGothic" w:hAnsi="MS PGothic"/>
          <w:sz w:val="16"/>
          <w:szCs w:val="16"/>
          <w:color w:val="auto"/>
        </w:rPr>
      </w:pPr>
    </w:p>
    <w:p>
      <w:pPr>
        <w:ind w:left="318" w:hanging="318"/>
        <w:spacing w:after="0"/>
        <w:tabs>
          <w:tab w:leader="none" w:pos="318" w:val="left"/>
        </w:tabs>
        <w:numPr>
          <w:ilvl w:val="0"/>
          <w:numId w:val="32"/>
        </w:numPr>
        <w:rPr>
          <w:rFonts w:ascii="MS PGothic" w:cs="MS PGothic" w:eastAsia="MS PGothic" w:hAnsi="MS PGothic"/>
          <w:sz w:val="16"/>
          <w:szCs w:val="16"/>
          <w:color w:val="auto"/>
        </w:rPr>
      </w:pPr>
      <w:r>
        <w:rPr>
          <w:rFonts w:ascii="Arial" w:cs="Arial" w:eastAsia="Arial" w:hAnsi="Arial"/>
          <w:sz w:val="16"/>
          <w:szCs w:val="16"/>
          <w:color w:val="auto"/>
        </w:rPr>
        <w:t>No SSARs granted below fair market value</w:t>
      </w:r>
    </w:p>
    <w:p>
      <w:pPr>
        <w:spacing w:after="0" w:line="139" w:lineRule="exact"/>
        <w:rPr>
          <w:rFonts w:ascii="MS PGothic" w:cs="MS PGothic" w:eastAsia="MS PGothic" w:hAnsi="MS PGothic"/>
          <w:sz w:val="16"/>
          <w:szCs w:val="16"/>
          <w:color w:val="auto"/>
        </w:rPr>
      </w:pPr>
    </w:p>
    <w:p>
      <w:pPr>
        <w:ind w:left="358" w:right="520" w:hanging="358"/>
        <w:spacing w:after="0" w:line="277" w:lineRule="auto"/>
        <w:tabs>
          <w:tab w:leader="none" w:pos="314" w:val="left"/>
        </w:tabs>
        <w:numPr>
          <w:ilvl w:val="0"/>
          <w:numId w:val="32"/>
        </w:numPr>
        <w:rPr>
          <w:rFonts w:ascii="MS PGothic" w:cs="MS PGothic" w:eastAsia="MS PGothic" w:hAnsi="MS PGothic"/>
          <w:sz w:val="16"/>
          <w:szCs w:val="16"/>
          <w:color w:val="auto"/>
        </w:rPr>
      </w:pPr>
      <w:r>
        <w:rPr>
          <w:rFonts w:ascii="Arial" w:cs="Arial" w:eastAsia="Arial" w:hAnsi="Arial"/>
          <w:sz w:val="16"/>
          <w:szCs w:val="16"/>
          <w:color w:val="auto"/>
        </w:rPr>
        <w:t>No hedging or pledging of Dover securities by executives, including margin loans</w:t>
      </w:r>
    </w:p>
    <w:p>
      <w:pPr>
        <w:spacing w:after="0" w:line="87" w:lineRule="exact"/>
        <w:rPr>
          <w:rFonts w:ascii="MS PGothic" w:cs="MS PGothic" w:eastAsia="MS PGothic" w:hAnsi="MS PGothic"/>
          <w:sz w:val="16"/>
          <w:szCs w:val="16"/>
          <w:color w:val="auto"/>
        </w:rPr>
      </w:pPr>
    </w:p>
    <w:p>
      <w:pPr>
        <w:ind w:left="358" w:right="220" w:hanging="358"/>
        <w:spacing w:after="0" w:line="256" w:lineRule="auto"/>
        <w:tabs>
          <w:tab w:leader="none" w:pos="314" w:val="left"/>
        </w:tabs>
        <w:numPr>
          <w:ilvl w:val="0"/>
          <w:numId w:val="32"/>
        </w:numPr>
        <w:rPr>
          <w:rFonts w:ascii="MS PGothic" w:cs="MS PGothic" w:eastAsia="MS PGothic" w:hAnsi="MS PGothic"/>
          <w:sz w:val="16"/>
          <w:szCs w:val="16"/>
          <w:color w:val="auto"/>
        </w:rPr>
      </w:pPr>
      <w:r>
        <w:rPr>
          <w:rFonts w:ascii="Arial" w:cs="Arial" w:eastAsia="Arial" w:hAnsi="Arial"/>
          <w:sz w:val="16"/>
          <w:szCs w:val="16"/>
          <w:color w:val="auto"/>
        </w:rPr>
        <w:t>No dividends are paid on performance shares or restricted stock units (“RSUs”) during the earning or vesting period. Dividend equivalents are accrued on RSUs, but are only paid if the RSUs vest</w:t>
      </w:r>
    </w:p>
    <w:p>
      <w:pPr>
        <w:spacing w:after="0" w:line="105" w:lineRule="exact"/>
        <w:rPr>
          <w:rFonts w:ascii="MS PGothic" w:cs="MS PGothic" w:eastAsia="MS PGothic" w:hAnsi="MS PGothic"/>
          <w:sz w:val="16"/>
          <w:szCs w:val="16"/>
          <w:color w:val="auto"/>
        </w:rPr>
      </w:pPr>
    </w:p>
    <w:p>
      <w:pPr>
        <w:ind w:left="318" w:hanging="318"/>
        <w:spacing w:after="0"/>
        <w:tabs>
          <w:tab w:leader="none" w:pos="318" w:val="left"/>
        </w:tabs>
        <w:numPr>
          <w:ilvl w:val="0"/>
          <w:numId w:val="32"/>
        </w:numPr>
        <w:rPr>
          <w:rFonts w:ascii="MS PGothic" w:cs="MS PGothic" w:eastAsia="MS PGothic" w:hAnsi="MS PGothic"/>
          <w:sz w:val="16"/>
          <w:szCs w:val="16"/>
          <w:color w:val="auto"/>
        </w:rPr>
      </w:pPr>
      <w:r>
        <w:rPr>
          <w:rFonts w:ascii="Arial" w:cs="Arial" w:eastAsia="Arial" w:hAnsi="Arial"/>
          <w:sz w:val="16"/>
          <w:szCs w:val="16"/>
          <w:color w:val="auto"/>
        </w:rPr>
        <w:t>No special executive retirement arrangements</w:t>
      </w:r>
    </w:p>
    <w:p>
      <w:pPr>
        <w:spacing w:after="0" w:line="139" w:lineRule="exact"/>
        <w:rPr>
          <w:rFonts w:ascii="MS PGothic" w:cs="MS PGothic" w:eastAsia="MS PGothic" w:hAnsi="MS PGothic"/>
          <w:sz w:val="16"/>
          <w:szCs w:val="16"/>
          <w:color w:val="auto"/>
        </w:rPr>
      </w:pPr>
    </w:p>
    <w:p>
      <w:pPr>
        <w:ind w:left="358" w:right="720" w:hanging="358"/>
        <w:spacing w:after="0" w:line="277" w:lineRule="auto"/>
        <w:tabs>
          <w:tab w:leader="none" w:pos="314" w:val="left"/>
        </w:tabs>
        <w:numPr>
          <w:ilvl w:val="0"/>
          <w:numId w:val="32"/>
        </w:numPr>
        <w:rPr>
          <w:rFonts w:ascii="MS PGothic" w:cs="MS PGothic" w:eastAsia="MS PGothic" w:hAnsi="MS PGothic"/>
          <w:sz w:val="16"/>
          <w:szCs w:val="16"/>
          <w:color w:val="auto"/>
        </w:rPr>
      </w:pPr>
      <w:r>
        <w:rPr>
          <w:rFonts w:ascii="Arial" w:cs="Arial" w:eastAsia="Arial" w:hAnsi="Arial"/>
          <w:sz w:val="16"/>
          <w:szCs w:val="16"/>
          <w:color w:val="auto"/>
        </w:rPr>
        <w:t>No substantial executive perquisites, nor do we own or operate any corporate aircraft</w:t>
      </w:r>
    </w:p>
    <w:p>
      <w:pPr>
        <w:spacing w:after="0" w:line="2293" w:lineRule="exact"/>
        <w:rPr>
          <w:sz w:val="20"/>
          <w:szCs w:val="20"/>
          <w:color w:val="auto"/>
        </w:rPr>
      </w:pPr>
    </w:p>
    <w:p>
      <w:pPr>
        <w:sectPr>
          <w:pgSz w:w="11900" w:h="16838" w:orient="portrait"/>
          <w:cols w:equalWidth="0" w:num="2">
            <w:col w:w="5542" w:space="720"/>
            <w:col w:w="4958"/>
          </w:cols>
          <w:pgMar w:left="240" w:top="459" w:right="439" w:bottom="1440" w:gutter="0" w:footer="0" w:header="0"/>
          <w:type w:val="continuous"/>
        </w:sectPr>
      </w:pPr>
    </w:p>
    <w:p>
      <w:pPr>
        <w:ind w:left="7380"/>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38</w:t>
      </w:r>
    </w:p>
    <w:p>
      <w:pPr>
        <w:sectPr>
          <w:pgSz w:w="11900" w:h="16838" w:orient="portrait"/>
          <w:cols w:equalWidth="0" w:num="1">
            <w:col w:w="11220"/>
          </w:cols>
          <w:pgMar w:left="240" w:top="459" w:right="439" w:bottom="1440" w:gutter="0" w:footer="0" w:header="0"/>
          <w:type w:val="continuous"/>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COMPENSATION DISCUSSION AND ANALYSIS</w:t>
      </w:r>
    </w:p>
    <w:p>
      <w:pPr>
        <w:spacing w:after="0" w:line="139"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32406B"/>
        </w:rPr>
        <w:t>Compensation Process: Aligning Business Strategy and Performance</w:t>
      </w:r>
    </w:p>
    <w:p>
      <w:pPr>
        <w:spacing w:after="0" w:line="220"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32406B"/>
        </w:rPr>
        <w:t>Guiding Principles for Dover’s Executive Compensation Program</w:t>
      </w:r>
    </w:p>
    <w:p>
      <w:pPr>
        <w:spacing w:after="0" w:line="10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Dover’s executive compensation programs are designed to do the following:</w:t>
      </w:r>
    </w:p>
    <w:p>
      <w:pPr>
        <w:spacing w:after="0" w:line="246" w:lineRule="exact"/>
        <w:rPr>
          <w:sz w:val="20"/>
          <w:szCs w:val="20"/>
          <w:color w:val="auto"/>
        </w:rPr>
      </w:pPr>
    </w:p>
    <w:tbl>
      <w:tblPr>
        <w:tblLayout w:type="fixed"/>
        <w:tblInd w:w="220" w:type="dxa"/>
        <w:tblCellMar>
          <w:top w:w="0" w:type="dxa"/>
          <w:left w:w="0" w:type="dxa"/>
          <w:bottom w:w="0" w:type="dxa"/>
          <w:right w:w="0" w:type="dxa"/>
        </w:tblCellMar>
      </w:tblPr>
      <w:tr>
        <w:trPr>
          <w:trHeight w:val="285"/>
        </w:trPr>
        <w:tc>
          <w:tcPr>
            <w:tcW w:w="3640" w:type="dxa"/>
            <w:vAlign w:val="bottom"/>
            <w:shd w:val="clear" w:color="auto" w:fill="D8D8D8"/>
          </w:tcPr>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Focus executives on consistent long-term</w:t>
            </w:r>
          </w:p>
        </w:tc>
        <w:tc>
          <w:tcPr>
            <w:tcW w:w="3720" w:type="dxa"/>
            <w:vAlign w:val="bottom"/>
          </w:tcPr>
          <w:p>
            <w:pPr>
              <w:ind w:left="10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Attract and retain the right executives to look</w:t>
            </w:r>
          </w:p>
        </w:tc>
        <w:tc>
          <w:tcPr>
            <w:tcW w:w="3640" w:type="dxa"/>
            <w:vAlign w:val="bottom"/>
            <w:shd w:val="clear" w:color="auto" w:fill="D8D8D8"/>
          </w:tcPr>
          <w:p>
            <w:pPr>
              <w:ind w:left="12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Create the drive for over-achievement</w:t>
            </w:r>
          </w:p>
        </w:tc>
      </w:tr>
      <w:tr>
        <w:trPr>
          <w:trHeight w:val="189"/>
        </w:trPr>
        <w:tc>
          <w:tcPr>
            <w:tcW w:w="3640" w:type="dxa"/>
            <w:vAlign w:val="bottom"/>
            <w:shd w:val="clear" w:color="auto" w:fill="D8D8D8"/>
          </w:tcPr>
          <w:p>
            <w:pPr>
              <w:ind w:left="340"/>
              <w:spacing w:after="0"/>
              <w:rPr>
                <w:sz w:val="20"/>
                <w:szCs w:val="20"/>
                <w:color w:val="auto"/>
              </w:rPr>
            </w:pPr>
            <w:r>
              <w:rPr>
                <w:rFonts w:ascii="Arial" w:cs="Arial" w:eastAsia="Arial" w:hAnsi="Arial"/>
                <w:sz w:val="16"/>
                <w:szCs w:val="16"/>
                <w:color w:val="auto"/>
              </w:rPr>
              <w:t>value creation and a balanced capital</w:t>
            </w:r>
          </w:p>
        </w:tc>
        <w:tc>
          <w:tcPr>
            <w:tcW w:w="3720" w:type="dxa"/>
            <w:vAlign w:val="bottom"/>
          </w:tcPr>
          <w:p>
            <w:pPr>
              <w:ind w:left="460"/>
              <w:spacing w:after="0"/>
              <w:rPr>
                <w:sz w:val="20"/>
                <w:szCs w:val="20"/>
                <w:color w:val="auto"/>
              </w:rPr>
            </w:pPr>
            <w:r>
              <w:rPr>
                <w:rFonts w:ascii="Arial" w:cs="Arial" w:eastAsia="Arial" w:hAnsi="Arial"/>
                <w:sz w:val="16"/>
                <w:szCs w:val="16"/>
                <w:color w:val="auto"/>
              </w:rPr>
              <w:t>after our shareholders’ interests and manage</w:t>
            </w:r>
          </w:p>
        </w:tc>
        <w:tc>
          <w:tcPr>
            <w:tcW w:w="3640" w:type="dxa"/>
            <w:vAlign w:val="bottom"/>
            <w:shd w:val="clear" w:color="auto" w:fill="D8D8D8"/>
          </w:tcPr>
          <w:p>
            <w:pPr>
              <w:ind w:left="480"/>
              <w:spacing w:after="0"/>
              <w:rPr>
                <w:sz w:val="20"/>
                <w:szCs w:val="20"/>
                <w:color w:val="auto"/>
              </w:rPr>
            </w:pPr>
            <w:r>
              <w:rPr>
                <w:rFonts w:ascii="Arial" w:cs="Arial" w:eastAsia="Arial" w:hAnsi="Arial"/>
                <w:sz w:val="16"/>
                <w:szCs w:val="16"/>
                <w:color w:val="auto"/>
              </w:rPr>
              <w:t>without creating undue risk to the Company.</w:t>
            </w:r>
          </w:p>
        </w:tc>
      </w:tr>
      <w:tr>
        <w:trPr>
          <w:trHeight w:val="189"/>
        </w:trPr>
        <w:tc>
          <w:tcPr>
            <w:tcW w:w="3640" w:type="dxa"/>
            <w:vAlign w:val="bottom"/>
            <w:shd w:val="clear" w:color="auto" w:fill="D8D8D8"/>
          </w:tcPr>
          <w:p>
            <w:pPr>
              <w:ind w:left="340"/>
              <w:spacing w:after="0"/>
              <w:rPr>
                <w:sz w:val="20"/>
                <w:szCs w:val="20"/>
                <w:color w:val="auto"/>
              </w:rPr>
            </w:pPr>
            <w:r>
              <w:rPr>
                <w:rFonts w:ascii="Arial" w:cs="Arial" w:eastAsia="Arial" w:hAnsi="Arial"/>
                <w:sz w:val="16"/>
                <w:szCs w:val="16"/>
                <w:color w:val="auto"/>
              </w:rPr>
              <w:t>allocation program to outperform our</w:t>
            </w:r>
          </w:p>
        </w:tc>
        <w:tc>
          <w:tcPr>
            <w:tcW w:w="3720" w:type="dxa"/>
            <w:vAlign w:val="bottom"/>
          </w:tcPr>
          <w:p>
            <w:pPr>
              <w:ind w:left="460"/>
              <w:spacing w:after="0"/>
              <w:rPr>
                <w:sz w:val="20"/>
                <w:szCs w:val="20"/>
                <w:color w:val="auto"/>
              </w:rPr>
            </w:pPr>
            <w:r>
              <w:rPr>
                <w:rFonts w:ascii="Arial" w:cs="Arial" w:eastAsia="Arial" w:hAnsi="Arial"/>
                <w:sz w:val="16"/>
                <w:szCs w:val="16"/>
                <w:color w:val="auto"/>
              </w:rPr>
              <w:t>our businesses.</w:t>
            </w:r>
          </w:p>
        </w:tc>
        <w:tc>
          <w:tcPr>
            <w:tcW w:w="3640" w:type="dxa"/>
            <w:vAlign w:val="bottom"/>
            <w:shd w:val="clear" w:color="auto" w:fill="D8D8D8"/>
          </w:tcPr>
          <w:p>
            <w:pPr>
              <w:spacing w:after="0"/>
              <w:rPr>
                <w:sz w:val="16"/>
                <w:szCs w:val="16"/>
                <w:color w:val="auto"/>
              </w:rPr>
            </w:pPr>
          </w:p>
        </w:tc>
      </w:tr>
      <w:tr>
        <w:trPr>
          <w:trHeight w:val="189"/>
        </w:trPr>
        <w:tc>
          <w:tcPr>
            <w:tcW w:w="3640" w:type="dxa"/>
            <w:vAlign w:val="bottom"/>
            <w:shd w:val="clear" w:color="auto" w:fill="D8D8D8"/>
          </w:tcPr>
          <w:p>
            <w:pPr>
              <w:ind w:left="340"/>
              <w:spacing w:after="0"/>
              <w:rPr>
                <w:sz w:val="20"/>
                <w:szCs w:val="20"/>
                <w:color w:val="auto"/>
              </w:rPr>
            </w:pPr>
            <w:r>
              <w:rPr>
                <w:rFonts w:ascii="Arial" w:cs="Arial" w:eastAsia="Arial" w:hAnsi="Arial"/>
                <w:sz w:val="16"/>
                <w:szCs w:val="16"/>
                <w:color w:val="auto"/>
              </w:rPr>
              <w:t>investors’ alternative investment choices in</w:t>
            </w:r>
          </w:p>
        </w:tc>
        <w:tc>
          <w:tcPr>
            <w:tcW w:w="3720" w:type="dxa"/>
            <w:vAlign w:val="bottom"/>
          </w:tcPr>
          <w:p>
            <w:pPr>
              <w:spacing w:after="0"/>
              <w:rPr>
                <w:sz w:val="16"/>
                <w:szCs w:val="16"/>
                <w:color w:val="auto"/>
              </w:rPr>
            </w:pPr>
          </w:p>
        </w:tc>
        <w:tc>
          <w:tcPr>
            <w:tcW w:w="3640" w:type="dxa"/>
            <w:vAlign w:val="bottom"/>
            <w:shd w:val="clear" w:color="auto" w:fill="D8D8D8"/>
          </w:tcPr>
          <w:p>
            <w:pPr>
              <w:spacing w:after="0"/>
              <w:rPr>
                <w:sz w:val="16"/>
                <w:szCs w:val="16"/>
                <w:color w:val="auto"/>
              </w:rPr>
            </w:pPr>
          </w:p>
        </w:tc>
      </w:tr>
      <w:tr>
        <w:trPr>
          <w:trHeight w:val="200"/>
        </w:trPr>
        <w:tc>
          <w:tcPr>
            <w:tcW w:w="3640" w:type="dxa"/>
            <w:vAlign w:val="bottom"/>
            <w:shd w:val="clear" w:color="auto" w:fill="D8D8D8"/>
          </w:tcPr>
          <w:p>
            <w:pPr>
              <w:ind w:left="340"/>
              <w:spacing w:after="0"/>
              <w:rPr>
                <w:sz w:val="20"/>
                <w:szCs w:val="20"/>
                <w:color w:val="auto"/>
              </w:rPr>
            </w:pPr>
            <w:r>
              <w:rPr>
                <w:rFonts w:ascii="Arial" w:cs="Arial" w:eastAsia="Arial" w:hAnsi="Arial"/>
                <w:sz w:val="16"/>
                <w:szCs w:val="16"/>
                <w:color w:val="auto"/>
              </w:rPr>
              <w:t>our industry.</w:t>
            </w:r>
          </w:p>
        </w:tc>
        <w:tc>
          <w:tcPr>
            <w:tcW w:w="3720" w:type="dxa"/>
            <w:vAlign w:val="bottom"/>
          </w:tcPr>
          <w:p>
            <w:pPr>
              <w:spacing w:after="0"/>
              <w:rPr>
                <w:sz w:val="17"/>
                <w:szCs w:val="17"/>
                <w:color w:val="auto"/>
              </w:rPr>
            </w:pPr>
          </w:p>
        </w:tc>
        <w:tc>
          <w:tcPr>
            <w:tcW w:w="3640" w:type="dxa"/>
            <w:vAlign w:val="bottom"/>
            <w:shd w:val="clear" w:color="auto" w:fill="D8D8D8"/>
          </w:tcPr>
          <w:p>
            <w:pPr>
              <w:spacing w:after="0"/>
              <w:rPr>
                <w:sz w:val="17"/>
                <w:szCs w:val="17"/>
                <w:color w:val="auto"/>
              </w:rPr>
            </w:pPr>
          </w:p>
        </w:tc>
      </w:tr>
    </w:tbl>
    <w:p>
      <w:pPr>
        <w:spacing w:after="0" w:line="198"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32406B"/>
        </w:rPr>
        <w:t>Setting Executive Compensation — Roles</w:t>
      </w:r>
    </w:p>
    <w:p>
      <w:pPr>
        <w:spacing w:after="0" w:line="92" w:lineRule="exact"/>
        <w:rPr>
          <w:sz w:val="20"/>
          <w:szCs w:val="20"/>
          <w:color w:val="auto"/>
        </w:rPr>
      </w:pPr>
    </w:p>
    <w:p>
      <w:pPr>
        <w:ind w:left="220" w:right="220"/>
        <w:spacing w:after="0" w:line="253" w:lineRule="auto"/>
        <w:rPr>
          <w:sz w:val="20"/>
          <w:szCs w:val="20"/>
          <w:color w:val="auto"/>
        </w:rPr>
      </w:pPr>
      <w:r>
        <w:rPr>
          <w:rFonts w:ascii="Arial" w:cs="Arial" w:eastAsia="Arial" w:hAnsi="Arial"/>
          <w:sz w:val="16"/>
          <w:szCs w:val="16"/>
          <w:color w:val="auto"/>
        </w:rPr>
        <w:t>The process for determining our compensation program structure and payouts involves the dedicated participation of four parties: the Compensation Committee, the independent directors of the Board, the CEO, and the Compensation Committee’s independent consultant. The roles of each in making compensation decisions are:</w:t>
      </w:r>
    </w:p>
    <w:p>
      <w:pPr>
        <w:sectPr>
          <w:pgSz w:w="11900" w:h="16838" w:orient="portrait"/>
          <w:cols w:equalWidth="0" w:num="1">
            <w:col w:w="11220"/>
          </w:cols>
          <w:pgMar w:left="240" w:top="459" w:right="439" w:bottom="1440" w:gutter="0" w:footer="0" w:header="0"/>
        </w:sectPr>
      </w:pPr>
    </w:p>
    <w:p>
      <w:pPr>
        <w:spacing w:after="0" w:line="221" w:lineRule="exact"/>
        <w:rPr>
          <w:sz w:val="20"/>
          <w:szCs w:val="20"/>
          <w:color w:val="auto"/>
        </w:rPr>
      </w:pPr>
    </w:p>
    <w:p>
      <w:pPr>
        <w:ind w:left="1940"/>
        <w:spacing w:after="0"/>
        <w:rPr>
          <w:sz w:val="20"/>
          <w:szCs w:val="20"/>
          <w:color w:val="auto"/>
        </w:rPr>
      </w:pPr>
      <w:r>
        <w:rPr>
          <w:rFonts w:ascii="Arial" w:cs="Arial" w:eastAsia="Arial" w:hAnsi="Arial"/>
          <w:sz w:val="16"/>
          <w:szCs w:val="16"/>
          <w:b w:val="1"/>
          <w:bCs w:val="1"/>
          <w:color w:val="auto"/>
        </w:rPr>
        <w:t>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-113030</wp:posOffset>
            </wp:positionV>
            <wp:extent cx="6998335" cy="42659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8335" cy="4265930"/>
                    </a:xfrm>
                    <a:prstGeom prst="rect">
                      <a:avLst/>
                    </a:prstGeom>
                    <a:noFill/>
                  </pic:spPr>
                </pic:pic>
              </a:graphicData>
            </a:graphic>
          </wp:anchor>
        </w:drawing>
      </w:r>
    </w:p>
    <w:p>
      <w:pPr>
        <w:spacing w:after="0" w:line="153" w:lineRule="exact"/>
        <w:rPr>
          <w:sz w:val="20"/>
          <w:szCs w:val="20"/>
          <w:color w:val="auto"/>
        </w:rPr>
      </w:pPr>
    </w:p>
    <w:p>
      <w:pPr>
        <w:ind w:left="720" w:right="20" w:hanging="173"/>
        <w:spacing w:after="0" w:line="260" w:lineRule="auto"/>
        <w:tabs>
          <w:tab w:leader="none" w:pos="707" w:val="left"/>
        </w:tabs>
        <w:numPr>
          <w:ilvl w:val="0"/>
          <w:numId w:val="33"/>
        </w:numPr>
        <w:rPr>
          <w:rFonts w:ascii="Arial" w:cs="Arial" w:eastAsia="Arial" w:hAnsi="Arial"/>
          <w:sz w:val="16"/>
          <w:szCs w:val="16"/>
          <w:color w:val="auto"/>
        </w:rPr>
      </w:pPr>
      <w:r>
        <w:rPr>
          <w:rFonts w:ascii="Arial" w:cs="Arial" w:eastAsia="Arial" w:hAnsi="Arial"/>
          <w:sz w:val="16"/>
          <w:szCs w:val="16"/>
          <w:color w:val="auto"/>
        </w:rPr>
        <w:t>Oversee the development and administration of our compensation and benefits policies and programs.</w:t>
      </w:r>
    </w:p>
    <w:p>
      <w:pPr>
        <w:spacing w:after="0" w:line="73" w:lineRule="exact"/>
        <w:rPr>
          <w:rFonts w:ascii="Arial" w:cs="Arial" w:eastAsia="Arial" w:hAnsi="Arial"/>
          <w:sz w:val="16"/>
          <w:szCs w:val="16"/>
          <w:color w:val="auto"/>
        </w:rPr>
      </w:pPr>
    </w:p>
    <w:p>
      <w:pPr>
        <w:ind w:left="720" w:hanging="173"/>
        <w:spacing w:after="0" w:line="253" w:lineRule="auto"/>
        <w:tabs>
          <w:tab w:leader="none" w:pos="707" w:val="left"/>
        </w:tabs>
        <w:numPr>
          <w:ilvl w:val="0"/>
          <w:numId w:val="33"/>
        </w:numPr>
        <w:rPr>
          <w:rFonts w:ascii="Arial" w:cs="Arial" w:eastAsia="Arial" w:hAnsi="Arial"/>
          <w:sz w:val="16"/>
          <w:szCs w:val="16"/>
          <w:color w:val="auto"/>
        </w:rPr>
      </w:pPr>
      <w:r>
        <w:rPr>
          <w:rFonts w:ascii="Arial" w:cs="Arial" w:eastAsia="Arial" w:hAnsi="Arial"/>
          <w:sz w:val="16"/>
          <w:szCs w:val="16"/>
          <w:color w:val="auto"/>
        </w:rPr>
        <w:t>Evaluate and approve the performance of the CEO and each NEO against specified individual strategic objectives, set at the beginning of the year.</w:t>
      </w:r>
    </w:p>
    <w:p>
      <w:pPr>
        <w:spacing w:after="0" w:line="79" w:lineRule="exact"/>
        <w:rPr>
          <w:rFonts w:ascii="Arial" w:cs="Arial" w:eastAsia="Arial" w:hAnsi="Arial"/>
          <w:sz w:val="16"/>
          <w:szCs w:val="16"/>
          <w:color w:val="auto"/>
        </w:rPr>
      </w:pPr>
    </w:p>
    <w:p>
      <w:pPr>
        <w:ind w:left="720" w:right="60" w:hanging="173"/>
        <w:spacing w:after="0" w:line="253" w:lineRule="auto"/>
        <w:tabs>
          <w:tab w:leader="none" w:pos="707"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Review and approve performance measures, weightings, and strategic goals for the annual and long-term incentive plans in the context of our business strategy.</w:t>
      </w:r>
    </w:p>
    <w:p>
      <w:pPr>
        <w:spacing w:after="0" w:line="79" w:lineRule="exact"/>
        <w:rPr>
          <w:rFonts w:ascii="Arial" w:cs="Arial" w:eastAsia="Arial" w:hAnsi="Arial"/>
          <w:sz w:val="16"/>
          <w:szCs w:val="16"/>
          <w:color w:val="auto"/>
        </w:rPr>
      </w:pPr>
    </w:p>
    <w:p>
      <w:pPr>
        <w:ind w:left="720" w:right="140" w:hanging="173"/>
        <w:spacing w:after="0" w:line="260" w:lineRule="auto"/>
        <w:tabs>
          <w:tab w:leader="none" w:pos="707" w:val="left"/>
        </w:tabs>
        <w:numPr>
          <w:ilvl w:val="0"/>
          <w:numId w:val="33"/>
        </w:numPr>
        <w:rPr>
          <w:rFonts w:ascii="Arial" w:cs="Arial" w:eastAsia="Arial" w:hAnsi="Arial"/>
          <w:sz w:val="16"/>
          <w:szCs w:val="16"/>
          <w:color w:val="auto"/>
        </w:rPr>
      </w:pPr>
      <w:r>
        <w:rPr>
          <w:rFonts w:ascii="Arial" w:cs="Arial" w:eastAsia="Arial" w:hAnsi="Arial"/>
          <w:sz w:val="16"/>
          <w:szCs w:val="16"/>
          <w:color w:val="auto"/>
        </w:rPr>
        <w:t>Formulate the compensation recommendations for our CEO and present to the independent directors for approval.</w:t>
      </w:r>
    </w:p>
    <w:p>
      <w:pPr>
        <w:spacing w:after="0" w:line="73" w:lineRule="exact"/>
        <w:rPr>
          <w:rFonts w:ascii="Arial" w:cs="Arial" w:eastAsia="Arial" w:hAnsi="Arial"/>
          <w:sz w:val="16"/>
          <w:szCs w:val="16"/>
          <w:color w:val="auto"/>
        </w:rPr>
      </w:pPr>
    </w:p>
    <w:p>
      <w:pPr>
        <w:ind w:left="720" w:right="140" w:hanging="173"/>
        <w:spacing w:after="0" w:line="260" w:lineRule="auto"/>
        <w:tabs>
          <w:tab w:leader="none" w:pos="707" w:val="left"/>
        </w:tabs>
        <w:numPr>
          <w:ilvl w:val="0"/>
          <w:numId w:val="33"/>
        </w:numPr>
        <w:rPr>
          <w:rFonts w:ascii="Arial" w:cs="Arial" w:eastAsia="Arial" w:hAnsi="Arial"/>
          <w:sz w:val="16"/>
          <w:szCs w:val="16"/>
          <w:color w:val="auto"/>
        </w:rPr>
      </w:pPr>
      <w:r>
        <w:rPr>
          <w:rFonts w:ascii="Arial" w:cs="Arial" w:eastAsia="Arial" w:hAnsi="Arial"/>
          <w:sz w:val="16"/>
          <w:szCs w:val="16"/>
          <w:color w:val="auto"/>
        </w:rPr>
        <w:t>Approve all compensation recommendations for direct reports to our CEO.</w:t>
      </w:r>
    </w:p>
    <w:p>
      <w:pPr>
        <w:spacing w:after="0" w:line="200" w:lineRule="exact"/>
        <w:rPr>
          <w:sz w:val="20"/>
          <w:szCs w:val="20"/>
          <w:color w:val="auto"/>
        </w:rPr>
      </w:pPr>
    </w:p>
    <w:p>
      <w:pPr>
        <w:spacing w:after="0" w:line="218" w:lineRule="exact"/>
        <w:rPr>
          <w:sz w:val="20"/>
          <w:szCs w:val="20"/>
          <w:color w:val="auto"/>
        </w:rPr>
      </w:pPr>
    </w:p>
    <w:p>
      <w:pPr>
        <w:jc w:val="center"/>
        <w:ind w:left="420"/>
        <w:spacing w:after="0"/>
        <w:rPr>
          <w:sz w:val="20"/>
          <w:szCs w:val="20"/>
          <w:color w:val="auto"/>
        </w:rPr>
      </w:pPr>
      <w:r>
        <w:rPr>
          <w:rFonts w:ascii="Arial" w:cs="Arial" w:eastAsia="Arial" w:hAnsi="Arial"/>
          <w:sz w:val="16"/>
          <w:szCs w:val="16"/>
          <w:b w:val="1"/>
          <w:bCs w:val="1"/>
          <w:color w:val="auto"/>
        </w:rPr>
        <w:t>CEO</w:t>
      </w:r>
    </w:p>
    <w:p>
      <w:pPr>
        <w:spacing w:after="0" w:line="173" w:lineRule="exact"/>
        <w:rPr>
          <w:sz w:val="20"/>
          <w:szCs w:val="20"/>
          <w:color w:val="auto"/>
        </w:rPr>
      </w:pPr>
    </w:p>
    <w:p>
      <w:pPr>
        <w:jc w:val="both"/>
        <w:ind w:left="720" w:right="260" w:hanging="173"/>
        <w:spacing w:after="0" w:line="253" w:lineRule="auto"/>
        <w:tabs>
          <w:tab w:leader="none" w:pos="707"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Recommend to the Compensation Committee salaries, annual incentive awards, and long-term incentive awards for his direct reports, including other NEOs.</w:t>
      </w:r>
    </w:p>
    <w:p>
      <w:pPr>
        <w:spacing w:after="0" w:line="79" w:lineRule="exact"/>
        <w:rPr>
          <w:rFonts w:ascii="Arial" w:cs="Arial" w:eastAsia="Arial" w:hAnsi="Arial"/>
          <w:sz w:val="16"/>
          <w:szCs w:val="16"/>
          <w:color w:val="auto"/>
        </w:rPr>
      </w:pPr>
    </w:p>
    <w:p>
      <w:pPr>
        <w:ind w:left="720" w:right="400" w:hanging="173"/>
        <w:spacing w:after="0" w:line="250" w:lineRule="auto"/>
        <w:tabs>
          <w:tab w:leader="none" w:pos="707" w:val="left"/>
        </w:tabs>
        <w:numPr>
          <w:ilvl w:val="0"/>
          <w:numId w:val="34"/>
        </w:numPr>
        <w:rPr>
          <w:rFonts w:ascii="Arial" w:cs="Arial" w:eastAsia="Arial" w:hAnsi="Arial"/>
          <w:sz w:val="16"/>
          <w:szCs w:val="16"/>
          <w:color w:val="auto"/>
        </w:rPr>
      </w:pPr>
      <w:r>
        <w:rPr>
          <w:rFonts w:ascii="Arial" w:cs="Arial" w:eastAsia="Arial" w:hAnsi="Arial"/>
          <w:sz w:val="16"/>
          <w:szCs w:val="16"/>
          <w:color w:val="auto"/>
        </w:rPr>
        <w:t>Provide assessment of each officer’s performance including progress against strategic objectives, the performance of the individual’s respective segment or function, and employee retention considerations.</w:t>
      </w:r>
    </w:p>
    <w:p>
      <w:pPr>
        <w:spacing w:after="0" w:line="83" w:lineRule="exact"/>
        <w:rPr>
          <w:rFonts w:ascii="Arial" w:cs="Arial" w:eastAsia="Arial" w:hAnsi="Arial"/>
          <w:sz w:val="16"/>
          <w:szCs w:val="16"/>
          <w:color w:val="auto"/>
        </w:rPr>
      </w:pPr>
    </w:p>
    <w:p>
      <w:pPr>
        <w:ind w:left="720" w:hanging="173"/>
        <w:spacing w:after="0" w:line="253" w:lineRule="auto"/>
        <w:tabs>
          <w:tab w:leader="none" w:pos="707" w:val="left"/>
        </w:tabs>
        <w:numPr>
          <w:ilvl w:val="0"/>
          <w:numId w:val="34"/>
        </w:numPr>
        <w:rPr>
          <w:rFonts w:ascii="Arial" w:cs="Arial" w:eastAsia="Arial" w:hAnsi="Arial"/>
          <w:sz w:val="16"/>
          <w:szCs w:val="16"/>
          <w:color w:val="auto"/>
        </w:rPr>
      </w:pPr>
      <w:r>
        <w:rPr>
          <w:rFonts w:ascii="Arial" w:cs="Arial" w:eastAsia="Arial" w:hAnsi="Arial"/>
          <w:sz w:val="16"/>
          <w:szCs w:val="16"/>
          <w:color w:val="auto"/>
        </w:rPr>
        <w:t>Play no role in matters affecting his own compensation other than providing the independent directors with a written self-assessment of his performance.</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left="164"/>
        <w:spacing w:after="0"/>
        <w:rPr>
          <w:sz w:val="20"/>
          <w:szCs w:val="20"/>
          <w:color w:val="auto"/>
        </w:rPr>
      </w:pPr>
      <w:r>
        <w:rPr>
          <w:rFonts w:ascii="Arial" w:cs="Arial" w:eastAsia="Arial" w:hAnsi="Arial"/>
          <w:sz w:val="16"/>
          <w:szCs w:val="16"/>
          <w:b w:val="1"/>
          <w:bCs w:val="1"/>
          <w:color w:val="auto"/>
        </w:rPr>
        <w:t>Board of Directors (Excluding management representative)</w:t>
      </w:r>
    </w:p>
    <w:p>
      <w:pPr>
        <w:spacing w:after="0" w:line="173" w:lineRule="exact"/>
        <w:rPr>
          <w:sz w:val="20"/>
          <w:szCs w:val="20"/>
          <w:color w:val="auto"/>
        </w:rPr>
      </w:pPr>
    </w:p>
    <w:p>
      <w:pPr>
        <w:ind w:left="184" w:right="60" w:hanging="184"/>
        <w:spacing w:after="0" w:line="260" w:lineRule="auto"/>
        <w:tabs>
          <w:tab w:leader="none" w:pos="170"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Review the performance of our CEO mid-year and following the end of the fiscal year.</w:t>
      </w:r>
    </w:p>
    <w:p>
      <w:pPr>
        <w:spacing w:after="0" w:line="73" w:lineRule="exact"/>
        <w:rPr>
          <w:rFonts w:ascii="Arial" w:cs="Arial" w:eastAsia="Arial" w:hAnsi="Arial"/>
          <w:sz w:val="16"/>
          <w:szCs w:val="16"/>
          <w:color w:val="auto"/>
        </w:rPr>
      </w:pPr>
    </w:p>
    <w:p>
      <w:pPr>
        <w:ind w:left="184" w:right="500" w:hanging="184"/>
        <w:spacing w:after="0" w:line="260" w:lineRule="auto"/>
        <w:tabs>
          <w:tab w:leader="none" w:pos="170" w:val="left"/>
        </w:tabs>
        <w:numPr>
          <w:ilvl w:val="0"/>
          <w:numId w:val="35"/>
        </w:numPr>
        <w:rPr>
          <w:rFonts w:ascii="Arial" w:cs="Arial" w:eastAsia="Arial" w:hAnsi="Arial"/>
          <w:sz w:val="16"/>
          <w:szCs w:val="16"/>
          <w:color w:val="auto"/>
        </w:rPr>
      </w:pPr>
      <w:r>
        <w:rPr>
          <w:rFonts w:ascii="Arial" w:cs="Arial" w:eastAsia="Arial" w:hAnsi="Arial"/>
          <w:sz w:val="16"/>
          <w:szCs w:val="16"/>
          <w:color w:val="auto"/>
        </w:rPr>
        <w:t>Provide vital feedback to our CEO about his performance and opportunities for improvement.</w:t>
      </w:r>
    </w:p>
    <w:p>
      <w:pPr>
        <w:spacing w:after="0" w:line="73" w:lineRule="exact"/>
        <w:rPr>
          <w:rFonts w:ascii="Arial" w:cs="Arial" w:eastAsia="Arial" w:hAnsi="Arial"/>
          <w:sz w:val="16"/>
          <w:szCs w:val="16"/>
          <w:color w:val="auto"/>
        </w:rPr>
      </w:pPr>
    </w:p>
    <w:p>
      <w:pPr>
        <w:ind w:left="184" w:right="140" w:hanging="184"/>
        <w:spacing w:after="0" w:line="253" w:lineRule="auto"/>
        <w:tabs>
          <w:tab w:leader="none" w:pos="170"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Review the recommendation of the Compensation Committee and, together with the Committee, determine the compensation for our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16"/>
        <w:spacing w:after="0"/>
        <w:rPr>
          <w:sz w:val="20"/>
          <w:szCs w:val="20"/>
          <w:color w:val="auto"/>
        </w:rPr>
      </w:pPr>
      <w:r>
        <w:rPr>
          <w:rFonts w:ascii="Arial" w:cs="Arial" w:eastAsia="Arial" w:hAnsi="Arial"/>
          <w:sz w:val="16"/>
          <w:szCs w:val="16"/>
          <w:b w:val="1"/>
          <w:bCs w:val="1"/>
          <w:color w:val="auto"/>
        </w:rPr>
        <w:t>Independent Compensation Consultant</w:t>
      </w:r>
    </w:p>
    <w:p>
      <w:pPr>
        <w:spacing w:after="0" w:line="25" w:lineRule="exact"/>
        <w:rPr>
          <w:sz w:val="20"/>
          <w:szCs w:val="20"/>
          <w:color w:val="auto"/>
        </w:rPr>
      </w:pPr>
    </w:p>
    <w:p>
      <w:pPr>
        <w:jc w:val="center"/>
        <w:ind w:right="216"/>
        <w:spacing w:after="0"/>
        <w:rPr>
          <w:sz w:val="20"/>
          <w:szCs w:val="20"/>
          <w:color w:val="auto"/>
        </w:rPr>
      </w:pPr>
      <w:r>
        <w:rPr>
          <w:rFonts w:ascii="Arial" w:cs="Arial" w:eastAsia="Arial" w:hAnsi="Arial"/>
          <w:sz w:val="16"/>
          <w:szCs w:val="16"/>
          <w:b w:val="1"/>
          <w:bCs w:val="1"/>
          <w:color w:val="auto"/>
        </w:rPr>
        <w:t>(Semler Brossy)</w:t>
      </w:r>
    </w:p>
    <w:p>
      <w:pPr>
        <w:spacing w:after="0" w:line="153" w:lineRule="exact"/>
        <w:rPr>
          <w:sz w:val="20"/>
          <w:szCs w:val="20"/>
          <w:color w:val="auto"/>
        </w:rPr>
      </w:pPr>
    </w:p>
    <w:p>
      <w:pPr>
        <w:ind w:left="184" w:right="180" w:hanging="184"/>
        <w:spacing w:after="0" w:line="250" w:lineRule="auto"/>
        <w:tabs>
          <w:tab w:leader="none" w:pos="170" w:val="left"/>
        </w:tabs>
        <w:numPr>
          <w:ilvl w:val="0"/>
          <w:numId w:val="36"/>
        </w:numPr>
        <w:rPr>
          <w:rFonts w:ascii="Arial" w:cs="Arial" w:eastAsia="Arial" w:hAnsi="Arial"/>
          <w:sz w:val="16"/>
          <w:szCs w:val="16"/>
          <w:color w:val="auto"/>
        </w:rPr>
      </w:pPr>
      <w:r>
        <w:rPr>
          <w:rFonts w:ascii="Arial" w:cs="Arial" w:eastAsia="Arial" w:hAnsi="Arial"/>
          <w:sz w:val="16"/>
          <w:szCs w:val="16"/>
          <w:color w:val="auto"/>
        </w:rPr>
        <w:t>Provide the Compensation Committee with an evaluation of the market competitiveness of our executive compensation packages, an assessment of pay in relation to performance and input into CEO and other executive pay decisions.</w:t>
      </w:r>
    </w:p>
    <w:p>
      <w:pPr>
        <w:spacing w:after="0" w:line="83" w:lineRule="exact"/>
        <w:rPr>
          <w:rFonts w:ascii="Arial" w:cs="Arial" w:eastAsia="Arial" w:hAnsi="Arial"/>
          <w:sz w:val="16"/>
          <w:szCs w:val="16"/>
          <w:color w:val="auto"/>
        </w:rPr>
      </w:pPr>
    </w:p>
    <w:p>
      <w:pPr>
        <w:ind w:left="184" w:right="240" w:hanging="184"/>
        <w:spacing w:after="0" w:line="260" w:lineRule="auto"/>
        <w:tabs>
          <w:tab w:leader="none" w:pos="170" w:val="left"/>
        </w:tabs>
        <w:numPr>
          <w:ilvl w:val="0"/>
          <w:numId w:val="36"/>
        </w:numPr>
        <w:rPr>
          <w:rFonts w:ascii="Arial" w:cs="Arial" w:eastAsia="Arial" w:hAnsi="Arial"/>
          <w:sz w:val="16"/>
          <w:szCs w:val="16"/>
          <w:color w:val="auto"/>
        </w:rPr>
      </w:pPr>
      <w:r>
        <w:rPr>
          <w:rFonts w:ascii="Arial" w:cs="Arial" w:eastAsia="Arial" w:hAnsi="Arial"/>
          <w:sz w:val="16"/>
          <w:szCs w:val="16"/>
          <w:color w:val="auto"/>
        </w:rPr>
        <w:t>Provide additional input on other compensation related matters at the request of the Compensation Committee.</w:t>
      </w:r>
    </w:p>
    <w:p>
      <w:pPr>
        <w:spacing w:after="0" w:line="73" w:lineRule="exact"/>
        <w:rPr>
          <w:rFonts w:ascii="Arial" w:cs="Arial" w:eastAsia="Arial" w:hAnsi="Arial"/>
          <w:sz w:val="16"/>
          <w:szCs w:val="16"/>
          <w:color w:val="auto"/>
        </w:rPr>
      </w:pPr>
    </w:p>
    <w:p>
      <w:pPr>
        <w:ind w:left="184" w:right="60" w:hanging="184"/>
        <w:spacing w:after="0" w:line="260" w:lineRule="auto"/>
        <w:tabs>
          <w:tab w:leader="none" w:pos="170"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Report directly to the Compensation Committee, and the Committee may replace the firm or hire additional consultants at any time.</w:t>
      </w:r>
    </w:p>
    <w:p>
      <w:pPr>
        <w:spacing w:after="0" w:line="73" w:lineRule="exact"/>
        <w:rPr>
          <w:rFonts w:ascii="Arial" w:cs="Arial" w:eastAsia="Arial" w:hAnsi="Arial"/>
          <w:sz w:val="16"/>
          <w:szCs w:val="16"/>
          <w:color w:val="auto"/>
        </w:rPr>
      </w:pPr>
    </w:p>
    <w:p>
      <w:pPr>
        <w:jc w:val="both"/>
        <w:ind w:left="184" w:right="160" w:hanging="184"/>
        <w:spacing w:after="0" w:line="253" w:lineRule="auto"/>
        <w:tabs>
          <w:tab w:leader="none" w:pos="17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 representative of the firm attends meetings of the Compensation Committee, upon request, and communicates with the Committee Chair between meetings.</w:t>
      </w:r>
    </w:p>
    <w:p>
      <w:pPr>
        <w:spacing w:after="0" w:line="200" w:lineRule="exact"/>
        <w:rPr>
          <w:sz w:val="20"/>
          <w:szCs w:val="20"/>
          <w:color w:val="auto"/>
        </w:rPr>
      </w:pPr>
    </w:p>
    <w:p>
      <w:pPr>
        <w:sectPr>
          <w:pgSz w:w="11900" w:h="16838" w:orient="portrait"/>
          <w:cols w:equalWidth="0" w:num="2">
            <w:col w:w="5460" w:space="676"/>
            <w:col w:w="5084"/>
          </w:cols>
          <w:pgMar w:left="240" w:top="459" w:right="439" w:bottom="1440" w:gutter="0" w:footer="0" w:header="0"/>
          <w:type w:val="continuous"/>
        </w:sectPr>
      </w:pPr>
    </w:p>
    <w:p>
      <w:pPr>
        <w:spacing w:after="0" w:line="291" w:lineRule="exact"/>
        <w:rPr>
          <w:sz w:val="20"/>
          <w:szCs w:val="20"/>
          <w:color w:val="auto"/>
        </w:rPr>
      </w:pPr>
    </w:p>
    <w:p>
      <w:pPr>
        <w:ind w:left="7380"/>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39</w:t>
      </w:r>
    </w:p>
    <w:p>
      <w:pPr>
        <w:sectPr>
          <w:pgSz w:w="11900" w:h="16838" w:orient="portrait"/>
          <w:cols w:equalWidth="0" w:num="1">
            <w:col w:w="11220"/>
          </w:cols>
          <w:pgMar w:left="240" w:top="459" w:right="439" w:bottom="1440" w:gutter="0" w:footer="0" w:header="0"/>
          <w:type w:val="continuous"/>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COMPENSATION DISCUSSION AND ANALYSIS</w:t>
      </w:r>
    </w:p>
    <w:p>
      <w:pPr>
        <w:spacing w:after="0" w:line="369"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32406B"/>
        </w:rPr>
        <w:t>Setting Executive Compensation – Timeline</w:t>
      </w:r>
    </w:p>
    <w:p>
      <w:pPr>
        <w:spacing w:after="0" w:line="106" w:lineRule="exact"/>
        <w:rPr>
          <w:sz w:val="20"/>
          <w:szCs w:val="20"/>
          <w:color w:val="auto"/>
        </w:rPr>
      </w:pPr>
    </w:p>
    <w:p>
      <w:pPr>
        <w:ind w:left="220" w:right="180"/>
        <w:spacing w:after="0" w:line="253" w:lineRule="auto"/>
        <w:rPr>
          <w:sz w:val="20"/>
          <w:szCs w:val="20"/>
          <w:color w:val="auto"/>
        </w:rPr>
      </w:pPr>
      <w:r>
        <w:rPr>
          <w:rFonts w:ascii="Arial" w:cs="Arial" w:eastAsia="Arial" w:hAnsi="Arial"/>
          <w:sz w:val="16"/>
          <w:szCs w:val="16"/>
          <w:color w:val="auto"/>
        </w:rPr>
        <w:t>The process for making executive compensation decisions for 2017 began with goal setting at the beginning of the year and concluded with the actual compensation payout decisions in early 2018. As described below, this year-long process integrates key factors, such as Dover’s business strategy, our annual budget and market compensation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130810</wp:posOffset>
            </wp:positionV>
            <wp:extent cx="6989445" cy="9207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89445" cy="920750"/>
                    </a:xfrm>
                    <a:prstGeom prst="rect">
                      <a:avLst/>
                    </a:prstGeom>
                    <a:noFill/>
                  </pic:spPr>
                </pic:pic>
              </a:graphicData>
            </a:graphic>
          </wp:anchor>
        </w:drawing>
      </w:r>
    </w:p>
    <w:p>
      <w:pPr>
        <w:spacing w:after="0" w:line="336" w:lineRule="exact"/>
        <w:rPr>
          <w:sz w:val="20"/>
          <w:szCs w:val="20"/>
          <w:color w:val="auto"/>
        </w:rPr>
      </w:pPr>
    </w:p>
    <w:p>
      <w:pPr>
        <w:ind w:left="220"/>
        <w:spacing w:after="0"/>
        <w:rPr>
          <w:sz w:val="20"/>
          <w:szCs w:val="20"/>
          <w:color w:val="auto"/>
        </w:rPr>
      </w:pPr>
      <w:r>
        <w:rPr>
          <w:sz w:val="1"/>
          <w:szCs w:val="1"/>
          <w:color w:val="auto"/>
        </w:rPr>
        <w:drawing>
          <wp:inline distT="0" distB="0" distL="0" distR="0">
            <wp:extent cx="427990" cy="145415"/>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27990" cy="145415"/>
                    </a:xfrm>
                    <a:prstGeom prst="rect">
                      <a:avLst/>
                    </a:prstGeom>
                    <a:noFill/>
                    <a:ln>
                      <a:noFill/>
                    </a:ln>
                  </pic:spPr>
                </pic:pic>
              </a:graphicData>
            </a:graphic>
          </wp:inline>
        </w:drawing>
      </w:r>
      <w:r>
        <w:rPr>
          <w:rFonts w:ascii="Arial" w:cs="Arial" w:eastAsia="Arial" w:hAnsi="Arial"/>
          <w:sz w:val="16"/>
          <w:szCs w:val="16"/>
          <w:b w:val="1"/>
          <w:bCs w:val="1"/>
          <w:color w:val="FFFFFF"/>
        </w:rPr>
        <w:t>February 2017</w:t>
      </w:r>
    </w:p>
    <w:p>
      <w:pPr>
        <w:spacing w:after="0" w:line="108" w:lineRule="exact"/>
        <w:rPr>
          <w:sz w:val="20"/>
          <w:szCs w:val="20"/>
          <w:color w:val="auto"/>
        </w:rPr>
      </w:pPr>
    </w:p>
    <w:p>
      <w:pPr>
        <w:ind w:left="560" w:right="220" w:hanging="170"/>
        <w:spacing w:after="0" w:line="260" w:lineRule="auto"/>
        <w:tabs>
          <w:tab w:leader="none" w:pos="573" w:val="left"/>
        </w:tabs>
        <w:numPr>
          <w:ilvl w:val="0"/>
          <w:numId w:val="37"/>
        </w:numPr>
        <w:rPr>
          <w:rFonts w:ascii="Arial" w:cs="Arial" w:eastAsia="Arial" w:hAnsi="Arial"/>
          <w:sz w:val="16"/>
          <w:szCs w:val="16"/>
          <w:color w:val="auto"/>
        </w:rPr>
      </w:pPr>
      <w:r>
        <w:rPr>
          <w:rFonts w:ascii="Arial" w:cs="Arial" w:eastAsia="Arial" w:hAnsi="Arial"/>
          <w:sz w:val="16"/>
          <w:szCs w:val="16"/>
          <w:color w:val="auto"/>
        </w:rPr>
        <w:t>Compensation Committee and the independent directors of the Board reviewed and approved the financial performance targets for the AIP, taking into account our business strategy, and approved the CEO’s 2017 strategic objectives</w:t>
      </w:r>
    </w:p>
    <w:p>
      <w:pPr>
        <w:spacing w:after="0" w:line="60" w:lineRule="exact"/>
        <w:rPr>
          <w:rFonts w:ascii="Arial" w:cs="Arial" w:eastAsia="Arial" w:hAnsi="Arial"/>
          <w:sz w:val="16"/>
          <w:szCs w:val="16"/>
          <w:color w:val="auto"/>
        </w:rPr>
      </w:pPr>
    </w:p>
    <w:p>
      <w:pPr>
        <w:ind w:left="560" w:right="260" w:hanging="170"/>
        <w:spacing w:after="0" w:line="260" w:lineRule="auto"/>
        <w:tabs>
          <w:tab w:leader="none" w:pos="573"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CEO thereafter approved the strategic objectives for each of his direct reports, including the NEOs, cascading his goals where appropriate to each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109855</wp:posOffset>
            </wp:positionV>
            <wp:extent cx="6989445" cy="50927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89445" cy="509270"/>
                    </a:xfrm>
                    <a:prstGeom prst="rect">
                      <a:avLst/>
                    </a:prstGeom>
                    <a:noFill/>
                  </pic:spPr>
                </pic:pic>
              </a:graphicData>
            </a:graphic>
          </wp:anchor>
        </w:drawing>
      </w:r>
    </w:p>
    <w:p>
      <w:pPr>
        <w:spacing w:after="0" w:line="303" w:lineRule="exact"/>
        <w:rPr>
          <w:sz w:val="20"/>
          <w:szCs w:val="20"/>
          <w:color w:val="auto"/>
        </w:rPr>
      </w:pPr>
    </w:p>
    <w:p>
      <w:pPr>
        <w:ind w:left="220"/>
        <w:spacing w:after="0"/>
        <w:rPr>
          <w:sz w:val="20"/>
          <w:szCs w:val="20"/>
          <w:color w:val="auto"/>
        </w:rPr>
      </w:pPr>
      <w:r>
        <w:rPr>
          <w:sz w:val="1"/>
          <w:szCs w:val="1"/>
          <w:color w:val="auto"/>
        </w:rPr>
        <w:drawing>
          <wp:inline distT="0" distB="0" distL="0" distR="0">
            <wp:extent cx="427990" cy="145415"/>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27990" cy="145415"/>
                    </a:xfrm>
                    <a:prstGeom prst="rect">
                      <a:avLst/>
                    </a:prstGeom>
                    <a:noFill/>
                    <a:ln>
                      <a:noFill/>
                    </a:ln>
                  </pic:spPr>
                </pic:pic>
              </a:graphicData>
            </a:graphic>
          </wp:inline>
        </w:drawing>
      </w:r>
      <w:r>
        <w:rPr>
          <w:rFonts w:ascii="Arial" w:cs="Arial" w:eastAsia="Arial" w:hAnsi="Arial"/>
          <w:sz w:val="16"/>
          <w:szCs w:val="16"/>
          <w:b w:val="1"/>
          <w:bCs w:val="1"/>
          <w:color w:val="FFFFFF"/>
        </w:rPr>
        <w:t>August 2017</w:t>
      </w:r>
    </w:p>
    <w:p>
      <w:pPr>
        <w:spacing w:after="0" w:line="108" w:lineRule="exact"/>
        <w:rPr>
          <w:sz w:val="20"/>
          <w:szCs w:val="20"/>
          <w:color w:val="auto"/>
        </w:rPr>
      </w:pPr>
    </w:p>
    <w:p>
      <w:pPr>
        <w:ind w:left="380"/>
        <w:spacing w:after="0"/>
        <w:tabs>
          <w:tab w:leader="none" w:pos="560" w:val="left"/>
        </w:tabs>
        <w:rPr>
          <w:sz w:val="20"/>
          <w:szCs w:val="20"/>
          <w:color w:val="auto"/>
        </w:rPr>
      </w:pPr>
      <w:r>
        <w:rPr>
          <w:rFonts w:ascii="Arial" w:cs="Arial" w:eastAsia="Arial" w:hAnsi="Arial"/>
          <w:sz w:val="16"/>
          <w:szCs w:val="16"/>
          <w:color w:val="auto"/>
        </w:rPr>
        <w:t>•</w:t>
        <w:tab/>
        <w:t>Compensation Committee, including the independent Chair of the Board, provided the CEO with a mid-year performance assessment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126365</wp:posOffset>
            </wp:positionV>
            <wp:extent cx="6989445" cy="9207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89445" cy="920750"/>
                    </a:xfrm>
                    <a:prstGeom prst="rect">
                      <a:avLst/>
                    </a:prstGeom>
                    <a:noFill/>
                  </pic:spPr>
                </pic:pic>
              </a:graphicData>
            </a:graphic>
          </wp:anchor>
        </w:drawing>
      </w:r>
    </w:p>
    <w:p>
      <w:pPr>
        <w:spacing w:after="0" w:line="329" w:lineRule="exact"/>
        <w:rPr>
          <w:sz w:val="20"/>
          <w:szCs w:val="20"/>
          <w:color w:val="auto"/>
        </w:rPr>
      </w:pPr>
    </w:p>
    <w:p>
      <w:pPr>
        <w:ind w:left="220"/>
        <w:spacing w:after="0"/>
        <w:rPr>
          <w:sz w:val="20"/>
          <w:szCs w:val="20"/>
          <w:color w:val="auto"/>
        </w:rPr>
      </w:pPr>
      <w:r>
        <w:rPr>
          <w:sz w:val="1"/>
          <w:szCs w:val="1"/>
          <w:color w:val="auto"/>
        </w:rPr>
        <w:drawing>
          <wp:inline distT="0" distB="0" distL="0" distR="0">
            <wp:extent cx="427990" cy="145415"/>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27990" cy="145415"/>
                    </a:xfrm>
                    <a:prstGeom prst="rect">
                      <a:avLst/>
                    </a:prstGeom>
                    <a:noFill/>
                    <a:ln>
                      <a:noFill/>
                    </a:ln>
                  </pic:spPr>
                </pic:pic>
              </a:graphicData>
            </a:graphic>
          </wp:inline>
        </w:drawing>
      </w:r>
      <w:r>
        <w:rPr>
          <w:rFonts w:ascii="Arial" w:cs="Arial" w:eastAsia="Arial" w:hAnsi="Arial"/>
          <w:sz w:val="16"/>
          <w:szCs w:val="16"/>
          <w:b w:val="1"/>
          <w:bCs w:val="1"/>
          <w:color w:val="FFFFFF"/>
        </w:rPr>
        <w:t>November 2017</w:t>
      </w:r>
    </w:p>
    <w:p>
      <w:pPr>
        <w:spacing w:after="0" w:line="108" w:lineRule="exact"/>
        <w:rPr>
          <w:sz w:val="20"/>
          <w:szCs w:val="20"/>
          <w:color w:val="auto"/>
        </w:rPr>
      </w:pPr>
    </w:p>
    <w:p>
      <w:pPr>
        <w:ind w:left="560" w:right="100" w:hanging="170"/>
        <w:spacing w:after="0" w:line="260" w:lineRule="auto"/>
        <w:tabs>
          <w:tab w:leader="none" w:pos="573" w:val="left"/>
        </w:tabs>
        <w:numPr>
          <w:ilvl w:val="0"/>
          <w:numId w:val="38"/>
        </w:numPr>
        <w:rPr>
          <w:rFonts w:ascii="Arial" w:cs="Arial" w:eastAsia="Arial" w:hAnsi="Arial"/>
          <w:sz w:val="16"/>
          <w:szCs w:val="16"/>
          <w:color w:val="auto"/>
        </w:rPr>
      </w:pPr>
      <w:r>
        <w:rPr>
          <w:rFonts w:ascii="Arial" w:cs="Arial" w:eastAsia="Arial" w:hAnsi="Arial"/>
          <w:sz w:val="16"/>
          <w:szCs w:val="16"/>
          <w:color w:val="auto"/>
        </w:rPr>
        <w:t>Compensation Committee reviewed and considered market compensation data and executive compensation trend information from its independent consultant</w:t>
      </w:r>
    </w:p>
    <w:p>
      <w:pPr>
        <w:spacing w:after="0" w:line="60" w:lineRule="exact"/>
        <w:rPr>
          <w:rFonts w:ascii="Arial" w:cs="Arial" w:eastAsia="Arial" w:hAnsi="Arial"/>
          <w:sz w:val="16"/>
          <w:szCs w:val="16"/>
          <w:color w:val="auto"/>
        </w:rPr>
      </w:pPr>
    </w:p>
    <w:p>
      <w:pPr>
        <w:ind w:left="560" w:right="400" w:hanging="170"/>
        <w:spacing w:after="0" w:line="260" w:lineRule="auto"/>
        <w:tabs>
          <w:tab w:leader="none" w:pos="573"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Committee also reviewed tally sheets to understand the full cost of each executive’s compensation and benefits package, share ownership levels, realized pay, and payouts under different termination scenarios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109855</wp:posOffset>
            </wp:positionV>
            <wp:extent cx="6989445" cy="50927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89445" cy="509270"/>
                    </a:xfrm>
                    <a:prstGeom prst="rect">
                      <a:avLst/>
                    </a:prstGeom>
                    <a:noFill/>
                  </pic:spPr>
                </pic:pic>
              </a:graphicData>
            </a:graphic>
          </wp:anchor>
        </w:drawing>
      </w:r>
    </w:p>
    <w:p>
      <w:pPr>
        <w:spacing w:after="0" w:line="303" w:lineRule="exact"/>
        <w:rPr>
          <w:sz w:val="20"/>
          <w:szCs w:val="20"/>
          <w:color w:val="auto"/>
        </w:rPr>
      </w:pPr>
    </w:p>
    <w:p>
      <w:pPr>
        <w:ind w:left="220"/>
        <w:spacing w:after="0"/>
        <w:rPr>
          <w:sz w:val="20"/>
          <w:szCs w:val="20"/>
          <w:color w:val="auto"/>
        </w:rPr>
      </w:pPr>
      <w:r>
        <w:rPr>
          <w:sz w:val="1"/>
          <w:szCs w:val="1"/>
          <w:color w:val="auto"/>
        </w:rPr>
        <w:drawing>
          <wp:inline distT="0" distB="0" distL="0" distR="0">
            <wp:extent cx="427990" cy="145415"/>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27990" cy="145415"/>
                    </a:xfrm>
                    <a:prstGeom prst="rect">
                      <a:avLst/>
                    </a:prstGeom>
                    <a:noFill/>
                    <a:ln>
                      <a:noFill/>
                    </a:ln>
                  </pic:spPr>
                </pic:pic>
              </a:graphicData>
            </a:graphic>
          </wp:inline>
        </w:drawing>
      </w:r>
      <w:r>
        <w:rPr>
          <w:rFonts w:ascii="Arial" w:cs="Arial" w:eastAsia="Arial" w:hAnsi="Arial"/>
          <w:sz w:val="16"/>
          <w:szCs w:val="16"/>
          <w:b w:val="1"/>
          <w:bCs w:val="1"/>
          <w:color w:val="FFFFFF"/>
        </w:rPr>
        <w:t>January 2018</w:t>
      </w:r>
    </w:p>
    <w:p>
      <w:pPr>
        <w:spacing w:after="0" w:line="108" w:lineRule="exact"/>
        <w:rPr>
          <w:sz w:val="20"/>
          <w:szCs w:val="20"/>
          <w:color w:val="auto"/>
        </w:rPr>
      </w:pPr>
    </w:p>
    <w:p>
      <w:pPr>
        <w:ind w:left="380"/>
        <w:spacing w:after="0"/>
        <w:tabs>
          <w:tab w:leader="none" w:pos="560" w:val="left"/>
        </w:tabs>
        <w:rPr>
          <w:sz w:val="20"/>
          <w:szCs w:val="20"/>
          <w:color w:val="auto"/>
        </w:rPr>
      </w:pPr>
      <w:r>
        <w:rPr>
          <w:rFonts w:ascii="Arial" w:cs="Arial" w:eastAsia="Arial" w:hAnsi="Arial"/>
          <w:sz w:val="16"/>
          <w:szCs w:val="16"/>
          <w:color w:val="auto"/>
        </w:rPr>
        <w:t>•</w:t>
        <w:tab/>
        <w:t>Compensation Committee and the other independent directors of the Board met by conference call to discuss and evaluate the CEO’s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126365</wp:posOffset>
            </wp:positionV>
            <wp:extent cx="6989445" cy="12630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89445" cy="1263015"/>
                    </a:xfrm>
                    <a:prstGeom prst="rect">
                      <a:avLst/>
                    </a:prstGeom>
                    <a:noFill/>
                  </pic:spPr>
                </pic:pic>
              </a:graphicData>
            </a:graphic>
          </wp:anchor>
        </w:drawing>
      </w:r>
    </w:p>
    <w:p>
      <w:pPr>
        <w:spacing w:after="0" w:line="329" w:lineRule="exact"/>
        <w:rPr>
          <w:sz w:val="20"/>
          <w:szCs w:val="20"/>
          <w:color w:val="auto"/>
        </w:rPr>
      </w:pPr>
    </w:p>
    <w:p>
      <w:pPr>
        <w:ind w:left="220"/>
        <w:spacing w:after="0"/>
        <w:rPr>
          <w:sz w:val="20"/>
          <w:szCs w:val="20"/>
          <w:color w:val="auto"/>
        </w:rPr>
      </w:pPr>
      <w:r>
        <w:rPr>
          <w:sz w:val="1"/>
          <w:szCs w:val="1"/>
          <w:color w:val="auto"/>
        </w:rPr>
        <w:drawing>
          <wp:inline distT="0" distB="0" distL="0" distR="0">
            <wp:extent cx="427990" cy="145415"/>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27990" cy="145415"/>
                    </a:xfrm>
                    <a:prstGeom prst="rect">
                      <a:avLst/>
                    </a:prstGeom>
                    <a:noFill/>
                    <a:ln>
                      <a:noFill/>
                    </a:ln>
                  </pic:spPr>
                </pic:pic>
              </a:graphicData>
            </a:graphic>
          </wp:inline>
        </w:drawing>
      </w:r>
      <w:r>
        <w:rPr>
          <w:rFonts w:ascii="Arial" w:cs="Arial" w:eastAsia="Arial" w:hAnsi="Arial"/>
          <w:sz w:val="16"/>
          <w:szCs w:val="16"/>
          <w:b w:val="1"/>
          <w:bCs w:val="1"/>
          <w:color w:val="FFFFFF"/>
        </w:rPr>
        <w:t>February 2018</w:t>
      </w:r>
    </w:p>
    <w:p>
      <w:pPr>
        <w:spacing w:after="0" w:line="108" w:lineRule="exact"/>
        <w:rPr>
          <w:sz w:val="20"/>
          <w:szCs w:val="20"/>
          <w:color w:val="auto"/>
        </w:rPr>
      </w:pPr>
    </w:p>
    <w:p>
      <w:pPr>
        <w:ind w:left="560" w:right="400" w:hanging="170"/>
        <w:spacing w:after="0" w:line="260" w:lineRule="auto"/>
        <w:tabs>
          <w:tab w:leader="none" w:pos="573" w:val="left"/>
        </w:tabs>
        <w:numPr>
          <w:ilvl w:val="0"/>
          <w:numId w:val="39"/>
        </w:numPr>
        <w:rPr>
          <w:rFonts w:ascii="Arial" w:cs="Arial" w:eastAsia="Arial" w:hAnsi="Arial"/>
          <w:sz w:val="16"/>
          <w:szCs w:val="16"/>
          <w:color w:val="auto"/>
        </w:rPr>
      </w:pPr>
      <w:r>
        <w:rPr>
          <w:rFonts w:ascii="Arial" w:cs="Arial" w:eastAsia="Arial" w:hAnsi="Arial"/>
          <w:sz w:val="16"/>
          <w:szCs w:val="16"/>
          <w:color w:val="auto"/>
        </w:rPr>
        <w:t>Compensation Committee reviewed with the CEO the financial and strategic performance of each of his direct reports, along with proposed pay actions</w:t>
      </w:r>
    </w:p>
    <w:p>
      <w:pPr>
        <w:spacing w:after="0" w:line="60" w:lineRule="exact"/>
        <w:rPr>
          <w:rFonts w:ascii="Arial" w:cs="Arial" w:eastAsia="Arial" w:hAnsi="Arial"/>
          <w:sz w:val="16"/>
          <w:szCs w:val="16"/>
          <w:color w:val="auto"/>
        </w:rPr>
      </w:pPr>
    </w:p>
    <w:p>
      <w:pPr>
        <w:ind w:left="580" w:hanging="190"/>
        <w:spacing w:after="0"/>
        <w:tabs>
          <w:tab w:leader="none" w:pos="5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Committee certified the performance results for the AIP and the performance shares</w:t>
      </w:r>
    </w:p>
    <w:p>
      <w:pPr>
        <w:spacing w:after="0" w:line="85" w:lineRule="exact"/>
        <w:rPr>
          <w:rFonts w:ascii="Arial" w:cs="Arial" w:eastAsia="Arial" w:hAnsi="Arial"/>
          <w:sz w:val="16"/>
          <w:szCs w:val="16"/>
          <w:color w:val="auto"/>
        </w:rPr>
      </w:pPr>
    </w:p>
    <w:p>
      <w:pPr>
        <w:ind w:left="580" w:hanging="190"/>
        <w:spacing w:after="0"/>
        <w:tabs>
          <w:tab w:leader="none" w:pos="5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After discussion, the Committee approved pay actions for each CEO direct report</w:t>
      </w:r>
    </w:p>
    <w:p>
      <w:pPr>
        <w:spacing w:after="0" w:line="85" w:lineRule="exact"/>
        <w:rPr>
          <w:rFonts w:ascii="Arial" w:cs="Arial" w:eastAsia="Arial" w:hAnsi="Arial"/>
          <w:sz w:val="16"/>
          <w:szCs w:val="16"/>
          <w:color w:val="auto"/>
        </w:rPr>
      </w:pPr>
    </w:p>
    <w:p>
      <w:pPr>
        <w:ind w:left="560" w:right="760" w:hanging="170"/>
        <w:spacing w:after="0" w:line="260" w:lineRule="auto"/>
        <w:tabs>
          <w:tab w:leader="none" w:pos="573"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Committee developed its CEO pay proposal which was then discussed with the independent directors of the Board, and together they determined the pay actions for the CEO</w:t>
      </w:r>
    </w:p>
    <w:p>
      <w:pPr>
        <w:spacing w:after="0" w:line="202"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40</w:t>
      </w:r>
    </w:p>
    <w:p>
      <w:pPr>
        <w:sectPr>
          <w:pgSz w:w="11900" w:h="16838" w:orient="portrait"/>
          <w:cols w:equalWidth="0" w:num="1">
            <w:col w:w="11220"/>
          </w:cols>
          <w:pgMar w:left="240" w:top="459" w:right="4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COMPENSATION DISCUSSION AND ANALYSIS</w:t>
      </w:r>
    </w:p>
    <w:p>
      <w:pPr>
        <w:spacing w:after="0" w:line="153"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32406B"/>
        </w:rPr>
        <w:t>Executive Compensation Program Peer Grouping</w:t>
      </w:r>
    </w:p>
    <w:p>
      <w:pPr>
        <w:spacing w:after="0" w:line="106" w:lineRule="exact"/>
        <w:rPr>
          <w:sz w:val="20"/>
          <w:szCs w:val="20"/>
          <w:color w:val="auto"/>
        </w:rPr>
      </w:pPr>
    </w:p>
    <w:p>
      <w:pPr>
        <w:ind w:left="220" w:right="100"/>
        <w:spacing w:after="0" w:line="250" w:lineRule="auto"/>
        <w:rPr>
          <w:sz w:val="20"/>
          <w:szCs w:val="20"/>
          <w:color w:val="auto"/>
        </w:rPr>
      </w:pPr>
      <w:r>
        <w:rPr>
          <w:rFonts w:ascii="Arial" w:cs="Arial" w:eastAsia="Arial" w:hAnsi="Arial"/>
          <w:sz w:val="16"/>
          <w:szCs w:val="16"/>
          <w:color w:val="auto"/>
        </w:rPr>
        <w:t>For assessing executive pay programs and levels, the Compensation Committee selected a group of companies that are similar to Dover in terms of end markets, complexity, revenues, and market capitalization. In 2017, with the help of its independent consultant, the Compensation Committee approved changes to that peer group, to arrive at the peer group below. FMC Technologies was removed following its merger with Technip SA. SPX Corporation was also removed after the completion of several divestitures significantly reduced its revenue.</w:t>
      </w:r>
    </w:p>
    <w:p>
      <w:pPr>
        <w:spacing w:after="0" w:line="212"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3500" w:type="dxa"/>
            <w:vAlign w:val="bottom"/>
          </w:tcPr>
          <w:p>
            <w:pPr>
              <w:ind w:left="1140"/>
              <w:spacing w:after="0"/>
              <w:rPr>
                <w:sz w:val="20"/>
                <w:szCs w:val="20"/>
                <w:color w:val="auto"/>
              </w:rPr>
            </w:pPr>
            <w:r>
              <w:rPr>
                <w:rFonts w:ascii="Arial" w:cs="Arial" w:eastAsia="Arial" w:hAnsi="Arial"/>
                <w:sz w:val="14"/>
                <w:szCs w:val="14"/>
                <w:b w:val="1"/>
                <w:bCs w:val="1"/>
                <w:color w:val="auto"/>
              </w:rPr>
              <w:t>IN USD MILLIONS</w:t>
            </w:r>
          </w:p>
        </w:tc>
        <w:tc>
          <w:tcPr>
            <w:tcW w:w="3800" w:type="dxa"/>
            <w:vAlign w:val="bottom"/>
            <w:gridSpan w:val="5"/>
          </w:tcPr>
          <w:p>
            <w:pPr>
              <w:ind w:left="440"/>
              <w:spacing w:after="0"/>
              <w:rPr>
                <w:sz w:val="20"/>
                <w:szCs w:val="20"/>
                <w:color w:val="auto"/>
              </w:rPr>
            </w:pPr>
            <w:r>
              <w:rPr>
                <w:rFonts w:ascii="Arial" w:cs="Arial" w:eastAsia="Arial" w:hAnsi="Arial"/>
                <w:sz w:val="16"/>
                <w:szCs w:val="16"/>
                <w:b w:val="1"/>
                <w:bCs w:val="1"/>
                <w:color w:val="auto"/>
              </w:rPr>
              <w:t>FINANCIAL CONSIDERATIONS</w:t>
            </w:r>
          </w:p>
        </w:tc>
        <w:tc>
          <w:tcPr>
            <w:tcW w:w="3700" w:type="dxa"/>
            <w:vAlign w:val="bottom"/>
            <w:gridSpan w:val="3"/>
          </w:tcPr>
          <w:p>
            <w:pPr>
              <w:ind w:left="20"/>
              <w:spacing w:after="0"/>
              <w:rPr>
                <w:sz w:val="20"/>
                <w:szCs w:val="20"/>
                <w:color w:val="auto"/>
              </w:rPr>
            </w:pPr>
            <w:r>
              <w:rPr>
                <w:rFonts w:ascii="Arial" w:cs="Arial" w:eastAsia="Arial" w:hAnsi="Arial"/>
                <w:sz w:val="16"/>
                <w:szCs w:val="16"/>
                <w:b w:val="1"/>
                <w:bCs w:val="1"/>
                <w:color w:val="auto"/>
              </w:rPr>
              <w:t>QUALITATIVE CONSIDERATIONS</w:t>
            </w:r>
          </w:p>
        </w:tc>
        <w:tc>
          <w:tcPr>
            <w:tcW w:w="0" w:type="dxa"/>
            <w:vAlign w:val="bottom"/>
          </w:tcPr>
          <w:p>
            <w:pPr>
              <w:spacing w:after="0"/>
              <w:rPr>
                <w:sz w:val="1"/>
                <w:szCs w:val="1"/>
                <w:color w:val="auto"/>
              </w:rPr>
            </w:pPr>
          </w:p>
        </w:tc>
      </w:tr>
      <w:tr>
        <w:trPr>
          <w:trHeight w:val="211"/>
        </w:trPr>
        <w:tc>
          <w:tcPr>
            <w:tcW w:w="3500" w:type="dxa"/>
            <w:vAlign w:val="bottom"/>
            <w:tcBorders>
              <w:right w:val="single" w:sz="8" w:color="999999"/>
            </w:tcBorders>
            <w:shd w:val="clear" w:color="auto" w:fill="505C81"/>
          </w:tcPr>
          <w:p>
            <w:pPr>
              <w:spacing w:after="0"/>
              <w:rPr>
                <w:sz w:val="18"/>
                <w:szCs w:val="18"/>
                <w:color w:val="auto"/>
              </w:rPr>
            </w:pPr>
          </w:p>
        </w:tc>
        <w:tc>
          <w:tcPr>
            <w:tcW w:w="540" w:type="dxa"/>
            <w:vAlign w:val="bottom"/>
            <w:shd w:val="clear" w:color="auto" w:fill="505C81"/>
          </w:tcPr>
          <w:p>
            <w:pPr>
              <w:spacing w:after="0"/>
              <w:rPr>
                <w:sz w:val="18"/>
                <w:szCs w:val="18"/>
                <w:color w:val="auto"/>
              </w:rPr>
            </w:pPr>
          </w:p>
        </w:tc>
        <w:tc>
          <w:tcPr>
            <w:tcW w:w="880" w:type="dxa"/>
            <w:vAlign w:val="bottom"/>
            <w:shd w:val="clear" w:color="auto" w:fill="505C81"/>
          </w:tcPr>
          <w:p>
            <w:pPr>
              <w:spacing w:after="0"/>
              <w:rPr>
                <w:sz w:val="18"/>
                <w:szCs w:val="18"/>
                <w:color w:val="auto"/>
              </w:rPr>
            </w:pPr>
          </w:p>
        </w:tc>
        <w:tc>
          <w:tcPr>
            <w:tcW w:w="440" w:type="dxa"/>
            <w:vAlign w:val="bottom"/>
            <w:shd w:val="clear" w:color="auto" w:fill="505C81"/>
          </w:tcPr>
          <w:p>
            <w:pPr>
              <w:spacing w:after="0"/>
              <w:rPr>
                <w:sz w:val="18"/>
                <w:szCs w:val="18"/>
                <w:color w:val="auto"/>
              </w:rPr>
            </w:pPr>
          </w:p>
        </w:tc>
        <w:tc>
          <w:tcPr>
            <w:tcW w:w="760" w:type="dxa"/>
            <w:vAlign w:val="bottom"/>
            <w:shd w:val="clear" w:color="auto" w:fill="505C81"/>
          </w:tcPr>
          <w:p>
            <w:pPr>
              <w:jc w:val="right"/>
              <w:ind w:right="288"/>
              <w:spacing w:after="0"/>
              <w:rPr>
                <w:sz w:val="20"/>
                <w:szCs w:val="20"/>
                <w:color w:val="auto"/>
              </w:rPr>
            </w:pPr>
            <w:r>
              <w:rPr>
                <w:rFonts w:ascii="Arial" w:cs="Arial" w:eastAsia="Arial" w:hAnsi="Arial"/>
                <w:sz w:val="16"/>
                <w:szCs w:val="16"/>
                <w:b w:val="1"/>
                <w:bCs w:val="1"/>
                <w:color w:val="FFFFFF"/>
              </w:rPr>
              <w:t>2017</w:t>
            </w:r>
          </w:p>
        </w:tc>
        <w:tc>
          <w:tcPr>
            <w:tcW w:w="1180" w:type="dxa"/>
            <w:vAlign w:val="bottom"/>
            <w:shd w:val="clear" w:color="auto" w:fill="505C81"/>
          </w:tcPr>
          <w:p>
            <w:pPr>
              <w:spacing w:after="0"/>
              <w:rPr>
                <w:sz w:val="18"/>
                <w:szCs w:val="18"/>
                <w:color w:val="auto"/>
              </w:rPr>
            </w:pPr>
          </w:p>
        </w:tc>
        <w:tc>
          <w:tcPr>
            <w:tcW w:w="1060" w:type="dxa"/>
            <w:vAlign w:val="bottom"/>
            <w:shd w:val="clear" w:color="auto" w:fill="505C81"/>
          </w:tcPr>
          <w:p>
            <w:pPr>
              <w:jc w:val="right"/>
              <w:ind w:right="246"/>
              <w:spacing w:after="0"/>
              <w:rPr>
                <w:sz w:val="20"/>
                <w:szCs w:val="20"/>
                <w:color w:val="auto"/>
              </w:rPr>
            </w:pPr>
            <w:r>
              <w:rPr>
                <w:rFonts w:ascii="Arial" w:cs="Arial" w:eastAsia="Arial" w:hAnsi="Arial"/>
                <w:sz w:val="16"/>
                <w:szCs w:val="16"/>
                <w:b w:val="1"/>
                <w:bCs w:val="1"/>
                <w:color w:val="FFFFFF"/>
              </w:rPr>
              <w:t>&gt;20%</w:t>
            </w:r>
          </w:p>
        </w:tc>
        <w:tc>
          <w:tcPr>
            <w:tcW w:w="1160" w:type="dxa"/>
            <w:vAlign w:val="bottom"/>
            <w:shd w:val="clear" w:color="auto" w:fill="505C81"/>
          </w:tcPr>
          <w:p>
            <w:pPr>
              <w:spacing w:after="0"/>
              <w:rPr>
                <w:sz w:val="18"/>
                <w:szCs w:val="18"/>
                <w:color w:val="auto"/>
              </w:rPr>
            </w:pPr>
          </w:p>
        </w:tc>
        <w:tc>
          <w:tcPr>
            <w:tcW w:w="1480" w:type="dxa"/>
            <w:vAlign w:val="bottom"/>
            <w:shd w:val="clear" w:color="auto" w:fill="505C81"/>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500" w:type="dxa"/>
            <w:vAlign w:val="bottom"/>
            <w:tcBorders>
              <w:right w:val="single" w:sz="8" w:color="999999"/>
            </w:tcBorders>
            <w:shd w:val="clear" w:color="auto" w:fill="505C81"/>
          </w:tcPr>
          <w:p>
            <w:pPr>
              <w:ind w:left="220"/>
              <w:spacing w:after="0"/>
              <w:rPr>
                <w:sz w:val="20"/>
                <w:szCs w:val="20"/>
                <w:color w:val="auto"/>
              </w:rPr>
            </w:pPr>
            <w:r>
              <w:rPr>
                <w:rFonts w:ascii="Arial" w:cs="Arial" w:eastAsia="Arial" w:hAnsi="Arial"/>
                <w:sz w:val="16"/>
                <w:szCs w:val="16"/>
                <w:b w:val="1"/>
                <w:bCs w:val="1"/>
                <w:color w:val="FFFFFF"/>
              </w:rPr>
              <w:t>COMPANY</w:t>
            </w:r>
          </w:p>
        </w:tc>
        <w:tc>
          <w:tcPr>
            <w:tcW w:w="540" w:type="dxa"/>
            <w:vAlign w:val="bottom"/>
            <w:shd w:val="clear" w:color="auto" w:fill="505C81"/>
          </w:tcPr>
          <w:p>
            <w:pPr>
              <w:spacing w:after="0"/>
              <w:rPr>
                <w:sz w:val="16"/>
                <w:szCs w:val="16"/>
                <w:color w:val="auto"/>
              </w:rPr>
            </w:pPr>
          </w:p>
        </w:tc>
        <w:tc>
          <w:tcPr>
            <w:tcW w:w="880" w:type="dxa"/>
            <w:vAlign w:val="bottom"/>
            <w:shd w:val="clear" w:color="auto" w:fill="505C81"/>
          </w:tcPr>
          <w:p>
            <w:pPr>
              <w:jc w:val="right"/>
              <w:ind w:right="448"/>
              <w:spacing w:after="0"/>
              <w:rPr>
                <w:sz w:val="20"/>
                <w:szCs w:val="20"/>
                <w:color w:val="auto"/>
              </w:rPr>
            </w:pPr>
            <w:r>
              <w:rPr>
                <w:rFonts w:ascii="Arial" w:cs="Arial" w:eastAsia="Arial" w:hAnsi="Arial"/>
                <w:sz w:val="16"/>
                <w:szCs w:val="16"/>
                <w:b w:val="1"/>
                <w:bCs w:val="1"/>
                <w:color w:val="FFFFFF"/>
                <w:w w:val="95"/>
              </w:rPr>
              <w:t>2017</w:t>
            </w:r>
          </w:p>
        </w:tc>
        <w:tc>
          <w:tcPr>
            <w:tcW w:w="1200" w:type="dxa"/>
            <w:vAlign w:val="bottom"/>
            <w:gridSpan w:val="2"/>
            <w:shd w:val="clear" w:color="auto" w:fill="505C81"/>
          </w:tcPr>
          <w:p>
            <w:pPr>
              <w:jc w:val="right"/>
              <w:ind w:right="128"/>
              <w:spacing w:after="0"/>
              <w:rPr>
                <w:sz w:val="20"/>
                <w:szCs w:val="20"/>
                <w:color w:val="auto"/>
              </w:rPr>
            </w:pPr>
            <w:r>
              <w:rPr>
                <w:rFonts w:ascii="Arial" w:cs="Arial" w:eastAsia="Arial" w:hAnsi="Arial"/>
                <w:sz w:val="16"/>
                <w:szCs w:val="16"/>
                <w:b w:val="1"/>
                <w:bCs w:val="1"/>
                <w:color w:val="FFFFFF"/>
              </w:rPr>
              <w:t>MARKET</w:t>
            </w:r>
          </w:p>
        </w:tc>
        <w:tc>
          <w:tcPr>
            <w:tcW w:w="1180" w:type="dxa"/>
            <w:vAlign w:val="bottom"/>
            <w:shd w:val="clear" w:color="auto" w:fill="505C81"/>
          </w:tcPr>
          <w:p>
            <w:pPr>
              <w:jc w:val="center"/>
              <w:ind w:left="88"/>
              <w:spacing w:after="0"/>
              <w:rPr>
                <w:sz w:val="20"/>
                <w:szCs w:val="20"/>
                <w:color w:val="auto"/>
              </w:rPr>
            </w:pPr>
            <w:r>
              <w:rPr>
                <w:rFonts w:ascii="Arial" w:cs="Arial" w:eastAsia="Arial" w:hAnsi="Arial"/>
                <w:sz w:val="16"/>
                <w:szCs w:val="16"/>
                <w:b w:val="1"/>
                <w:bCs w:val="1"/>
                <w:color w:val="FFFFFF"/>
              </w:rPr>
              <w:t>INDUSTRY</w:t>
            </w:r>
          </w:p>
        </w:tc>
        <w:tc>
          <w:tcPr>
            <w:tcW w:w="1060" w:type="dxa"/>
            <w:vAlign w:val="bottom"/>
            <w:shd w:val="clear" w:color="auto" w:fill="505C81"/>
          </w:tcPr>
          <w:p>
            <w:pPr>
              <w:jc w:val="right"/>
              <w:ind w:right="106"/>
              <w:spacing w:after="0"/>
              <w:rPr>
                <w:sz w:val="20"/>
                <w:szCs w:val="20"/>
                <w:color w:val="auto"/>
              </w:rPr>
            </w:pPr>
            <w:r>
              <w:rPr>
                <w:rFonts w:ascii="Arial" w:cs="Arial" w:eastAsia="Arial" w:hAnsi="Arial"/>
                <w:sz w:val="16"/>
                <w:szCs w:val="16"/>
                <w:b w:val="1"/>
                <w:bCs w:val="1"/>
                <w:color w:val="FFFFFF"/>
              </w:rPr>
              <w:t>GLOBAL</w:t>
            </w:r>
          </w:p>
        </w:tc>
        <w:tc>
          <w:tcPr>
            <w:tcW w:w="1160" w:type="dxa"/>
            <w:vAlign w:val="bottom"/>
            <w:shd w:val="clear" w:color="auto" w:fill="505C81"/>
          </w:tcPr>
          <w:p>
            <w:pPr>
              <w:jc w:val="center"/>
              <w:spacing w:after="0"/>
              <w:rPr>
                <w:sz w:val="20"/>
                <w:szCs w:val="20"/>
                <w:color w:val="auto"/>
              </w:rPr>
            </w:pPr>
            <w:r>
              <w:rPr>
                <w:rFonts w:ascii="Arial" w:cs="Arial" w:eastAsia="Arial" w:hAnsi="Arial"/>
                <w:sz w:val="16"/>
                <w:szCs w:val="16"/>
                <w:b w:val="1"/>
                <w:bCs w:val="1"/>
                <w:color w:val="FFFFFF"/>
              </w:rPr>
              <w:t>DOVER-LIKE</w:t>
            </w:r>
          </w:p>
        </w:tc>
        <w:tc>
          <w:tcPr>
            <w:tcW w:w="1480" w:type="dxa"/>
            <w:vAlign w:val="bottom"/>
            <w:shd w:val="clear" w:color="auto" w:fill="505C81"/>
          </w:tcPr>
          <w:p>
            <w:pPr>
              <w:ind w:left="80"/>
              <w:spacing w:after="0"/>
              <w:rPr>
                <w:sz w:val="20"/>
                <w:szCs w:val="20"/>
                <w:color w:val="auto"/>
              </w:rPr>
            </w:pPr>
            <w:r>
              <w:rPr>
                <w:rFonts w:ascii="Arial" w:cs="Arial" w:eastAsia="Arial" w:hAnsi="Arial"/>
                <w:sz w:val="16"/>
                <w:szCs w:val="16"/>
                <w:b w:val="1"/>
                <w:bCs w:val="1"/>
                <w:color w:val="FFFFFF"/>
              </w:rPr>
              <w:t>SAME ANALYST</w:t>
            </w:r>
          </w:p>
        </w:tc>
        <w:tc>
          <w:tcPr>
            <w:tcW w:w="0" w:type="dxa"/>
            <w:vAlign w:val="bottom"/>
          </w:tcPr>
          <w:p>
            <w:pPr>
              <w:spacing w:after="0"/>
              <w:rPr>
                <w:sz w:val="1"/>
                <w:szCs w:val="1"/>
                <w:color w:val="auto"/>
              </w:rPr>
            </w:pPr>
          </w:p>
        </w:tc>
      </w:tr>
      <w:tr>
        <w:trPr>
          <w:trHeight w:val="241"/>
        </w:trPr>
        <w:tc>
          <w:tcPr>
            <w:tcW w:w="3500" w:type="dxa"/>
            <w:vAlign w:val="bottom"/>
            <w:tcBorders>
              <w:bottom w:val="single" w:sz="8" w:color="505C81"/>
              <w:right w:val="single" w:sz="8" w:color="999999"/>
            </w:tcBorders>
            <w:shd w:val="clear" w:color="auto" w:fill="505C81"/>
          </w:tcPr>
          <w:p>
            <w:pPr>
              <w:spacing w:after="0"/>
              <w:rPr>
                <w:sz w:val="20"/>
                <w:szCs w:val="20"/>
                <w:color w:val="auto"/>
              </w:rPr>
            </w:pPr>
          </w:p>
        </w:tc>
        <w:tc>
          <w:tcPr>
            <w:tcW w:w="1420" w:type="dxa"/>
            <w:vAlign w:val="bottom"/>
            <w:tcBorders>
              <w:bottom w:val="single" w:sz="8" w:color="505C81"/>
            </w:tcBorders>
            <w:gridSpan w:val="2"/>
            <w:shd w:val="clear" w:color="auto" w:fill="505C81"/>
          </w:tcPr>
          <w:p>
            <w:pPr>
              <w:ind w:left="320"/>
              <w:spacing w:after="0"/>
              <w:rPr>
                <w:sz w:val="20"/>
                <w:szCs w:val="20"/>
                <w:color w:val="auto"/>
              </w:rPr>
            </w:pPr>
            <w:r>
              <w:rPr>
                <w:rFonts w:ascii="Arial" w:cs="Arial" w:eastAsia="Arial" w:hAnsi="Arial"/>
                <w:sz w:val="16"/>
                <w:szCs w:val="16"/>
                <w:b w:val="1"/>
                <w:bCs w:val="1"/>
                <w:color w:val="FFFFFF"/>
              </w:rPr>
              <w:t>REVENUE</w:t>
            </w:r>
          </w:p>
        </w:tc>
        <w:tc>
          <w:tcPr>
            <w:tcW w:w="1200" w:type="dxa"/>
            <w:vAlign w:val="bottom"/>
            <w:tcBorders>
              <w:bottom w:val="single" w:sz="8" w:color="505C81"/>
            </w:tcBorders>
            <w:gridSpan w:val="2"/>
            <w:shd w:val="clear" w:color="auto" w:fill="505C81"/>
          </w:tcPr>
          <w:p>
            <w:pPr>
              <w:jc w:val="center"/>
              <w:ind w:left="67"/>
              <w:spacing w:after="0"/>
              <w:rPr>
                <w:sz w:val="20"/>
                <w:szCs w:val="20"/>
                <w:color w:val="auto"/>
              </w:rPr>
            </w:pPr>
            <w:r>
              <w:rPr>
                <w:rFonts w:ascii="Arial" w:cs="Arial" w:eastAsia="Arial" w:hAnsi="Arial"/>
                <w:sz w:val="16"/>
                <w:szCs w:val="16"/>
                <w:b w:val="1"/>
                <w:bCs w:val="1"/>
                <w:color w:val="FFFFFF"/>
              </w:rPr>
              <w:t>CAP(1)</w:t>
            </w:r>
          </w:p>
        </w:tc>
        <w:tc>
          <w:tcPr>
            <w:tcW w:w="1180" w:type="dxa"/>
            <w:vAlign w:val="bottom"/>
            <w:tcBorders>
              <w:bottom w:val="single" w:sz="8" w:color="505C81"/>
            </w:tcBorders>
            <w:shd w:val="clear" w:color="auto" w:fill="505C81"/>
          </w:tcPr>
          <w:p>
            <w:pPr>
              <w:spacing w:after="0"/>
              <w:rPr>
                <w:sz w:val="20"/>
                <w:szCs w:val="20"/>
                <w:color w:val="auto"/>
              </w:rPr>
            </w:pPr>
          </w:p>
        </w:tc>
        <w:tc>
          <w:tcPr>
            <w:tcW w:w="1060" w:type="dxa"/>
            <w:vAlign w:val="bottom"/>
            <w:tcBorders>
              <w:bottom w:val="single" w:sz="8" w:color="505C81"/>
            </w:tcBorders>
            <w:shd w:val="clear" w:color="auto" w:fill="505C81"/>
          </w:tcPr>
          <w:p>
            <w:pPr>
              <w:jc w:val="right"/>
              <w:ind w:right="6"/>
              <w:spacing w:after="0"/>
              <w:rPr>
                <w:sz w:val="20"/>
                <w:szCs w:val="20"/>
                <w:color w:val="auto"/>
              </w:rPr>
            </w:pPr>
            <w:r>
              <w:rPr>
                <w:rFonts w:ascii="Arial" w:cs="Arial" w:eastAsia="Arial" w:hAnsi="Arial"/>
                <w:sz w:val="16"/>
                <w:szCs w:val="16"/>
                <w:b w:val="1"/>
                <w:bCs w:val="1"/>
                <w:color w:val="FFFFFF"/>
              </w:rPr>
              <w:t>REVENUES</w:t>
            </w:r>
          </w:p>
        </w:tc>
        <w:tc>
          <w:tcPr>
            <w:tcW w:w="1160" w:type="dxa"/>
            <w:vAlign w:val="bottom"/>
            <w:tcBorders>
              <w:bottom w:val="single" w:sz="8" w:color="505C81"/>
            </w:tcBorders>
            <w:shd w:val="clear" w:color="auto" w:fill="505C81"/>
          </w:tcPr>
          <w:p>
            <w:pPr>
              <w:jc w:val="center"/>
              <w:spacing w:after="0"/>
              <w:rPr>
                <w:sz w:val="20"/>
                <w:szCs w:val="20"/>
                <w:color w:val="auto"/>
              </w:rPr>
            </w:pPr>
            <w:r>
              <w:rPr>
                <w:rFonts w:ascii="Arial" w:cs="Arial" w:eastAsia="Arial" w:hAnsi="Arial"/>
                <w:sz w:val="16"/>
                <w:szCs w:val="16"/>
                <w:b w:val="1"/>
                <w:bCs w:val="1"/>
                <w:color w:val="FFFFFF"/>
              </w:rPr>
              <w:t>STRUCTURE</w:t>
            </w:r>
          </w:p>
        </w:tc>
        <w:tc>
          <w:tcPr>
            <w:tcW w:w="1480" w:type="dxa"/>
            <w:vAlign w:val="bottom"/>
            <w:tcBorders>
              <w:bottom w:val="single" w:sz="8" w:color="505C81"/>
            </w:tcBorders>
            <w:shd w:val="clear" w:color="auto" w:fill="505C81"/>
          </w:tcPr>
          <w:p>
            <w:pPr>
              <w:jc w:val="center"/>
              <w:spacing w:after="0"/>
              <w:rPr>
                <w:sz w:val="20"/>
                <w:szCs w:val="20"/>
                <w:color w:val="auto"/>
              </w:rPr>
            </w:pPr>
            <w:r>
              <w:rPr>
                <w:rFonts w:ascii="Arial" w:cs="Arial" w:eastAsia="Arial" w:hAnsi="Arial"/>
                <w:sz w:val="16"/>
                <w:szCs w:val="16"/>
                <w:b w:val="1"/>
                <w:bCs w:val="1"/>
                <w:color w:val="FFFFFF"/>
              </w:rPr>
              <w:t>COVERAGE(2)</w:t>
            </w:r>
          </w:p>
        </w:tc>
        <w:tc>
          <w:tcPr>
            <w:tcW w:w="0" w:type="dxa"/>
            <w:vAlign w:val="bottom"/>
          </w:tcPr>
          <w:p>
            <w:pPr>
              <w:spacing w:after="0"/>
              <w:rPr>
                <w:sz w:val="1"/>
                <w:szCs w:val="1"/>
                <w:color w:val="auto"/>
              </w:rPr>
            </w:pPr>
          </w:p>
        </w:tc>
      </w:tr>
      <w:tr>
        <w:trPr>
          <w:trHeight w:val="207"/>
        </w:trPr>
        <w:tc>
          <w:tcPr>
            <w:tcW w:w="3500" w:type="dxa"/>
            <w:vAlign w:val="bottom"/>
            <w:tcBorders>
              <w:right w:val="single" w:sz="8" w:color="999999"/>
            </w:tcBorders>
            <w:vMerge w:val="restart"/>
          </w:tcPr>
          <w:p>
            <w:pPr>
              <w:ind w:left="220"/>
              <w:spacing w:after="0"/>
              <w:rPr>
                <w:sz w:val="20"/>
                <w:szCs w:val="20"/>
                <w:color w:val="auto"/>
              </w:rPr>
            </w:pPr>
            <w:r>
              <w:rPr>
                <w:rFonts w:ascii="Arial" w:cs="Arial" w:eastAsia="Arial" w:hAnsi="Arial"/>
                <w:sz w:val="14"/>
                <w:szCs w:val="14"/>
                <w:b w:val="1"/>
                <w:bCs w:val="1"/>
                <w:color w:val="auto"/>
              </w:rPr>
              <w:t>3M COMPANY</w:t>
            </w:r>
          </w:p>
        </w:tc>
        <w:tc>
          <w:tcPr>
            <w:tcW w:w="540" w:type="dxa"/>
            <w:vAlign w:val="bottom"/>
            <w:vMerge w:val="restart"/>
          </w:tcPr>
          <w:p>
            <w:pPr>
              <w:ind w:left="460"/>
              <w:spacing w:after="0"/>
              <w:rPr>
                <w:sz w:val="20"/>
                <w:szCs w:val="20"/>
                <w:color w:val="auto"/>
              </w:rPr>
            </w:pPr>
            <w:r>
              <w:rPr>
                <w:rFonts w:ascii="Arial" w:cs="Arial" w:eastAsia="Arial" w:hAnsi="Arial"/>
                <w:sz w:val="14"/>
                <w:szCs w:val="14"/>
                <w:color w:val="auto"/>
                <w:w w:val="76"/>
              </w:rPr>
              <w:t>$</w:t>
            </w:r>
          </w:p>
        </w:tc>
        <w:tc>
          <w:tcPr>
            <w:tcW w:w="880" w:type="dxa"/>
            <w:vAlign w:val="bottom"/>
            <w:vMerge w:val="restart"/>
          </w:tcPr>
          <w:p>
            <w:pPr>
              <w:jc w:val="right"/>
              <w:ind w:right="368"/>
              <w:spacing w:after="0"/>
              <w:rPr>
                <w:sz w:val="20"/>
                <w:szCs w:val="20"/>
                <w:color w:val="auto"/>
              </w:rPr>
            </w:pPr>
            <w:r>
              <w:rPr>
                <w:rFonts w:ascii="Arial" w:cs="Arial" w:eastAsia="Arial" w:hAnsi="Arial"/>
                <w:sz w:val="14"/>
                <w:szCs w:val="14"/>
                <w:color w:val="auto"/>
                <w:w w:val="97"/>
              </w:rPr>
              <w:t>31,657</w:t>
            </w: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ind w:right="168"/>
              <w:spacing w:after="0"/>
              <w:rPr>
                <w:sz w:val="20"/>
                <w:szCs w:val="20"/>
                <w:color w:val="auto"/>
              </w:rPr>
            </w:pPr>
            <w:r>
              <w:rPr>
                <w:rFonts w:ascii="Arial" w:cs="Arial" w:eastAsia="Arial" w:hAnsi="Arial"/>
                <w:sz w:val="14"/>
                <w:szCs w:val="14"/>
                <w:color w:val="auto"/>
                <w:w w:val="98"/>
              </w:rPr>
              <w:t>140,188</w:t>
            </w:r>
          </w:p>
        </w:tc>
        <w:tc>
          <w:tcPr>
            <w:tcW w:w="1180" w:type="dxa"/>
            <w:vAlign w:val="bottom"/>
          </w:tcPr>
          <w:p>
            <w:pPr>
              <w:jc w:val="center"/>
              <w:ind w:left="88"/>
              <w:spacing w:after="0"/>
              <w:rPr>
                <w:sz w:val="20"/>
                <w:szCs w:val="20"/>
                <w:color w:val="auto"/>
              </w:rPr>
            </w:pPr>
            <w:r>
              <w:rPr>
                <w:rFonts w:ascii="Arial" w:cs="Arial" w:eastAsia="Arial" w:hAnsi="Arial"/>
                <w:sz w:val="14"/>
                <w:szCs w:val="14"/>
                <w:color w:val="auto"/>
              </w:rPr>
              <w:t>Industrial</w:t>
            </w:r>
          </w:p>
        </w:tc>
        <w:tc>
          <w:tcPr>
            <w:tcW w:w="1060" w:type="dxa"/>
            <w:vAlign w:val="bottom"/>
            <w:vMerge w:val="restart"/>
          </w:tcPr>
          <w:p>
            <w:pPr>
              <w:jc w:val="right"/>
              <w:ind w:right="386"/>
              <w:spacing w:after="0" w:line="141" w:lineRule="exact"/>
              <w:rPr>
                <w:sz w:val="20"/>
                <w:szCs w:val="20"/>
                <w:color w:val="auto"/>
              </w:rPr>
            </w:pPr>
            <w:r>
              <w:rPr>
                <w:rFonts w:ascii="MS PGothic" w:cs="MS PGothic" w:eastAsia="MS PGothic" w:hAnsi="MS PGothic"/>
                <w:sz w:val="14"/>
                <w:szCs w:val="14"/>
                <w:color w:val="auto"/>
              </w:rPr>
              <w:t>✗</w:t>
            </w:r>
          </w:p>
        </w:tc>
        <w:tc>
          <w:tcPr>
            <w:tcW w:w="116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48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07"/>
        </w:trPr>
        <w:tc>
          <w:tcPr>
            <w:tcW w:w="3500" w:type="dxa"/>
            <w:vAlign w:val="bottom"/>
            <w:tcBorders>
              <w:right w:val="single" w:sz="8" w:color="999999"/>
            </w:tcBorders>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1180" w:type="dxa"/>
            <w:vAlign w:val="bottom"/>
            <w:vMerge w:val="restart"/>
          </w:tcPr>
          <w:p>
            <w:pPr>
              <w:jc w:val="center"/>
              <w:ind w:left="68"/>
              <w:spacing w:after="0"/>
              <w:rPr>
                <w:sz w:val="20"/>
                <w:szCs w:val="20"/>
                <w:color w:val="auto"/>
              </w:rPr>
            </w:pPr>
            <w:r>
              <w:rPr>
                <w:rFonts w:ascii="Arial" w:cs="Arial" w:eastAsia="Arial" w:hAnsi="Arial"/>
                <w:sz w:val="14"/>
                <w:szCs w:val="14"/>
                <w:color w:val="auto"/>
              </w:rPr>
              <w:t>Conglomerates</w:t>
            </w:r>
          </w:p>
        </w:tc>
        <w:tc>
          <w:tcPr>
            <w:tcW w:w="106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5"/>
        </w:trPr>
        <w:tc>
          <w:tcPr>
            <w:tcW w:w="3500" w:type="dxa"/>
            <w:vAlign w:val="bottom"/>
            <w:tcBorders>
              <w:right w:val="single" w:sz="8" w:color="999999"/>
            </w:tcBorders>
          </w:tcPr>
          <w:p>
            <w:pPr>
              <w:spacing w:after="0"/>
              <w:rPr>
                <w:sz w:val="5"/>
                <w:szCs w:val="5"/>
                <w:color w:val="auto"/>
              </w:rPr>
            </w:pPr>
          </w:p>
        </w:tc>
        <w:tc>
          <w:tcPr>
            <w:tcW w:w="540" w:type="dxa"/>
            <w:vAlign w:val="bottom"/>
          </w:tcPr>
          <w:p>
            <w:pPr>
              <w:spacing w:after="0"/>
              <w:rPr>
                <w:sz w:val="5"/>
                <w:szCs w:val="5"/>
                <w:color w:val="auto"/>
              </w:rPr>
            </w:pPr>
          </w:p>
        </w:tc>
        <w:tc>
          <w:tcPr>
            <w:tcW w:w="8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3500" w:type="dxa"/>
            <w:vAlign w:val="bottom"/>
            <w:tcBorders>
              <w:right w:val="single" w:sz="8" w:color="999999"/>
            </w:tcBorders>
          </w:tcPr>
          <w:p>
            <w:pPr>
              <w:spacing w:after="0"/>
              <w:rPr>
                <w:sz w:val="3"/>
                <w:szCs w:val="3"/>
                <w:color w:val="auto"/>
              </w:rPr>
            </w:pPr>
          </w:p>
        </w:tc>
        <w:tc>
          <w:tcPr>
            <w:tcW w:w="5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7"/>
        </w:trPr>
        <w:tc>
          <w:tcPr>
            <w:tcW w:w="3500" w:type="dxa"/>
            <w:vAlign w:val="bottom"/>
            <w:tcBorders>
              <w:right w:val="single" w:sz="8" w:color="999999"/>
            </w:tcBorders>
            <w:vMerge w:val="restart"/>
            <w:shd w:val="clear" w:color="auto" w:fill="D8D8D8"/>
          </w:tcPr>
          <w:p>
            <w:pPr>
              <w:ind w:left="220"/>
              <w:spacing w:after="0"/>
              <w:rPr>
                <w:sz w:val="20"/>
                <w:szCs w:val="20"/>
                <w:color w:val="auto"/>
              </w:rPr>
            </w:pPr>
            <w:r>
              <w:rPr>
                <w:rFonts w:ascii="Arial" w:cs="Arial" w:eastAsia="Arial" w:hAnsi="Arial"/>
                <w:sz w:val="14"/>
                <w:szCs w:val="14"/>
                <w:b w:val="1"/>
                <w:bCs w:val="1"/>
                <w:color w:val="auto"/>
              </w:rPr>
              <w:t>COLFAX CORPORATION</w:t>
            </w:r>
          </w:p>
        </w:tc>
        <w:tc>
          <w:tcPr>
            <w:tcW w:w="540" w:type="dxa"/>
            <w:vAlign w:val="bottom"/>
            <w:vMerge w:val="restart"/>
            <w:shd w:val="clear" w:color="auto" w:fill="D8D8D8"/>
          </w:tcPr>
          <w:p>
            <w:pPr>
              <w:ind w:left="460"/>
              <w:spacing w:after="0"/>
              <w:rPr>
                <w:sz w:val="20"/>
                <w:szCs w:val="20"/>
                <w:color w:val="auto"/>
              </w:rPr>
            </w:pPr>
            <w:r>
              <w:rPr>
                <w:rFonts w:ascii="Arial" w:cs="Arial" w:eastAsia="Arial" w:hAnsi="Arial"/>
                <w:sz w:val="14"/>
                <w:szCs w:val="14"/>
                <w:color w:val="auto"/>
                <w:w w:val="76"/>
              </w:rPr>
              <w:t>$</w:t>
            </w:r>
          </w:p>
        </w:tc>
        <w:tc>
          <w:tcPr>
            <w:tcW w:w="880" w:type="dxa"/>
            <w:vAlign w:val="bottom"/>
            <w:vMerge w:val="restart"/>
            <w:shd w:val="clear" w:color="auto" w:fill="D8D8D8"/>
          </w:tcPr>
          <w:p>
            <w:pPr>
              <w:jc w:val="right"/>
              <w:ind w:right="368"/>
              <w:spacing w:after="0"/>
              <w:rPr>
                <w:sz w:val="20"/>
                <w:szCs w:val="20"/>
                <w:color w:val="auto"/>
              </w:rPr>
            </w:pPr>
            <w:r>
              <w:rPr>
                <w:rFonts w:ascii="Arial" w:cs="Arial" w:eastAsia="Arial" w:hAnsi="Arial"/>
                <w:sz w:val="14"/>
                <w:szCs w:val="14"/>
                <w:color w:val="auto"/>
              </w:rPr>
              <w:t>3,300</w:t>
            </w:r>
          </w:p>
        </w:tc>
        <w:tc>
          <w:tcPr>
            <w:tcW w:w="440" w:type="dxa"/>
            <w:vAlign w:val="bottom"/>
            <w:vMerge w:val="restart"/>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D8D8D8"/>
          </w:tcPr>
          <w:p>
            <w:pPr>
              <w:jc w:val="right"/>
              <w:ind w:right="168"/>
              <w:spacing w:after="0"/>
              <w:rPr>
                <w:sz w:val="20"/>
                <w:szCs w:val="20"/>
                <w:color w:val="auto"/>
              </w:rPr>
            </w:pPr>
            <w:r>
              <w:rPr>
                <w:rFonts w:ascii="Arial" w:cs="Arial" w:eastAsia="Arial" w:hAnsi="Arial"/>
                <w:sz w:val="14"/>
                <w:szCs w:val="14"/>
                <w:color w:val="auto"/>
              </w:rPr>
              <w:t>4,878</w:t>
            </w:r>
          </w:p>
        </w:tc>
        <w:tc>
          <w:tcPr>
            <w:tcW w:w="1180" w:type="dxa"/>
            <w:vAlign w:val="bottom"/>
            <w:shd w:val="clear" w:color="auto" w:fill="D8D8D8"/>
          </w:tcPr>
          <w:p>
            <w:pPr>
              <w:jc w:val="center"/>
              <w:ind w:left="88"/>
              <w:spacing w:after="0"/>
              <w:rPr>
                <w:sz w:val="20"/>
                <w:szCs w:val="20"/>
                <w:color w:val="auto"/>
              </w:rPr>
            </w:pPr>
            <w:r>
              <w:rPr>
                <w:rFonts w:ascii="Arial" w:cs="Arial" w:eastAsia="Arial" w:hAnsi="Arial"/>
                <w:sz w:val="14"/>
                <w:szCs w:val="14"/>
                <w:color w:val="auto"/>
              </w:rPr>
              <w:t>Industrial</w:t>
            </w:r>
          </w:p>
        </w:tc>
        <w:tc>
          <w:tcPr>
            <w:tcW w:w="1060" w:type="dxa"/>
            <w:vAlign w:val="bottom"/>
            <w:vMerge w:val="restart"/>
            <w:shd w:val="clear" w:color="auto" w:fill="D8D8D8"/>
          </w:tcPr>
          <w:p>
            <w:pPr>
              <w:jc w:val="right"/>
              <w:ind w:right="386"/>
              <w:spacing w:after="0" w:line="141" w:lineRule="exact"/>
              <w:rPr>
                <w:sz w:val="20"/>
                <w:szCs w:val="20"/>
                <w:color w:val="auto"/>
              </w:rPr>
            </w:pPr>
            <w:r>
              <w:rPr>
                <w:rFonts w:ascii="MS PGothic" w:cs="MS PGothic" w:eastAsia="MS PGothic" w:hAnsi="MS PGothic"/>
                <w:sz w:val="14"/>
                <w:szCs w:val="14"/>
                <w:color w:val="auto"/>
              </w:rPr>
              <w:t>✗</w:t>
            </w:r>
          </w:p>
        </w:tc>
        <w:tc>
          <w:tcPr>
            <w:tcW w:w="1160" w:type="dxa"/>
            <w:vAlign w:val="bottom"/>
            <w:vMerge w:val="restart"/>
            <w:shd w:val="clear" w:color="auto" w:fill="D8D8D8"/>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480" w:type="dxa"/>
            <w:vAlign w:val="bottom"/>
            <w:vMerge w:val="restart"/>
            <w:shd w:val="clear" w:color="auto" w:fill="D8D8D8"/>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07"/>
        </w:trPr>
        <w:tc>
          <w:tcPr>
            <w:tcW w:w="3500" w:type="dxa"/>
            <w:vAlign w:val="bottom"/>
            <w:tcBorders>
              <w:right w:val="single" w:sz="8" w:color="999999"/>
            </w:tcBorders>
            <w:vMerge w:val="continue"/>
            <w:shd w:val="clear" w:color="auto" w:fill="D8D8D8"/>
          </w:tcPr>
          <w:p>
            <w:pPr>
              <w:spacing w:after="0"/>
              <w:rPr>
                <w:sz w:val="9"/>
                <w:szCs w:val="9"/>
                <w:color w:val="auto"/>
              </w:rPr>
            </w:pPr>
          </w:p>
        </w:tc>
        <w:tc>
          <w:tcPr>
            <w:tcW w:w="540" w:type="dxa"/>
            <w:vAlign w:val="bottom"/>
            <w:vMerge w:val="continue"/>
            <w:shd w:val="clear" w:color="auto" w:fill="D8D8D8"/>
          </w:tcPr>
          <w:p>
            <w:pPr>
              <w:spacing w:after="0"/>
              <w:rPr>
                <w:sz w:val="9"/>
                <w:szCs w:val="9"/>
                <w:color w:val="auto"/>
              </w:rPr>
            </w:pPr>
          </w:p>
        </w:tc>
        <w:tc>
          <w:tcPr>
            <w:tcW w:w="880" w:type="dxa"/>
            <w:vAlign w:val="bottom"/>
            <w:vMerge w:val="continue"/>
            <w:shd w:val="clear" w:color="auto" w:fill="D8D8D8"/>
          </w:tcPr>
          <w:p>
            <w:pPr>
              <w:spacing w:after="0"/>
              <w:rPr>
                <w:sz w:val="9"/>
                <w:szCs w:val="9"/>
                <w:color w:val="auto"/>
              </w:rPr>
            </w:pPr>
          </w:p>
        </w:tc>
        <w:tc>
          <w:tcPr>
            <w:tcW w:w="440" w:type="dxa"/>
            <w:vAlign w:val="bottom"/>
            <w:vMerge w:val="continue"/>
            <w:shd w:val="clear" w:color="auto" w:fill="D8D8D8"/>
          </w:tcPr>
          <w:p>
            <w:pPr>
              <w:spacing w:after="0"/>
              <w:rPr>
                <w:sz w:val="9"/>
                <w:szCs w:val="9"/>
                <w:color w:val="auto"/>
              </w:rPr>
            </w:pPr>
          </w:p>
        </w:tc>
        <w:tc>
          <w:tcPr>
            <w:tcW w:w="760" w:type="dxa"/>
            <w:vAlign w:val="bottom"/>
            <w:vMerge w:val="continue"/>
            <w:shd w:val="clear" w:color="auto" w:fill="D8D8D8"/>
          </w:tcPr>
          <w:p>
            <w:pPr>
              <w:spacing w:after="0"/>
              <w:rPr>
                <w:sz w:val="9"/>
                <w:szCs w:val="9"/>
                <w:color w:val="auto"/>
              </w:rPr>
            </w:pPr>
          </w:p>
        </w:tc>
        <w:tc>
          <w:tcPr>
            <w:tcW w:w="1180" w:type="dxa"/>
            <w:vAlign w:val="bottom"/>
            <w:vMerge w:val="restart"/>
            <w:shd w:val="clear" w:color="auto" w:fill="D8D8D8"/>
          </w:tcPr>
          <w:p>
            <w:pPr>
              <w:jc w:val="center"/>
              <w:ind w:left="88"/>
              <w:spacing w:after="0"/>
              <w:rPr>
                <w:sz w:val="20"/>
                <w:szCs w:val="20"/>
                <w:color w:val="auto"/>
              </w:rPr>
            </w:pPr>
            <w:r>
              <w:rPr>
                <w:rFonts w:ascii="Arial" w:cs="Arial" w:eastAsia="Arial" w:hAnsi="Arial"/>
                <w:sz w:val="14"/>
                <w:szCs w:val="14"/>
                <w:color w:val="auto"/>
              </w:rPr>
              <w:t>Machinery</w:t>
            </w:r>
          </w:p>
        </w:tc>
        <w:tc>
          <w:tcPr>
            <w:tcW w:w="1060" w:type="dxa"/>
            <w:vAlign w:val="bottom"/>
            <w:vMerge w:val="continue"/>
            <w:shd w:val="clear" w:color="auto" w:fill="D8D8D8"/>
          </w:tcPr>
          <w:p>
            <w:pPr>
              <w:spacing w:after="0"/>
              <w:rPr>
                <w:sz w:val="9"/>
                <w:szCs w:val="9"/>
                <w:color w:val="auto"/>
              </w:rPr>
            </w:pPr>
          </w:p>
        </w:tc>
        <w:tc>
          <w:tcPr>
            <w:tcW w:w="1160" w:type="dxa"/>
            <w:vAlign w:val="bottom"/>
            <w:vMerge w:val="continue"/>
            <w:shd w:val="clear" w:color="auto" w:fill="D8D8D8"/>
          </w:tcPr>
          <w:p>
            <w:pPr>
              <w:spacing w:after="0"/>
              <w:rPr>
                <w:sz w:val="9"/>
                <w:szCs w:val="9"/>
                <w:color w:val="auto"/>
              </w:rPr>
            </w:pPr>
          </w:p>
        </w:tc>
        <w:tc>
          <w:tcPr>
            <w:tcW w:w="1480" w:type="dxa"/>
            <w:vAlign w:val="bottom"/>
            <w:vMerge w:val="continue"/>
            <w:shd w:val="clear" w:color="auto" w:fill="D8D8D8"/>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3500" w:type="dxa"/>
            <w:vAlign w:val="bottom"/>
            <w:tcBorders>
              <w:bottom w:val="single" w:sz="8" w:color="D8D8D8"/>
              <w:right w:val="single" w:sz="8" w:color="999999"/>
            </w:tcBorders>
            <w:shd w:val="clear" w:color="auto" w:fill="D8D8D8"/>
          </w:tcPr>
          <w:p>
            <w:pPr>
              <w:spacing w:after="0"/>
              <w:rPr>
                <w:sz w:val="7"/>
                <w:szCs w:val="7"/>
                <w:color w:val="auto"/>
              </w:rPr>
            </w:pPr>
          </w:p>
        </w:tc>
        <w:tc>
          <w:tcPr>
            <w:tcW w:w="540" w:type="dxa"/>
            <w:vAlign w:val="bottom"/>
            <w:tcBorders>
              <w:bottom w:val="single" w:sz="8" w:color="D8D8D8"/>
            </w:tcBorders>
            <w:shd w:val="clear" w:color="auto" w:fill="D8D8D8"/>
          </w:tcPr>
          <w:p>
            <w:pPr>
              <w:spacing w:after="0"/>
              <w:rPr>
                <w:sz w:val="7"/>
                <w:szCs w:val="7"/>
                <w:color w:val="auto"/>
              </w:rPr>
            </w:pPr>
          </w:p>
        </w:tc>
        <w:tc>
          <w:tcPr>
            <w:tcW w:w="880" w:type="dxa"/>
            <w:vAlign w:val="bottom"/>
            <w:tcBorders>
              <w:bottom w:val="single" w:sz="8" w:color="D8D8D8"/>
            </w:tcBorders>
            <w:shd w:val="clear" w:color="auto" w:fill="D8D8D8"/>
          </w:tcPr>
          <w:p>
            <w:pPr>
              <w:spacing w:after="0"/>
              <w:rPr>
                <w:sz w:val="7"/>
                <w:szCs w:val="7"/>
                <w:color w:val="auto"/>
              </w:rPr>
            </w:pPr>
          </w:p>
        </w:tc>
        <w:tc>
          <w:tcPr>
            <w:tcW w:w="440" w:type="dxa"/>
            <w:vAlign w:val="bottom"/>
            <w:tcBorders>
              <w:bottom w:val="single" w:sz="8" w:color="D8D8D8"/>
            </w:tcBorders>
            <w:shd w:val="clear" w:color="auto" w:fill="D8D8D8"/>
          </w:tcPr>
          <w:p>
            <w:pPr>
              <w:spacing w:after="0"/>
              <w:rPr>
                <w:sz w:val="7"/>
                <w:szCs w:val="7"/>
                <w:color w:val="auto"/>
              </w:rPr>
            </w:pPr>
          </w:p>
        </w:tc>
        <w:tc>
          <w:tcPr>
            <w:tcW w:w="760" w:type="dxa"/>
            <w:vAlign w:val="bottom"/>
            <w:tcBorders>
              <w:bottom w:val="single" w:sz="8" w:color="D8D8D8"/>
            </w:tcBorders>
            <w:shd w:val="clear" w:color="auto" w:fill="D8D8D8"/>
          </w:tcPr>
          <w:p>
            <w:pPr>
              <w:spacing w:after="0"/>
              <w:rPr>
                <w:sz w:val="7"/>
                <w:szCs w:val="7"/>
                <w:color w:val="auto"/>
              </w:rPr>
            </w:pPr>
          </w:p>
        </w:tc>
        <w:tc>
          <w:tcPr>
            <w:tcW w:w="1180" w:type="dxa"/>
            <w:vAlign w:val="bottom"/>
            <w:tcBorders>
              <w:bottom w:val="single" w:sz="8" w:color="D8D8D8"/>
            </w:tcBorders>
            <w:vMerge w:val="continue"/>
            <w:shd w:val="clear" w:color="auto" w:fill="D8D8D8"/>
          </w:tcPr>
          <w:p>
            <w:pPr>
              <w:spacing w:after="0"/>
              <w:rPr>
                <w:sz w:val="7"/>
                <w:szCs w:val="7"/>
                <w:color w:val="auto"/>
              </w:rPr>
            </w:pPr>
          </w:p>
        </w:tc>
        <w:tc>
          <w:tcPr>
            <w:tcW w:w="1060" w:type="dxa"/>
            <w:vAlign w:val="bottom"/>
            <w:tcBorders>
              <w:bottom w:val="single" w:sz="8" w:color="D8D8D8"/>
            </w:tcBorders>
            <w:shd w:val="clear" w:color="auto" w:fill="D8D8D8"/>
          </w:tcPr>
          <w:p>
            <w:pPr>
              <w:spacing w:after="0"/>
              <w:rPr>
                <w:sz w:val="7"/>
                <w:szCs w:val="7"/>
                <w:color w:val="auto"/>
              </w:rPr>
            </w:pPr>
          </w:p>
        </w:tc>
        <w:tc>
          <w:tcPr>
            <w:tcW w:w="1160" w:type="dxa"/>
            <w:vAlign w:val="bottom"/>
            <w:tcBorders>
              <w:bottom w:val="single" w:sz="8" w:color="D8D8D8"/>
            </w:tcBorders>
            <w:shd w:val="clear" w:color="auto" w:fill="D8D8D8"/>
          </w:tcPr>
          <w:p>
            <w:pPr>
              <w:spacing w:after="0"/>
              <w:rPr>
                <w:sz w:val="7"/>
                <w:szCs w:val="7"/>
                <w:color w:val="auto"/>
              </w:rPr>
            </w:pPr>
          </w:p>
        </w:tc>
        <w:tc>
          <w:tcPr>
            <w:tcW w:w="1480" w:type="dxa"/>
            <w:vAlign w:val="bottom"/>
            <w:tcBorders>
              <w:bottom w:val="single" w:sz="8" w:color="D8D8D8"/>
            </w:tcBorders>
            <w:shd w:val="clear" w:color="auto" w:fill="D8D8D8"/>
          </w:tcPr>
          <w:p>
            <w:pPr>
              <w:spacing w:after="0"/>
              <w:rPr>
                <w:sz w:val="7"/>
                <w:szCs w:val="7"/>
                <w:color w:val="auto"/>
              </w:rPr>
            </w:pPr>
          </w:p>
        </w:tc>
        <w:tc>
          <w:tcPr>
            <w:tcW w:w="0" w:type="dxa"/>
            <w:vAlign w:val="bottom"/>
          </w:tcPr>
          <w:p>
            <w:pPr>
              <w:spacing w:after="0"/>
              <w:rPr>
                <w:sz w:val="1"/>
                <w:szCs w:val="1"/>
                <w:color w:val="auto"/>
              </w:rPr>
            </w:pPr>
          </w:p>
        </w:tc>
      </w:tr>
      <w:tr>
        <w:trPr>
          <w:trHeight w:val="207"/>
        </w:trPr>
        <w:tc>
          <w:tcPr>
            <w:tcW w:w="3500" w:type="dxa"/>
            <w:vAlign w:val="bottom"/>
            <w:tcBorders>
              <w:right w:val="single" w:sz="8" w:color="999999"/>
            </w:tcBorders>
            <w:vMerge w:val="restart"/>
          </w:tcPr>
          <w:p>
            <w:pPr>
              <w:ind w:left="220"/>
              <w:spacing w:after="0"/>
              <w:rPr>
                <w:sz w:val="20"/>
                <w:szCs w:val="20"/>
                <w:color w:val="auto"/>
              </w:rPr>
            </w:pPr>
            <w:r>
              <w:rPr>
                <w:rFonts w:ascii="Arial" w:cs="Arial" w:eastAsia="Arial" w:hAnsi="Arial"/>
                <w:sz w:val="14"/>
                <w:szCs w:val="14"/>
                <w:b w:val="1"/>
                <w:bCs w:val="1"/>
                <w:color w:val="auto"/>
              </w:rPr>
              <w:t>CARLISLE COMPANIES</w:t>
            </w:r>
          </w:p>
        </w:tc>
        <w:tc>
          <w:tcPr>
            <w:tcW w:w="540" w:type="dxa"/>
            <w:vAlign w:val="bottom"/>
            <w:vMerge w:val="restart"/>
          </w:tcPr>
          <w:p>
            <w:pPr>
              <w:ind w:left="460"/>
              <w:spacing w:after="0"/>
              <w:rPr>
                <w:sz w:val="20"/>
                <w:szCs w:val="20"/>
                <w:color w:val="auto"/>
              </w:rPr>
            </w:pPr>
            <w:r>
              <w:rPr>
                <w:rFonts w:ascii="Arial" w:cs="Arial" w:eastAsia="Arial" w:hAnsi="Arial"/>
                <w:sz w:val="14"/>
                <w:szCs w:val="14"/>
                <w:color w:val="auto"/>
                <w:w w:val="76"/>
              </w:rPr>
              <w:t>$</w:t>
            </w:r>
          </w:p>
        </w:tc>
        <w:tc>
          <w:tcPr>
            <w:tcW w:w="880" w:type="dxa"/>
            <w:vAlign w:val="bottom"/>
            <w:vMerge w:val="restart"/>
          </w:tcPr>
          <w:p>
            <w:pPr>
              <w:jc w:val="right"/>
              <w:ind w:right="368"/>
              <w:spacing w:after="0"/>
              <w:rPr>
                <w:sz w:val="20"/>
                <w:szCs w:val="20"/>
                <w:color w:val="auto"/>
              </w:rPr>
            </w:pPr>
            <w:r>
              <w:rPr>
                <w:rFonts w:ascii="Arial" w:cs="Arial" w:eastAsia="Arial" w:hAnsi="Arial"/>
                <w:sz w:val="14"/>
                <w:szCs w:val="14"/>
                <w:color w:val="auto"/>
              </w:rPr>
              <w:t>4,090</w:t>
            </w: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ind w:right="168"/>
              <w:spacing w:after="0"/>
              <w:rPr>
                <w:sz w:val="20"/>
                <w:szCs w:val="20"/>
                <w:color w:val="auto"/>
              </w:rPr>
            </w:pPr>
            <w:r>
              <w:rPr>
                <w:rFonts w:ascii="Arial" w:cs="Arial" w:eastAsia="Arial" w:hAnsi="Arial"/>
                <w:sz w:val="14"/>
                <w:szCs w:val="14"/>
                <w:color w:val="auto"/>
              </w:rPr>
              <w:t>7,045</w:t>
            </w:r>
          </w:p>
        </w:tc>
        <w:tc>
          <w:tcPr>
            <w:tcW w:w="1180" w:type="dxa"/>
            <w:vAlign w:val="bottom"/>
          </w:tcPr>
          <w:p>
            <w:pPr>
              <w:jc w:val="center"/>
              <w:ind w:left="88"/>
              <w:spacing w:after="0"/>
              <w:rPr>
                <w:sz w:val="20"/>
                <w:szCs w:val="20"/>
                <w:color w:val="auto"/>
              </w:rPr>
            </w:pPr>
            <w:r>
              <w:rPr>
                <w:rFonts w:ascii="Arial" w:cs="Arial" w:eastAsia="Arial" w:hAnsi="Arial"/>
                <w:sz w:val="14"/>
                <w:szCs w:val="14"/>
                <w:color w:val="auto"/>
              </w:rPr>
              <w:t>Industrial</w:t>
            </w:r>
          </w:p>
        </w:tc>
        <w:tc>
          <w:tcPr>
            <w:tcW w:w="1060" w:type="dxa"/>
            <w:vAlign w:val="bottom"/>
            <w:vMerge w:val="restart"/>
          </w:tcPr>
          <w:p>
            <w:pPr>
              <w:jc w:val="right"/>
              <w:ind w:right="386"/>
              <w:spacing w:after="0" w:line="141" w:lineRule="exact"/>
              <w:rPr>
                <w:sz w:val="20"/>
                <w:szCs w:val="20"/>
                <w:color w:val="auto"/>
              </w:rPr>
            </w:pPr>
            <w:r>
              <w:rPr>
                <w:rFonts w:ascii="MS PGothic" w:cs="MS PGothic" w:eastAsia="MS PGothic" w:hAnsi="MS PGothic"/>
                <w:sz w:val="14"/>
                <w:szCs w:val="14"/>
                <w:color w:val="auto"/>
              </w:rPr>
              <w:t>✗</w:t>
            </w:r>
          </w:p>
        </w:tc>
        <w:tc>
          <w:tcPr>
            <w:tcW w:w="116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3500" w:type="dxa"/>
            <w:vAlign w:val="bottom"/>
            <w:tcBorders>
              <w:right w:val="single" w:sz="8" w:color="999999"/>
            </w:tcBorders>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1180" w:type="dxa"/>
            <w:vAlign w:val="bottom"/>
            <w:vMerge w:val="restart"/>
          </w:tcPr>
          <w:p>
            <w:pPr>
              <w:jc w:val="center"/>
              <w:ind w:left="68"/>
              <w:spacing w:after="0"/>
              <w:rPr>
                <w:sz w:val="20"/>
                <w:szCs w:val="20"/>
                <w:color w:val="auto"/>
              </w:rPr>
            </w:pPr>
            <w:r>
              <w:rPr>
                <w:rFonts w:ascii="Arial" w:cs="Arial" w:eastAsia="Arial" w:hAnsi="Arial"/>
                <w:sz w:val="14"/>
                <w:szCs w:val="14"/>
                <w:color w:val="auto"/>
              </w:rPr>
              <w:t>Conglomerates</w:t>
            </w:r>
          </w:p>
        </w:tc>
        <w:tc>
          <w:tcPr>
            <w:tcW w:w="106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5"/>
        </w:trPr>
        <w:tc>
          <w:tcPr>
            <w:tcW w:w="3500" w:type="dxa"/>
            <w:vAlign w:val="bottom"/>
            <w:tcBorders>
              <w:right w:val="single" w:sz="8" w:color="999999"/>
            </w:tcBorders>
          </w:tcPr>
          <w:p>
            <w:pPr>
              <w:spacing w:after="0"/>
              <w:rPr>
                <w:sz w:val="5"/>
                <w:szCs w:val="5"/>
                <w:color w:val="auto"/>
              </w:rPr>
            </w:pPr>
          </w:p>
        </w:tc>
        <w:tc>
          <w:tcPr>
            <w:tcW w:w="540" w:type="dxa"/>
            <w:vAlign w:val="bottom"/>
          </w:tcPr>
          <w:p>
            <w:pPr>
              <w:spacing w:after="0"/>
              <w:rPr>
                <w:sz w:val="5"/>
                <w:szCs w:val="5"/>
                <w:color w:val="auto"/>
              </w:rPr>
            </w:pPr>
          </w:p>
        </w:tc>
        <w:tc>
          <w:tcPr>
            <w:tcW w:w="8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3500" w:type="dxa"/>
            <w:vAlign w:val="bottom"/>
            <w:tcBorders>
              <w:right w:val="single" w:sz="8" w:color="999999"/>
            </w:tcBorders>
          </w:tcPr>
          <w:p>
            <w:pPr>
              <w:spacing w:after="0"/>
              <w:rPr>
                <w:sz w:val="3"/>
                <w:szCs w:val="3"/>
                <w:color w:val="auto"/>
              </w:rPr>
            </w:pPr>
          </w:p>
        </w:tc>
        <w:tc>
          <w:tcPr>
            <w:tcW w:w="5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7"/>
        </w:trPr>
        <w:tc>
          <w:tcPr>
            <w:tcW w:w="3500" w:type="dxa"/>
            <w:vAlign w:val="bottom"/>
            <w:tcBorders>
              <w:right w:val="single" w:sz="8" w:color="999999"/>
            </w:tcBorders>
            <w:vMerge w:val="restart"/>
            <w:shd w:val="clear" w:color="auto" w:fill="D8D8D8"/>
          </w:tcPr>
          <w:p>
            <w:pPr>
              <w:ind w:left="220"/>
              <w:spacing w:after="0"/>
              <w:rPr>
                <w:sz w:val="20"/>
                <w:szCs w:val="20"/>
                <w:color w:val="auto"/>
              </w:rPr>
            </w:pPr>
            <w:r>
              <w:rPr>
                <w:rFonts w:ascii="Arial" w:cs="Arial" w:eastAsia="Arial" w:hAnsi="Arial"/>
                <w:sz w:val="14"/>
                <w:szCs w:val="14"/>
                <w:b w:val="1"/>
                <w:bCs w:val="1"/>
                <w:color w:val="auto"/>
              </w:rPr>
              <w:t>EATON CORPORATION</w:t>
            </w:r>
          </w:p>
        </w:tc>
        <w:tc>
          <w:tcPr>
            <w:tcW w:w="540" w:type="dxa"/>
            <w:vAlign w:val="bottom"/>
            <w:vMerge w:val="restart"/>
            <w:shd w:val="clear" w:color="auto" w:fill="D8D8D8"/>
          </w:tcPr>
          <w:p>
            <w:pPr>
              <w:ind w:left="460"/>
              <w:spacing w:after="0"/>
              <w:rPr>
                <w:sz w:val="20"/>
                <w:szCs w:val="20"/>
                <w:color w:val="auto"/>
              </w:rPr>
            </w:pPr>
            <w:r>
              <w:rPr>
                <w:rFonts w:ascii="Arial" w:cs="Arial" w:eastAsia="Arial" w:hAnsi="Arial"/>
                <w:sz w:val="14"/>
                <w:szCs w:val="14"/>
                <w:color w:val="auto"/>
                <w:w w:val="76"/>
              </w:rPr>
              <w:t>$</w:t>
            </w:r>
          </w:p>
        </w:tc>
        <w:tc>
          <w:tcPr>
            <w:tcW w:w="880" w:type="dxa"/>
            <w:vAlign w:val="bottom"/>
            <w:vMerge w:val="restart"/>
            <w:shd w:val="clear" w:color="auto" w:fill="D8D8D8"/>
          </w:tcPr>
          <w:p>
            <w:pPr>
              <w:jc w:val="right"/>
              <w:ind w:right="368"/>
              <w:spacing w:after="0"/>
              <w:rPr>
                <w:sz w:val="20"/>
                <w:szCs w:val="20"/>
                <w:color w:val="auto"/>
              </w:rPr>
            </w:pPr>
            <w:r>
              <w:rPr>
                <w:rFonts w:ascii="Arial" w:cs="Arial" w:eastAsia="Arial" w:hAnsi="Arial"/>
                <w:sz w:val="14"/>
                <w:szCs w:val="14"/>
                <w:color w:val="auto"/>
                <w:w w:val="97"/>
              </w:rPr>
              <w:t>20,404</w:t>
            </w:r>
          </w:p>
        </w:tc>
        <w:tc>
          <w:tcPr>
            <w:tcW w:w="440" w:type="dxa"/>
            <w:vAlign w:val="bottom"/>
            <w:vMerge w:val="restart"/>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D8D8D8"/>
          </w:tcPr>
          <w:p>
            <w:pPr>
              <w:jc w:val="right"/>
              <w:ind w:right="168"/>
              <w:spacing w:after="0"/>
              <w:rPr>
                <w:sz w:val="20"/>
                <w:szCs w:val="20"/>
                <w:color w:val="auto"/>
              </w:rPr>
            </w:pPr>
            <w:r>
              <w:rPr>
                <w:rFonts w:ascii="Arial" w:cs="Arial" w:eastAsia="Arial" w:hAnsi="Arial"/>
                <w:sz w:val="14"/>
                <w:szCs w:val="14"/>
                <w:color w:val="auto"/>
              </w:rPr>
              <w:t>34,812</w:t>
            </w:r>
          </w:p>
        </w:tc>
        <w:tc>
          <w:tcPr>
            <w:tcW w:w="1180" w:type="dxa"/>
            <w:vAlign w:val="bottom"/>
            <w:shd w:val="clear" w:color="auto" w:fill="D8D8D8"/>
          </w:tcPr>
          <w:p>
            <w:pPr>
              <w:jc w:val="center"/>
              <w:ind w:left="88"/>
              <w:spacing w:after="0"/>
              <w:rPr>
                <w:sz w:val="20"/>
                <w:szCs w:val="20"/>
                <w:color w:val="auto"/>
              </w:rPr>
            </w:pPr>
            <w:r>
              <w:rPr>
                <w:rFonts w:ascii="Arial" w:cs="Arial" w:eastAsia="Arial" w:hAnsi="Arial"/>
                <w:sz w:val="14"/>
                <w:szCs w:val="14"/>
                <w:color w:val="auto"/>
              </w:rPr>
              <w:t>Electrical</w:t>
            </w:r>
          </w:p>
        </w:tc>
        <w:tc>
          <w:tcPr>
            <w:tcW w:w="1060" w:type="dxa"/>
            <w:vAlign w:val="bottom"/>
            <w:vMerge w:val="restart"/>
            <w:shd w:val="clear" w:color="auto" w:fill="D8D8D8"/>
          </w:tcPr>
          <w:p>
            <w:pPr>
              <w:jc w:val="right"/>
              <w:ind w:right="386"/>
              <w:spacing w:after="0" w:line="141" w:lineRule="exact"/>
              <w:rPr>
                <w:sz w:val="20"/>
                <w:szCs w:val="20"/>
                <w:color w:val="auto"/>
              </w:rPr>
            </w:pPr>
            <w:r>
              <w:rPr>
                <w:rFonts w:ascii="MS PGothic" w:cs="MS PGothic" w:eastAsia="MS PGothic" w:hAnsi="MS PGothic"/>
                <w:sz w:val="14"/>
                <w:szCs w:val="14"/>
                <w:color w:val="auto"/>
              </w:rPr>
              <w:t>✗</w:t>
            </w:r>
          </w:p>
        </w:tc>
        <w:tc>
          <w:tcPr>
            <w:tcW w:w="1160" w:type="dxa"/>
            <w:vAlign w:val="bottom"/>
            <w:vMerge w:val="restart"/>
            <w:shd w:val="clear" w:color="auto" w:fill="D8D8D8"/>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480" w:type="dxa"/>
            <w:vAlign w:val="bottom"/>
            <w:vMerge w:val="restart"/>
            <w:shd w:val="clear" w:color="auto" w:fill="D8D8D8"/>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07"/>
        </w:trPr>
        <w:tc>
          <w:tcPr>
            <w:tcW w:w="3500" w:type="dxa"/>
            <w:vAlign w:val="bottom"/>
            <w:tcBorders>
              <w:right w:val="single" w:sz="8" w:color="999999"/>
            </w:tcBorders>
            <w:vMerge w:val="continue"/>
            <w:shd w:val="clear" w:color="auto" w:fill="D8D8D8"/>
          </w:tcPr>
          <w:p>
            <w:pPr>
              <w:spacing w:after="0"/>
              <w:rPr>
                <w:sz w:val="9"/>
                <w:szCs w:val="9"/>
                <w:color w:val="auto"/>
              </w:rPr>
            </w:pPr>
          </w:p>
        </w:tc>
        <w:tc>
          <w:tcPr>
            <w:tcW w:w="540" w:type="dxa"/>
            <w:vAlign w:val="bottom"/>
            <w:vMerge w:val="continue"/>
            <w:shd w:val="clear" w:color="auto" w:fill="D8D8D8"/>
          </w:tcPr>
          <w:p>
            <w:pPr>
              <w:spacing w:after="0"/>
              <w:rPr>
                <w:sz w:val="9"/>
                <w:szCs w:val="9"/>
                <w:color w:val="auto"/>
              </w:rPr>
            </w:pPr>
          </w:p>
        </w:tc>
        <w:tc>
          <w:tcPr>
            <w:tcW w:w="880" w:type="dxa"/>
            <w:vAlign w:val="bottom"/>
            <w:vMerge w:val="continue"/>
            <w:shd w:val="clear" w:color="auto" w:fill="D8D8D8"/>
          </w:tcPr>
          <w:p>
            <w:pPr>
              <w:spacing w:after="0"/>
              <w:rPr>
                <w:sz w:val="9"/>
                <w:szCs w:val="9"/>
                <w:color w:val="auto"/>
              </w:rPr>
            </w:pPr>
          </w:p>
        </w:tc>
        <w:tc>
          <w:tcPr>
            <w:tcW w:w="440" w:type="dxa"/>
            <w:vAlign w:val="bottom"/>
            <w:vMerge w:val="continue"/>
            <w:shd w:val="clear" w:color="auto" w:fill="D8D8D8"/>
          </w:tcPr>
          <w:p>
            <w:pPr>
              <w:spacing w:after="0"/>
              <w:rPr>
                <w:sz w:val="9"/>
                <w:szCs w:val="9"/>
                <w:color w:val="auto"/>
              </w:rPr>
            </w:pPr>
          </w:p>
        </w:tc>
        <w:tc>
          <w:tcPr>
            <w:tcW w:w="760" w:type="dxa"/>
            <w:vAlign w:val="bottom"/>
            <w:vMerge w:val="continue"/>
            <w:shd w:val="clear" w:color="auto" w:fill="D8D8D8"/>
          </w:tcPr>
          <w:p>
            <w:pPr>
              <w:spacing w:after="0"/>
              <w:rPr>
                <w:sz w:val="9"/>
                <w:szCs w:val="9"/>
                <w:color w:val="auto"/>
              </w:rPr>
            </w:pPr>
          </w:p>
        </w:tc>
        <w:tc>
          <w:tcPr>
            <w:tcW w:w="1180" w:type="dxa"/>
            <w:vAlign w:val="bottom"/>
            <w:vMerge w:val="restart"/>
            <w:shd w:val="clear" w:color="auto" w:fill="D8D8D8"/>
          </w:tcPr>
          <w:p>
            <w:pPr>
              <w:jc w:val="center"/>
              <w:ind w:left="68"/>
              <w:spacing w:after="0"/>
              <w:rPr>
                <w:sz w:val="20"/>
                <w:szCs w:val="20"/>
                <w:color w:val="auto"/>
              </w:rPr>
            </w:pPr>
            <w:r>
              <w:rPr>
                <w:rFonts w:ascii="Arial" w:cs="Arial" w:eastAsia="Arial" w:hAnsi="Arial"/>
                <w:sz w:val="14"/>
                <w:szCs w:val="14"/>
                <w:color w:val="auto"/>
              </w:rPr>
              <w:t>Equipment</w:t>
            </w:r>
          </w:p>
        </w:tc>
        <w:tc>
          <w:tcPr>
            <w:tcW w:w="1060" w:type="dxa"/>
            <w:vAlign w:val="bottom"/>
            <w:vMerge w:val="continue"/>
            <w:shd w:val="clear" w:color="auto" w:fill="D8D8D8"/>
          </w:tcPr>
          <w:p>
            <w:pPr>
              <w:spacing w:after="0"/>
              <w:rPr>
                <w:sz w:val="9"/>
                <w:szCs w:val="9"/>
                <w:color w:val="auto"/>
              </w:rPr>
            </w:pPr>
          </w:p>
        </w:tc>
        <w:tc>
          <w:tcPr>
            <w:tcW w:w="1160" w:type="dxa"/>
            <w:vAlign w:val="bottom"/>
            <w:vMerge w:val="continue"/>
            <w:shd w:val="clear" w:color="auto" w:fill="D8D8D8"/>
          </w:tcPr>
          <w:p>
            <w:pPr>
              <w:spacing w:after="0"/>
              <w:rPr>
                <w:sz w:val="9"/>
                <w:szCs w:val="9"/>
                <w:color w:val="auto"/>
              </w:rPr>
            </w:pPr>
          </w:p>
        </w:tc>
        <w:tc>
          <w:tcPr>
            <w:tcW w:w="1480" w:type="dxa"/>
            <w:vAlign w:val="bottom"/>
            <w:vMerge w:val="continue"/>
            <w:shd w:val="clear" w:color="auto" w:fill="D8D8D8"/>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3500" w:type="dxa"/>
            <w:vAlign w:val="bottom"/>
            <w:tcBorders>
              <w:bottom w:val="single" w:sz="8" w:color="D8D8D8"/>
              <w:right w:val="single" w:sz="8" w:color="999999"/>
            </w:tcBorders>
            <w:shd w:val="clear" w:color="auto" w:fill="D8D8D8"/>
          </w:tcPr>
          <w:p>
            <w:pPr>
              <w:spacing w:after="0"/>
              <w:rPr>
                <w:sz w:val="7"/>
                <w:szCs w:val="7"/>
                <w:color w:val="auto"/>
              </w:rPr>
            </w:pPr>
          </w:p>
        </w:tc>
        <w:tc>
          <w:tcPr>
            <w:tcW w:w="540" w:type="dxa"/>
            <w:vAlign w:val="bottom"/>
            <w:tcBorders>
              <w:bottom w:val="single" w:sz="8" w:color="D8D8D8"/>
            </w:tcBorders>
            <w:shd w:val="clear" w:color="auto" w:fill="D8D8D8"/>
          </w:tcPr>
          <w:p>
            <w:pPr>
              <w:spacing w:after="0"/>
              <w:rPr>
                <w:sz w:val="7"/>
                <w:szCs w:val="7"/>
                <w:color w:val="auto"/>
              </w:rPr>
            </w:pPr>
          </w:p>
        </w:tc>
        <w:tc>
          <w:tcPr>
            <w:tcW w:w="880" w:type="dxa"/>
            <w:vAlign w:val="bottom"/>
            <w:tcBorders>
              <w:bottom w:val="single" w:sz="8" w:color="D8D8D8"/>
            </w:tcBorders>
            <w:shd w:val="clear" w:color="auto" w:fill="D8D8D8"/>
          </w:tcPr>
          <w:p>
            <w:pPr>
              <w:spacing w:after="0"/>
              <w:rPr>
                <w:sz w:val="7"/>
                <w:szCs w:val="7"/>
                <w:color w:val="auto"/>
              </w:rPr>
            </w:pPr>
          </w:p>
        </w:tc>
        <w:tc>
          <w:tcPr>
            <w:tcW w:w="440" w:type="dxa"/>
            <w:vAlign w:val="bottom"/>
            <w:tcBorders>
              <w:bottom w:val="single" w:sz="8" w:color="D8D8D8"/>
            </w:tcBorders>
            <w:shd w:val="clear" w:color="auto" w:fill="D8D8D8"/>
          </w:tcPr>
          <w:p>
            <w:pPr>
              <w:spacing w:after="0"/>
              <w:rPr>
                <w:sz w:val="7"/>
                <w:szCs w:val="7"/>
                <w:color w:val="auto"/>
              </w:rPr>
            </w:pPr>
          </w:p>
        </w:tc>
        <w:tc>
          <w:tcPr>
            <w:tcW w:w="760" w:type="dxa"/>
            <w:vAlign w:val="bottom"/>
            <w:tcBorders>
              <w:bottom w:val="single" w:sz="8" w:color="D8D8D8"/>
            </w:tcBorders>
            <w:shd w:val="clear" w:color="auto" w:fill="D8D8D8"/>
          </w:tcPr>
          <w:p>
            <w:pPr>
              <w:spacing w:after="0"/>
              <w:rPr>
                <w:sz w:val="7"/>
                <w:szCs w:val="7"/>
                <w:color w:val="auto"/>
              </w:rPr>
            </w:pPr>
          </w:p>
        </w:tc>
        <w:tc>
          <w:tcPr>
            <w:tcW w:w="1180" w:type="dxa"/>
            <w:vAlign w:val="bottom"/>
            <w:tcBorders>
              <w:bottom w:val="single" w:sz="8" w:color="D8D8D8"/>
            </w:tcBorders>
            <w:vMerge w:val="continue"/>
            <w:shd w:val="clear" w:color="auto" w:fill="D8D8D8"/>
          </w:tcPr>
          <w:p>
            <w:pPr>
              <w:spacing w:after="0"/>
              <w:rPr>
                <w:sz w:val="7"/>
                <w:szCs w:val="7"/>
                <w:color w:val="auto"/>
              </w:rPr>
            </w:pPr>
          </w:p>
        </w:tc>
        <w:tc>
          <w:tcPr>
            <w:tcW w:w="1060" w:type="dxa"/>
            <w:vAlign w:val="bottom"/>
            <w:tcBorders>
              <w:bottom w:val="single" w:sz="8" w:color="D8D8D8"/>
            </w:tcBorders>
            <w:shd w:val="clear" w:color="auto" w:fill="D8D8D8"/>
          </w:tcPr>
          <w:p>
            <w:pPr>
              <w:spacing w:after="0"/>
              <w:rPr>
                <w:sz w:val="7"/>
                <w:szCs w:val="7"/>
                <w:color w:val="auto"/>
              </w:rPr>
            </w:pPr>
          </w:p>
        </w:tc>
        <w:tc>
          <w:tcPr>
            <w:tcW w:w="1160" w:type="dxa"/>
            <w:vAlign w:val="bottom"/>
            <w:tcBorders>
              <w:bottom w:val="single" w:sz="8" w:color="D8D8D8"/>
            </w:tcBorders>
            <w:shd w:val="clear" w:color="auto" w:fill="D8D8D8"/>
          </w:tcPr>
          <w:p>
            <w:pPr>
              <w:spacing w:after="0"/>
              <w:rPr>
                <w:sz w:val="7"/>
                <w:szCs w:val="7"/>
                <w:color w:val="auto"/>
              </w:rPr>
            </w:pPr>
          </w:p>
        </w:tc>
        <w:tc>
          <w:tcPr>
            <w:tcW w:w="1480" w:type="dxa"/>
            <w:vAlign w:val="bottom"/>
            <w:tcBorders>
              <w:bottom w:val="single" w:sz="8" w:color="D8D8D8"/>
            </w:tcBorders>
            <w:shd w:val="clear" w:color="auto" w:fill="D8D8D8"/>
          </w:tcPr>
          <w:p>
            <w:pPr>
              <w:spacing w:after="0"/>
              <w:rPr>
                <w:sz w:val="7"/>
                <w:szCs w:val="7"/>
                <w:color w:val="auto"/>
              </w:rPr>
            </w:pPr>
          </w:p>
        </w:tc>
        <w:tc>
          <w:tcPr>
            <w:tcW w:w="0" w:type="dxa"/>
            <w:vAlign w:val="bottom"/>
          </w:tcPr>
          <w:p>
            <w:pPr>
              <w:spacing w:after="0"/>
              <w:rPr>
                <w:sz w:val="1"/>
                <w:szCs w:val="1"/>
                <w:color w:val="auto"/>
              </w:rPr>
            </w:pPr>
          </w:p>
        </w:tc>
      </w:tr>
      <w:tr>
        <w:trPr>
          <w:trHeight w:val="207"/>
        </w:trPr>
        <w:tc>
          <w:tcPr>
            <w:tcW w:w="3500" w:type="dxa"/>
            <w:vAlign w:val="bottom"/>
            <w:tcBorders>
              <w:right w:val="single" w:sz="8" w:color="999999"/>
            </w:tcBorders>
            <w:vMerge w:val="restart"/>
          </w:tcPr>
          <w:p>
            <w:pPr>
              <w:ind w:left="220"/>
              <w:spacing w:after="0"/>
              <w:rPr>
                <w:sz w:val="20"/>
                <w:szCs w:val="20"/>
                <w:color w:val="auto"/>
              </w:rPr>
            </w:pPr>
            <w:r>
              <w:rPr>
                <w:rFonts w:ascii="Arial" w:cs="Arial" w:eastAsia="Arial" w:hAnsi="Arial"/>
                <w:sz w:val="14"/>
                <w:szCs w:val="14"/>
                <w:b w:val="1"/>
                <w:bCs w:val="1"/>
                <w:color w:val="auto"/>
              </w:rPr>
              <w:t>EMERSON ELECTRIC CO.</w:t>
            </w:r>
          </w:p>
        </w:tc>
        <w:tc>
          <w:tcPr>
            <w:tcW w:w="540" w:type="dxa"/>
            <w:vAlign w:val="bottom"/>
            <w:vMerge w:val="restart"/>
          </w:tcPr>
          <w:p>
            <w:pPr>
              <w:ind w:left="460"/>
              <w:spacing w:after="0"/>
              <w:rPr>
                <w:sz w:val="20"/>
                <w:szCs w:val="20"/>
                <w:color w:val="auto"/>
              </w:rPr>
            </w:pPr>
            <w:r>
              <w:rPr>
                <w:rFonts w:ascii="Arial" w:cs="Arial" w:eastAsia="Arial" w:hAnsi="Arial"/>
                <w:sz w:val="14"/>
                <w:szCs w:val="14"/>
                <w:color w:val="auto"/>
                <w:w w:val="76"/>
              </w:rPr>
              <w:t>$</w:t>
            </w:r>
          </w:p>
        </w:tc>
        <w:tc>
          <w:tcPr>
            <w:tcW w:w="880" w:type="dxa"/>
            <w:vAlign w:val="bottom"/>
            <w:vMerge w:val="restart"/>
          </w:tcPr>
          <w:p>
            <w:pPr>
              <w:jc w:val="right"/>
              <w:ind w:right="368"/>
              <w:spacing w:after="0"/>
              <w:rPr>
                <w:sz w:val="20"/>
                <w:szCs w:val="20"/>
                <w:color w:val="auto"/>
              </w:rPr>
            </w:pPr>
            <w:r>
              <w:rPr>
                <w:rFonts w:ascii="Arial" w:cs="Arial" w:eastAsia="Arial" w:hAnsi="Arial"/>
                <w:sz w:val="14"/>
                <w:szCs w:val="14"/>
                <w:color w:val="auto"/>
                <w:w w:val="97"/>
              </w:rPr>
              <w:t>15,264</w:t>
            </w: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ind w:right="168"/>
              <w:spacing w:after="0"/>
              <w:rPr>
                <w:sz w:val="20"/>
                <w:szCs w:val="20"/>
                <w:color w:val="auto"/>
              </w:rPr>
            </w:pPr>
            <w:r>
              <w:rPr>
                <w:rFonts w:ascii="Arial" w:cs="Arial" w:eastAsia="Arial" w:hAnsi="Arial"/>
                <w:sz w:val="14"/>
                <w:szCs w:val="14"/>
                <w:color w:val="auto"/>
              </w:rPr>
              <w:t>44,507</w:t>
            </w:r>
          </w:p>
        </w:tc>
        <w:tc>
          <w:tcPr>
            <w:tcW w:w="1180" w:type="dxa"/>
            <w:vAlign w:val="bottom"/>
          </w:tcPr>
          <w:p>
            <w:pPr>
              <w:jc w:val="center"/>
              <w:ind w:left="88"/>
              <w:spacing w:after="0"/>
              <w:rPr>
                <w:sz w:val="20"/>
                <w:szCs w:val="20"/>
                <w:color w:val="auto"/>
              </w:rPr>
            </w:pPr>
            <w:r>
              <w:rPr>
                <w:rFonts w:ascii="Arial" w:cs="Arial" w:eastAsia="Arial" w:hAnsi="Arial"/>
                <w:sz w:val="14"/>
                <w:szCs w:val="14"/>
                <w:color w:val="auto"/>
              </w:rPr>
              <w:t>Electrical</w:t>
            </w:r>
          </w:p>
        </w:tc>
        <w:tc>
          <w:tcPr>
            <w:tcW w:w="1060" w:type="dxa"/>
            <w:vAlign w:val="bottom"/>
            <w:vMerge w:val="restart"/>
          </w:tcPr>
          <w:p>
            <w:pPr>
              <w:jc w:val="right"/>
              <w:ind w:right="386"/>
              <w:spacing w:after="0" w:line="141" w:lineRule="exact"/>
              <w:rPr>
                <w:sz w:val="20"/>
                <w:szCs w:val="20"/>
                <w:color w:val="auto"/>
              </w:rPr>
            </w:pPr>
            <w:r>
              <w:rPr>
                <w:rFonts w:ascii="MS PGothic" w:cs="MS PGothic" w:eastAsia="MS PGothic" w:hAnsi="MS PGothic"/>
                <w:sz w:val="14"/>
                <w:szCs w:val="14"/>
                <w:color w:val="auto"/>
              </w:rPr>
              <w:t>✗</w:t>
            </w:r>
          </w:p>
        </w:tc>
        <w:tc>
          <w:tcPr>
            <w:tcW w:w="116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48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07"/>
        </w:trPr>
        <w:tc>
          <w:tcPr>
            <w:tcW w:w="3500" w:type="dxa"/>
            <w:vAlign w:val="bottom"/>
            <w:tcBorders>
              <w:right w:val="single" w:sz="8" w:color="999999"/>
            </w:tcBorders>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1180" w:type="dxa"/>
            <w:vAlign w:val="bottom"/>
            <w:vMerge w:val="restart"/>
          </w:tcPr>
          <w:p>
            <w:pPr>
              <w:jc w:val="center"/>
              <w:ind w:left="68"/>
              <w:spacing w:after="0"/>
              <w:rPr>
                <w:sz w:val="20"/>
                <w:szCs w:val="20"/>
                <w:color w:val="auto"/>
              </w:rPr>
            </w:pPr>
            <w:r>
              <w:rPr>
                <w:rFonts w:ascii="Arial" w:cs="Arial" w:eastAsia="Arial" w:hAnsi="Arial"/>
                <w:sz w:val="14"/>
                <w:szCs w:val="14"/>
                <w:color w:val="auto"/>
              </w:rPr>
              <w:t>Equipment</w:t>
            </w:r>
          </w:p>
        </w:tc>
        <w:tc>
          <w:tcPr>
            <w:tcW w:w="106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5"/>
        </w:trPr>
        <w:tc>
          <w:tcPr>
            <w:tcW w:w="3500" w:type="dxa"/>
            <w:vAlign w:val="bottom"/>
            <w:tcBorders>
              <w:right w:val="single" w:sz="8" w:color="999999"/>
            </w:tcBorders>
          </w:tcPr>
          <w:p>
            <w:pPr>
              <w:spacing w:after="0"/>
              <w:rPr>
                <w:sz w:val="5"/>
                <w:szCs w:val="5"/>
                <w:color w:val="auto"/>
              </w:rPr>
            </w:pPr>
          </w:p>
        </w:tc>
        <w:tc>
          <w:tcPr>
            <w:tcW w:w="540" w:type="dxa"/>
            <w:vAlign w:val="bottom"/>
          </w:tcPr>
          <w:p>
            <w:pPr>
              <w:spacing w:after="0"/>
              <w:rPr>
                <w:sz w:val="5"/>
                <w:szCs w:val="5"/>
                <w:color w:val="auto"/>
              </w:rPr>
            </w:pPr>
          </w:p>
        </w:tc>
        <w:tc>
          <w:tcPr>
            <w:tcW w:w="8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3500" w:type="dxa"/>
            <w:vAlign w:val="bottom"/>
            <w:tcBorders>
              <w:right w:val="single" w:sz="8" w:color="999999"/>
            </w:tcBorders>
          </w:tcPr>
          <w:p>
            <w:pPr>
              <w:spacing w:after="0"/>
              <w:rPr>
                <w:sz w:val="3"/>
                <w:szCs w:val="3"/>
                <w:color w:val="auto"/>
              </w:rPr>
            </w:pPr>
          </w:p>
        </w:tc>
        <w:tc>
          <w:tcPr>
            <w:tcW w:w="5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6"/>
        </w:trPr>
        <w:tc>
          <w:tcPr>
            <w:tcW w:w="3500" w:type="dxa"/>
            <w:vAlign w:val="bottom"/>
            <w:tcBorders>
              <w:bottom w:val="single" w:sz="8" w:color="D8D8D8"/>
              <w:right w:val="single" w:sz="8" w:color="999999"/>
            </w:tcBorders>
            <w:shd w:val="clear" w:color="auto" w:fill="D8D8D8"/>
          </w:tcPr>
          <w:p>
            <w:pPr>
              <w:ind w:left="220"/>
              <w:spacing w:after="0"/>
              <w:rPr>
                <w:sz w:val="20"/>
                <w:szCs w:val="20"/>
                <w:color w:val="auto"/>
              </w:rPr>
            </w:pPr>
            <w:r>
              <w:rPr>
                <w:rFonts w:ascii="Arial" w:cs="Arial" w:eastAsia="Arial" w:hAnsi="Arial"/>
                <w:sz w:val="14"/>
                <w:szCs w:val="14"/>
                <w:b w:val="1"/>
                <w:bCs w:val="1"/>
                <w:color w:val="auto"/>
              </w:rPr>
              <w:t>FLOWSERVE CORPORATION</w:t>
            </w:r>
          </w:p>
        </w:tc>
        <w:tc>
          <w:tcPr>
            <w:tcW w:w="540" w:type="dxa"/>
            <w:vAlign w:val="bottom"/>
            <w:tcBorders>
              <w:bottom w:val="single" w:sz="8" w:color="D8D8D8"/>
            </w:tcBorders>
            <w:shd w:val="clear" w:color="auto" w:fill="D8D8D8"/>
          </w:tcPr>
          <w:p>
            <w:pPr>
              <w:ind w:left="460"/>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D8D8D8"/>
            </w:tcBorders>
            <w:shd w:val="clear" w:color="auto" w:fill="D8D8D8"/>
          </w:tcPr>
          <w:p>
            <w:pPr>
              <w:jc w:val="right"/>
              <w:ind w:right="368"/>
              <w:spacing w:after="0"/>
              <w:rPr>
                <w:sz w:val="20"/>
                <w:szCs w:val="20"/>
                <w:color w:val="auto"/>
              </w:rPr>
            </w:pPr>
            <w:r>
              <w:rPr>
                <w:rFonts w:ascii="Arial" w:cs="Arial" w:eastAsia="Arial" w:hAnsi="Arial"/>
                <w:sz w:val="14"/>
                <w:szCs w:val="14"/>
                <w:color w:val="auto"/>
              </w:rPr>
              <w:t>3,661</w:t>
            </w:r>
          </w:p>
        </w:tc>
        <w:tc>
          <w:tcPr>
            <w:tcW w:w="440" w:type="dxa"/>
            <w:vAlign w:val="bottom"/>
            <w:tcBorders>
              <w:bottom w:val="single" w:sz="8" w:color="D8D8D8"/>
            </w:tcBorders>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D8D8D8"/>
            </w:tcBorders>
            <w:shd w:val="clear" w:color="auto" w:fill="D8D8D8"/>
          </w:tcPr>
          <w:p>
            <w:pPr>
              <w:jc w:val="right"/>
              <w:ind w:right="168"/>
              <w:spacing w:after="0"/>
              <w:rPr>
                <w:sz w:val="20"/>
                <w:szCs w:val="20"/>
                <w:color w:val="auto"/>
              </w:rPr>
            </w:pPr>
            <w:r>
              <w:rPr>
                <w:rFonts w:ascii="Arial" w:cs="Arial" w:eastAsia="Arial" w:hAnsi="Arial"/>
                <w:sz w:val="14"/>
                <w:szCs w:val="14"/>
                <w:color w:val="auto"/>
              </w:rPr>
              <w:t>5,504</w:t>
            </w:r>
          </w:p>
        </w:tc>
        <w:tc>
          <w:tcPr>
            <w:tcW w:w="1180" w:type="dxa"/>
            <w:vAlign w:val="bottom"/>
            <w:tcBorders>
              <w:bottom w:val="single" w:sz="8" w:color="D8D8D8"/>
            </w:tcBorders>
            <w:shd w:val="clear" w:color="auto" w:fill="D8D8D8"/>
          </w:tcPr>
          <w:p>
            <w:pPr>
              <w:jc w:val="center"/>
              <w:ind w:left="88"/>
              <w:spacing w:after="0"/>
              <w:rPr>
                <w:sz w:val="20"/>
                <w:szCs w:val="20"/>
                <w:color w:val="auto"/>
              </w:rPr>
            </w:pPr>
            <w:r>
              <w:rPr>
                <w:rFonts w:ascii="Arial" w:cs="Arial" w:eastAsia="Arial" w:hAnsi="Arial"/>
                <w:sz w:val="14"/>
                <w:szCs w:val="14"/>
                <w:color w:val="auto"/>
              </w:rPr>
              <w:t>Machinery</w:t>
            </w:r>
          </w:p>
        </w:tc>
        <w:tc>
          <w:tcPr>
            <w:tcW w:w="1060" w:type="dxa"/>
            <w:vAlign w:val="bottom"/>
            <w:tcBorders>
              <w:bottom w:val="single" w:sz="8" w:color="D8D8D8"/>
            </w:tcBorders>
            <w:shd w:val="clear" w:color="auto" w:fill="D8D8D8"/>
          </w:tcPr>
          <w:p>
            <w:pPr>
              <w:jc w:val="right"/>
              <w:ind w:right="386"/>
              <w:spacing w:after="0" w:line="141" w:lineRule="exact"/>
              <w:rPr>
                <w:sz w:val="20"/>
                <w:szCs w:val="20"/>
                <w:color w:val="auto"/>
              </w:rPr>
            </w:pPr>
            <w:r>
              <w:rPr>
                <w:rFonts w:ascii="MS PGothic" w:cs="MS PGothic" w:eastAsia="MS PGothic" w:hAnsi="MS PGothic"/>
                <w:sz w:val="14"/>
                <w:szCs w:val="14"/>
                <w:color w:val="auto"/>
              </w:rPr>
              <w:t>✗</w:t>
            </w:r>
          </w:p>
        </w:tc>
        <w:tc>
          <w:tcPr>
            <w:tcW w:w="1160" w:type="dxa"/>
            <w:vAlign w:val="bottom"/>
            <w:tcBorders>
              <w:bottom w:val="single" w:sz="8" w:color="D8D8D8"/>
            </w:tcBorders>
            <w:shd w:val="clear" w:color="auto" w:fill="D8D8D8"/>
          </w:tcPr>
          <w:p>
            <w:pPr>
              <w:spacing w:after="0"/>
              <w:rPr>
                <w:sz w:val="20"/>
                <w:szCs w:val="20"/>
                <w:color w:val="auto"/>
              </w:rPr>
            </w:pPr>
          </w:p>
        </w:tc>
        <w:tc>
          <w:tcPr>
            <w:tcW w:w="1480" w:type="dxa"/>
            <w:vAlign w:val="bottom"/>
            <w:tcBorders>
              <w:bottom w:val="single" w:sz="8" w:color="D8D8D8"/>
            </w:tcBorders>
            <w:shd w:val="clear" w:color="auto" w:fill="D8D8D8"/>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207"/>
        </w:trPr>
        <w:tc>
          <w:tcPr>
            <w:tcW w:w="3500" w:type="dxa"/>
            <w:vAlign w:val="bottom"/>
            <w:tcBorders>
              <w:right w:val="single" w:sz="8" w:color="999999"/>
            </w:tcBorders>
            <w:vMerge w:val="restart"/>
          </w:tcPr>
          <w:p>
            <w:pPr>
              <w:ind w:left="220"/>
              <w:spacing w:after="0"/>
              <w:rPr>
                <w:sz w:val="20"/>
                <w:szCs w:val="20"/>
                <w:color w:val="auto"/>
              </w:rPr>
            </w:pPr>
            <w:r>
              <w:rPr>
                <w:rFonts w:ascii="Arial" w:cs="Arial" w:eastAsia="Arial" w:hAnsi="Arial"/>
                <w:sz w:val="14"/>
                <w:szCs w:val="14"/>
                <w:b w:val="1"/>
                <w:bCs w:val="1"/>
                <w:color w:val="auto"/>
              </w:rPr>
              <w:t>FORTIVE CORPORATION</w:t>
            </w:r>
          </w:p>
        </w:tc>
        <w:tc>
          <w:tcPr>
            <w:tcW w:w="540" w:type="dxa"/>
            <w:vAlign w:val="bottom"/>
            <w:vMerge w:val="restart"/>
          </w:tcPr>
          <w:p>
            <w:pPr>
              <w:ind w:left="460"/>
              <w:spacing w:after="0"/>
              <w:rPr>
                <w:sz w:val="20"/>
                <w:szCs w:val="20"/>
                <w:color w:val="auto"/>
              </w:rPr>
            </w:pPr>
            <w:r>
              <w:rPr>
                <w:rFonts w:ascii="Arial" w:cs="Arial" w:eastAsia="Arial" w:hAnsi="Arial"/>
                <w:sz w:val="14"/>
                <w:szCs w:val="14"/>
                <w:color w:val="auto"/>
                <w:w w:val="76"/>
              </w:rPr>
              <w:t>$</w:t>
            </w:r>
          </w:p>
        </w:tc>
        <w:tc>
          <w:tcPr>
            <w:tcW w:w="880" w:type="dxa"/>
            <w:vAlign w:val="bottom"/>
            <w:vMerge w:val="restart"/>
          </w:tcPr>
          <w:p>
            <w:pPr>
              <w:jc w:val="right"/>
              <w:ind w:right="368"/>
              <w:spacing w:after="0"/>
              <w:rPr>
                <w:sz w:val="20"/>
                <w:szCs w:val="20"/>
                <w:color w:val="auto"/>
              </w:rPr>
            </w:pPr>
            <w:r>
              <w:rPr>
                <w:rFonts w:ascii="Arial" w:cs="Arial" w:eastAsia="Arial" w:hAnsi="Arial"/>
                <w:sz w:val="14"/>
                <w:szCs w:val="14"/>
                <w:color w:val="auto"/>
              </w:rPr>
              <w:t>6,656</w:t>
            </w: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ind w:right="168"/>
              <w:spacing w:after="0"/>
              <w:rPr>
                <w:sz w:val="20"/>
                <w:szCs w:val="20"/>
                <w:color w:val="auto"/>
              </w:rPr>
            </w:pPr>
            <w:r>
              <w:rPr>
                <w:rFonts w:ascii="Arial" w:cs="Arial" w:eastAsia="Arial" w:hAnsi="Arial"/>
                <w:sz w:val="14"/>
                <w:szCs w:val="14"/>
                <w:color w:val="auto"/>
              </w:rPr>
              <w:t>25,146</w:t>
            </w:r>
          </w:p>
        </w:tc>
        <w:tc>
          <w:tcPr>
            <w:tcW w:w="1180" w:type="dxa"/>
            <w:vAlign w:val="bottom"/>
          </w:tcPr>
          <w:p>
            <w:pPr>
              <w:jc w:val="center"/>
              <w:ind w:left="88"/>
              <w:spacing w:after="0"/>
              <w:rPr>
                <w:sz w:val="20"/>
                <w:szCs w:val="20"/>
                <w:color w:val="auto"/>
              </w:rPr>
            </w:pPr>
            <w:r>
              <w:rPr>
                <w:rFonts w:ascii="Arial" w:cs="Arial" w:eastAsia="Arial" w:hAnsi="Arial"/>
                <w:sz w:val="14"/>
                <w:szCs w:val="14"/>
                <w:color w:val="auto"/>
              </w:rPr>
              <w:t>Industrial</w:t>
            </w:r>
          </w:p>
        </w:tc>
        <w:tc>
          <w:tcPr>
            <w:tcW w:w="1060" w:type="dxa"/>
            <w:vAlign w:val="bottom"/>
            <w:vMerge w:val="restart"/>
          </w:tcPr>
          <w:p>
            <w:pPr>
              <w:jc w:val="right"/>
              <w:ind w:right="386"/>
              <w:spacing w:after="0" w:line="141" w:lineRule="exact"/>
              <w:rPr>
                <w:sz w:val="20"/>
                <w:szCs w:val="20"/>
                <w:color w:val="auto"/>
              </w:rPr>
            </w:pPr>
            <w:r>
              <w:rPr>
                <w:rFonts w:ascii="MS PGothic" w:cs="MS PGothic" w:eastAsia="MS PGothic" w:hAnsi="MS PGothic"/>
                <w:sz w:val="14"/>
                <w:szCs w:val="14"/>
                <w:color w:val="auto"/>
              </w:rPr>
              <w:t>✗</w:t>
            </w:r>
          </w:p>
        </w:tc>
        <w:tc>
          <w:tcPr>
            <w:tcW w:w="116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48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07"/>
        </w:trPr>
        <w:tc>
          <w:tcPr>
            <w:tcW w:w="3500" w:type="dxa"/>
            <w:vAlign w:val="bottom"/>
            <w:tcBorders>
              <w:right w:val="single" w:sz="8" w:color="999999"/>
            </w:tcBorders>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1180" w:type="dxa"/>
            <w:vAlign w:val="bottom"/>
            <w:vMerge w:val="restart"/>
          </w:tcPr>
          <w:p>
            <w:pPr>
              <w:jc w:val="center"/>
              <w:ind w:left="88"/>
              <w:spacing w:after="0"/>
              <w:rPr>
                <w:sz w:val="20"/>
                <w:szCs w:val="20"/>
                <w:color w:val="auto"/>
              </w:rPr>
            </w:pPr>
            <w:r>
              <w:rPr>
                <w:rFonts w:ascii="Arial" w:cs="Arial" w:eastAsia="Arial" w:hAnsi="Arial"/>
                <w:sz w:val="14"/>
                <w:szCs w:val="14"/>
                <w:color w:val="auto"/>
              </w:rPr>
              <w:t>Machinery</w:t>
            </w:r>
          </w:p>
        </w:tc>
        <w:tc>
          <w:tcPr>
            <w:tcW w:w="106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5"/>
        </w:trPr>
        <w:tc>
          <w:tcPr>
            <w:tcW w:w="3500" w:type="dxa"/>
            <w:vAlign w:val="bottom"/>
            <w:tcBorders>
              <w:right w:val="single" w:sz="8" w:color="999999"/>
            </w:tcBorders>
          </w:tcPr>
          <w:p>
            <w:pPr>
              <w:spacing w:after="0"/>
              <w:rPr>
                <w:sz w:val="5"/>
                <w:szCs w:val="5"/>
                <w:color w:val="auto"/>
              </w:rPr>
            </w:pPr>
          </w:p>
        </w:tc>
        <w:tc>
          <w:tcPr>
            <w:tcW w:w="540" w:type="dxa"/>
            <w:vAlign w:val="bottom"/>
          </w:tcPr>
          <w:p>
            <w:pPr>
              <w:spacing w:after="0"/>
              <w:rPr>
                <w:sz w:val="5"/>
                <w:szCs w:val="5"/>
                <w:color w:val="auto"/>
              </w:rPr>
            </w:pPr>
          </w:p>
        </w:tc>
        <w:tc>
          <w:tcPr>
            <w:tcW w:w="8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3500" w:type="dxa"/>
            <w:vAlign w:val="bottom"/>
            <w:tcBorders>
              <w:right w:val="single" w:sz="8" w:color="999999"/>
            </w:tcBorders>
          </w:tcPr>
          <w:p>
            <w:pPr>
              <w:spacing w:after="0"/>
              <w:rPr>
                <w:sz w:val="3"/>
                <w:szCs w:val="3"/>
                <w:color w:val="auto"/>
              </w:rPr>
            </w:pPr>
          </w:p>
        </w:tc>
        <w:tc>
          <w:tcPr>
            <w:tcW w:w="5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6"/>
        </w:trPr>
        <w:tc>
          <w:tcPr>
            <w:tcW w:w="3500" w:type="dxa"/>
            <w:vAlign w:val="bottom"/>
            <w:tcBorders>
              <w:bottom w:val="single" w:sz="8" w:color="D8D8D8"/>
              <w:right w:val="single" w:sz="8" w:color="999999"/>
            </w:tcBorders>
            <w:shd w:val="clear" w:color="auto" w:fill="D8D8D8"/>
          </w:tcPr>
          <w:p>
            <w:pPr>
              <w:ind w:left="220"/>
              <w:spacing w:after="0"/>
              <w:rPr>
                <w:sz w:val="20"/>
                <w:szCs w:val="20"/>
                <w:color w:val="auto"/>
              </w:rPr>
            </w:pPr>
            <w:r>
              <w:rPr>
                <w:rFonts w:ascii="Arial" w:cs="Arial" w:eastAsia="Arial" w:hAnsi="Arial"/>
                <w:sz w:val="14"/>
                <w:szCs w:val="14"/>
                <w:b w:val="1"/>
                <w:bCs w:val="1"/>
                <w:color w:val="auto"/>
              </w:rPr>
              <w:t>ILLINOIS TOOL WORKS INC.</w:t>
            </w:r>
          </w:p>
        </w:tc>
        <w:tc>
          <w:tcPr>
            <w:tcW w:w="540" w:type="dxa"/>
            <w:vAlign w:val="bottom"/>
            <w:tcBorders>
              <w:bottom w:val="single" w:sz="8" w:color="D8D8D8"/>
            </w:tcBorders>
            <w:shd w:val="clear" w:color="auto" w:fill="D8D8D8"/>
          </w:tcPr>
          <w:p>
            <w:pPr>
              <w:ind w:left="460"/>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D8D8D8"/>
            </w:tcBorders>
            <w:shd w:val="clear" w:color="auto" w:fill="D8D8D8"/>
          </w:tcPr>
          <w:p>
            <w:pPr>
              <w:jc w:val="right"/>
              <w:ind w:right="368"/>
              <w:spacing w:after="0"/>
              <w:rPr>
                <w:sz w:val="20"/>
                <w:szCs w:val="20"/>
                <w:color w:val="auto"/>
              </w:rPr>
            </w:pPr>
            <w:r>
              <w:rPr>
                <w:rFonts w:ascii="Arial" w:cs="Arial" w:eastAsia="Arial" w:hAnsi="Arial"/>
                <w:sz w:val="14"/>
                <w:szCs w:val="14"/>
                <w:color w:val="auto"/>
                <w:w w:val="97"/>
              </w:rPr>
              <w:t>14,314</w:t>
            </w:r>
          </w:p>
        </w:tc>
        <w:tc>
          <w:tcPr>
            <w:tcW w:w="440" w:type="dxa"/>
            <w:vAlign w:val="bottom"/>
            <w:tcBorders>
              <w:bottom w:val="single" w:sz="8" w:color="D8D8D8"/>
            </w:tcBorders>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D8D8D8"/>
            </w:tcBorders>
            <w:shd w:val="clear" w:color="auto" w:fill="D8D8D8"/>
          </w:tcPr>
          <w:p>
            <w:pPr>
              <w:jc w:val="right"/>
              <w:ind w:right="168"/>
              <w:spacing w:after="0"/>
              <w:rPr>
                <w:sz w:val="20"/>
                <w:szCs w:val="20"/>
                <w:color w:val="auto"/>
              </w:rPr>
            </w:pPr>
            <w:r>
              <w:rPr>
                <w:rFonts w:ascii="Arial" w:cs="Arial" w:eastAsia="Arial" w:hAnsi="Arial"/>
                <w:sz w:val="14"/>
                <w:szCs w:val="14"/>
                <w:color w:val="auto"/>
              </w:rPr>
              <w:t>57,163</w:t>
            </w:r>
          </w:p>
        </w:tc>
        <w:tc>
          <w:tcPr>
            <w:tcW w:w="1180" w:type="dxa"/>
            <w:vAlign w:val="bottom"/>
            <w:tcBorders>
              <w:bottom w:val="single" w:sz="8" w:color="D8D8D8"/>
            </w:tcBorders>
            <w:shd w:val="clear" w:color="auto" w:fill="D8D8D8"/>
          </w:tcPr>
          <w:p>
            <w:pPr>
              <w:jc w:val="center"/>
              <w:ind w:left="88"/>
              <w:spacing w:after="0"/>
              <w:rPr>
                <w:sz w:val="20"/>
                <w:szCs w:val="20"/>
                <w:color w:val="auto"/>
              </w:rPr>
            </w:pPr>
            <w:r>
              <w:rPr>
                <w:rFonts w:ascii="Arial" w:cs="Arial" w:eastAsia="Arial" w:hAnsi="Arial"/>
                <w:sz w:val="14"/>
                <w:szCs w:val="14"/>
                <w:color w:val="auto"/>
              </w:rPr>
              <w:t>Machinery</w:t>
            </w:r>
          </w:p>
        </w:tc>
        <w:tc>
          <w:tcPr>
            <w:tcW w:w="1060" w:type="dxa"/>
            <w:vAlign w:val="bottom"/>
            <w:tcBorders>
              <w:bottom w:val="single" w:sz="8" w:color="D8D8D8"/>
            </w:tcBorders>
            <w:shd w:val="clear" w:color="auto" w:fill="D8D8D8"/>
          </w:tcPr>
          <w:p>
            <w:pPr>
              <w:jc w:val="right"/>
              <w:ind w:right="386"/>
              <w:spacing w:after="0" w:line="141" w:lineRule="exact"/>
              <w:rPr>
                <w:sz w:val="20"/>
                <w:szCs w:val="20"/>
                <w:color w:val="auto"/>
              </w:rPr>
            </w:pPr>
            <w:r>
              <w:rPr>
                <w:rFonts w:ascii="MS PGothic" w:cs="MS PGothic" w:eastAsia="MS PGothic" w:hAnsi="MS PGothic"/>
                <w:sz w:val="14"/>
                <w:szCs w:val="14"/>
                <w:color w:val="auto"/>
              </w:rPr>
              <w:t>✗</w:t>
            </w:r>
          </w:p>
        </w:tc>
        <w:tc>
          <w:tcPr>
            <w:tcW w:w="1160" w:type="dxa"/>
            <w:vAlign w:val="bottom"/>
            <w:tcBorders>
              <w:bottom w:val="single" w:sz="8" w:color="D8D8D8"/>
            </w:tcBorders>
            <w:shd w:val="clear" w:color="auto" w:fill="D8D8D8"/>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480" w:type="dxa"/>
            <w:vAlign w:val="bottom"/>
            <w:tcBorders>
              <w:bottom w:val="single" w:sz="8" w:color="D8D8D8"/>
            </w:tcBorders>
            <w:shd w:val="clear" w:color="auto" w:fill="D8D8D8"/>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233"/>
        </w:trPr>
        <w:tc>
          <w:tcPr>
            <w:tcW w:w="3500" w:type="dxa"/>
            <w:vAlign w:val="bottom"/>
            <w:tcBorders>
              <w:right w:val="single" w:sz="8" w:color="999999"/>
            </w:tcBorders>
          </w:tcPr>
          <w:p>
            <w:pPr>
              <w:ind w:left="220"/>
              <w:spacing w:after="0"/>
              <w:rPr>
                <w:sz w:val="20"/>
                <w:szCs w:val="20"/>
                <w:color w:val="auto"/>
              </w:rPr>
            </w:pPr>
            <w:r>
              <w:rPr>
                <w:rFonts w:ascii="Arial" w:cs="Arial" w:eastAsia="Arial" w:hAnsi="Arial"/>
                <w:sz w:val="14"/>
                <w:szCs w:val="14"/>
                <w:b w:val="1"/>
                <w:bCs w:val="1"/>
                <w:color w:val="auto"/>
              </w:rPr>
              <w:t>INGERSOLL-RAND PLC</w:t>
            </w:r>
          </w:p>
        </w:tc>
        <w:tc>
          <w:tcPr>
            <w:tcW w:w="540" w:type="dxa"/>
            <w:vAlign w:val="bottom"/>
          </w:tcPr>
          <w:p>
            <w:pPr>
              <w:ind w:left="460"/>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368"/>
              <w:spacing w:after="0"/>
              <w:rPr>
                <w:sz w:val="20"/>
                <w:szCs w:val="20"/>
                <w:color w:val="auto"/>
              </w:rPr>
            </w:pPr>
            <w:r>
              <w:rPr>
                <w:rFonts w:ascii="Arial" w:cs="Arial" w:eastAsia="Arial" w:hAnsi="Arial"/>
                <w:sz w:val="14"/>
                <w:szCs w:val="14"/>
                <w:color w:val="auto"/>
                <w:w w:val="97"/>
              </w:rPr>
              <w:t>14,198</w:t>
            </w: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68"/>
              <w:spacing w:after="0"/>
              <w:rPr>
                <w:sz w:val="20"/>
                <w:szCs w:val="20"/>
                <w:color w:val="auto"/>
              </w:rPr>
            </w:pPr>
            <w:r>
              <w:rPr>
                <w:rFonts w:ascii="Arial" w:cs="Arial" w:eastAsia="Arial" w:hAnsi="Arial"/>
                <w:sz w:val="14"/>
                <w:szCs w:val="14"/>
                <w:color w:val="auto"/>
              </w:rPr>
              <w:t>22,286</w:t>
            </w:r>
          </w:p>
        </w:tc>
        <w:tc>
          <w:tcPr>
            <w:tcW w:w="1180" w:type="dxa"/>
            <w:vAlign w:val="bottom"/>
          </w:tcPr>
          <w:p>
            <w:pPr>
              <w:jc w:val="center"/>
              <w:ind w:left="88"/>
              <w:spacing w:after="0"/>
              <w:rPr>
                <w:sz w:val="20"/>
                <w:szCs w:val="20"/>
                <w:color w:val="auto"/>
              </w:rPr>
            </w:pPr>
            <w:r>
              <w:rPr>
                <w:rFonts w:ascii="Arial" w:cs="Arial" w:eastAsia="Arial" w:hAnsi="Arial"/>
                <w:sz w:val="14"/>
                <w:szCs w:val="14"/>
                <w:color w:val="auto"/>
              </w:rPr>
              <w:t>Machinery</w:t>
            </w:r>
          </w:p>
        </w:tc>
        <w:tc>
          <w:tcPr>
            <w:tcW w:w="1060" w:type="dxa"/>
            <w:vAlign w:val="bottom"/>
          </w:tcPr>
          <w:p>
            <w:pPr>
              <w:jc w:val="right"/>
              <w:ind w:right="386"/>
              <w:spacing w:after="0" w:line="141" w:lineRule="exact"/>
              <w:rPr>
                <w:sz w:val="20"/>
                <w:szCs w:val="20"/>
                <w:color w:val="auto"/>
              </w:rPr>
            </w:pPr>
            <w:r>
              <w:rPr>
                <w:rFonts w:ascii="MS PGothic" w:cs="MS PGothic" w:eastAsia="MS PGothic" w:hAnsi="MS PGothic"/>
                <w:sz w:val="14"/>
                <w:szCs w:val="14"/>
                <w:color w:val="auto"/>
              </w:rPr>
              <w:t>✗</w:t>
            </w:r>
          </w:p>
        </w:tc>
        <w:tc>
          <w:tcPr>
            <w:tcW w:w="11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4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23"/>
        </w:trPr>
        <w:tc>
          <w:tcPr>
            <w:tcW w:w="3500" w:type="dxa"/>
            <w:vAlign w:val="bottom"/>
            <w:tcBorders>
              <w:right w:val="single" w:sz="8" w:color="999999"/>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500" w:type="dxa"/>
            <w:vAlign w:val="bottom"/>
            <w:tcBorders>
              <w:bottom w:val="single" w:sz="8" w:color="D8D8D8"/>
              <w:right w:val="single" w:sz="8" w:color="999999"/>
            </w:tcBorders>
            <w:shd w:val="clear" w:color="auto" w:fill="D8D8D8"/>
          </w:tcPr>
          <w:p>
            <w:pPr>
              <w:ind w:left="220"/>
              <w:spacing w:after="0"/>
              <w:rPr>
                <w:sz w:val="20"/>
                <w:szCs w:val="20"/>
                <w:color w:val="auto"/>
              </w:rPr>
            </w:pPr>
            <w:r>
              <w:rPr>
                <w:rFonts w:ascii="Arial" w:cs="Arial" w:eastAsia="Arial" w:hAnsi="Arial"/>
                <w:sz w:val="14"/>
                <w:szCs w:val="14"/>
                <w:b w:val="1"/>
                <w:bCs w:val="1"/>
                <w:color w:val="auto"/>
              </w:rPr>
              <w:t>PARKER-HANNIFIN CORPORATION</w:t>
            </w:r>
          </w:p>
        </w:tc>
        <w:tc>
          <w:tcPr>
            <w:tcW w:w="540" w:type="dxa"/>
            <w:vAlign w:val="bottom"/>
            <w:tcBorders>
              <w:bottom w:val="single" w:sz="8" w:color="D8D8D8"/>
            </w:tcBorders>
            <w:shd w:val="clear" w:color="auto" w:fill="D8D8D8"/>
          </w:tcPr>
          <w:p>
            <w:pPr>
              <w:ind w:left="460"/>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D8D8D8"/>
            </w:tcBorders>
            <w:shd w:val="clear" w:color="auto" w:fill="D8D8D8"/>
          </w:tcPr>
          <w:p>
            <w:pPr>
              <w:jc w:val="right"/>
              <w:ind w:right="368"/>
              <w:spacing w:after="0"/>
              <w:rPr>
                <w:sz w:val="20"/>
                <w:szCs w:val="20"/>
                <w:color w:val="auto"/>
              </w:rPr>
            </w:pPr>
            <w:r>
              <w:rPr>
                <w:rFonts w:ascii="Arial" w:cs="Arial" w:eastAsia="Arial" w:hAnsi="Arial"/>
                <w:sz w:val="14"/>
                <w:szCs w:val="14"/>
                <w:color w:val="auto"/>
                <w:w w:val="97"/>
              </w:rPr>
              <w:t>12,029</w:t>
            </w:r>
          </w:p>
        </w:tc>
        <w:tc>
          <w:tcPr>
            <w:tcW w:w="440" w:type="dxa"/>
            <w:vAlign w:val="bottom"/>
            <w:tcBorders>
              <w:bottom w:val="single" w:sz="8" w:color="D8D8D8"/>
            </w:tcBorders>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D8D8D8"/>
            </w:tcBorders>
            <w:shd w:val="clear" w:color="auto" w:fill="D8D8D8"/>
          </w:tcPr>
          <w:p>
            <w:pPr>
              <w:jc w:val="right"/>
              <w:ind w:right="168"/>
              <w:spacing w:after="0"/>
              <w:rPr>
                <w:sz w:val="20"/>
                <w:szCs w:val="20"/>
                <w:color w:val="auto"/>
              </w:rPr>
            </w:pPr>
            <w:r>
              <w:rPr>
                <w:rFonts w:ascii="Arial" w:cs="Arial" w:eastAsia="Arial" w:hAnsi="Arial"/>
                <w:sz w:val="14"/>
                <w:szCs w:val="14"/>
                <w:color w:val="auto"/>
              </w:rPr>
              <w:t>26,589</w:t>
            </w:r>
          </w:p>
        </w:tc>
        <w:tc>
          <w:tcPr>
            <w:tcW w:w="1180" w:type="dxa"/>
            <w:vAlign w:val="bottom"/>
            <w:tcBorders>
              <w:bottom w:val="single" w:sz="8" w:color="D8D8D8"/>
            </w:tcBorders>
            <w:shd w:val="clear" w:color="auto" w:fill="D8D8D8"/>
          </w:tcPr>
          <w:p>
            <w:pPr>
              <w:jc w:val="center"/>
              <w:ind w:left="88"/>
              <w:spacing w:after="0"/>
              <w:rPr>
                <w:sz w:val="20"/>
                <w:szCs w:val="20"/>
                <w:color w:val="auto"/>
              </w:rPr>
            </w:pPr>
            <w:r>
              <w:rPr>
                <w:rFonts w:ascii="Arial" w:cs="Arial" w:eastAsia="Arial" w:hAnsi="Arial"/>
                <w:sz w:val="14"/>
                <w:szCs w:val="14"/>
                <w:color w:val="auto"/>
              </w:rPr>
              <w:t>Machinery</w:t>
            </w:r>
          </w:p>
        </w:tc>
        <w:tc>
          <w:tcPr>
            <w:tcW w:w="1060" w:type="dxa"/>
            <w:vAlign w:val="bottom"/>
            <w:tcBorders>
              <w:bottom w:val="single" w:sz="8" w:color="D8D8D8"/>
            </w:tcBorders>
            <w:shd w:val="clear" w:color="auto" w:fill="D8D8D8"/>
          </w:tcPr>
          <w:p>
            <w:pPr>
              <w:jc w:val="right"/>
              <w:ind w:right="386"/>
              <w:spacing w:after="0" w:line="141" w:lineRule="exact"/>
              <w:rPr>
                <w:sz w:val="20"/>
                <w:szCs w:val="20"/>
                <w:color w:val="auto"/>
              </w:rPr>
            </w:pPr>
            <w:r>
              <w:rPr>
                <w:rFonts w:ascii="MS PGothic" w:cs="MS PGothic" w:eastAsia="MS PGothic" w:hAnsi="MS PGothic"/>
                <w:sz w:val="14"/>
                <w:szCs w:val="14"/>
                <w:color w:val="auto"/>
              </w:rPr>
              <w:t>✗</w:t>
            </w:r>
          </w:p>
        </w:tc>
        <w:tc>
          <w:tcPr>
            <w:tcW w:w="1160" w:type="dxa"/>
            <w:vAlign w:val="bottom"/>
            <w:tcBorders>
              <w:bottom w:val="single" w:sz="8" w:color="D8D8D8"/>
            </w:tcBorders>
            <w:shd w:val="clear" w:color="auto" w:fill="D8D8D8"/>
          </w:tcPr>
          <w:p>
            <w:pPr>
              <w:spacing w:after="0"/>
              <w:rPr>
                <w:sz w:val="20"/>
                <w:szCs w:val="20"/>
                <w:color w:val="auto"/>
              </w:rPr>
            </w:pPr>
          </w:p>
        </w:tc>
        <w:tc>
          <w:tcPr>
            <w:tcW w:w="1480" w:type="dxa"/>
            <w:vAlign w:val="bottom"/>
            <w:tcBorders>
              <w:bottom w:val="single" w:sz="8" w:color="D8D8D8"/>
            </w:tcBorders>
            <w:shd w:val="clear" w:color="auto" w:fill="D8D8D8"/>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233"/>
        </w:trPr>
        <w:tc>
          <w:tcPr>
            <w:tcW w:w="3500" w:type="dxa"/>
            <w:vAlign w:val="bottom"/>
            <w:tcBorders>
              <w:right w:val="single" w:sz="8" w:color="999999"/>
            </w:tcBorders>
          </w:tcPr>
          <w:p>
            <w:pPr>
              <w:ind w:left="220"/>
              <w:spacing w:after="0"/>
              <w:rPr>
                <w:sz w:val="20"/>
                <w:szCs w:val="20"/>
                <w:color w:val="auto"/>
              </w:rPr>
            </w:pPr>
            <w:r>
              <w:rPr>
                <w:rFonts w:ascii="Arial" w:cs="Arial" w:eastAsia="Arial" w:hAnsi="Arial"/>
                <w:sz w:val="14"/>
                <w:szCs w:val="14"/>
                <w:b w:val="1"/>
                <w:bCs w:val="1"/>
                <w:color w:val="auto"/>
              </w:rPr>
              <w:t>PENTAIR LIMITED</w:t>
            </w:r>
          </w:p>
        </w:tc>
        <w:tc>
          <w:tcPr>
            <w:tcW w:w="540" w:type="dxa"/>
            <w:vAlign w:val="bottom"/>
          </w:tcPr>
          <w:p>
            <w:pPr>
              <w:ind w:left="460"/>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368"/>
              <w:spacing w:after="0"/>
              <w:rPr>
                <w:sz w:val="20"/>
                <w:szCs w:val="20"/>
                <w:color w:val="auto"/>
              </w:rPr>
            </w:pPr>
            <w:r>
              <w:rPr>
                <w:rFonts w:ascii="Arial" w:cs="Arial" w:eastAsia="Arial" w:hAnsi="Arial"/>
                <w:sz w:val="14"/>
                <w:szCs w:val="14"/>
                <w:color w:val="auto"/>
              </w:rPr>
              <w:t>4,937</w:t>
            </w: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68"/>
              <w:spacing w:after="0"/>
              <w:rPr>
                <w:sz w:val="20"/>
                <w:szCs w:val="20"/>
                <w:color w:val="auto"/>
              </w:rPr>
            </w:pPr>
            <w:r>
              <w:rPr>
                <w:rFonts w:ascii="Arial" w:cs="Arial" w:eastAsia="Arial" w:hAnsi="Arial"/>
                <w:sz w:val="14"/>
                <w:szCs w:val="14"/>
                <w:color w:val="auto"/>
              </w:rPr>
              <w:t>12,824</w:t>
            </w:r>
          </w:p>
        </w:tc>
        <w:tc>
          <w:tcPr>
            <w:tcW w:w="1180" w:type="dxa"/>
            <w:vAlign w:val="bottom"/>
          </w:tcPr>
          <w:p>
            <w:pPr>
              <w:jc w:val="center"/>
              <w:ind w:left="88"/>
              <w:spacing w:after="0"/>
              <w:rPr>
                <w:sz w:val="20"/>
                <w:szCs w:val="20"/>
                <w:color w:val="auto"/>
              </w:rPr>
            </w:pPr>
            <w:r>
              <w:rPr>
                <w:rFonts w:ascii="Arial" w:cs="Arial" w:eastAsia="Arial" w:hAnsi="Arial"/>
                <w:sz w:val="14"/>
                <w:szCs w:val="14"/>
                <w:color w:val="auto"/>
              </w:rPr>
              <w:t>Machinery</w:t>
            </w:r>
          </w:p>
        </w:tc>
        <w:tc>
          <w:tcPr>
            <w:tcW w:w="1060" w:type="dxa"/>
            <w:vAlign w:val="bottom"/>
          </w:tcPr>
          <w:p>
            <w:pPr>
              <w:jc w:val="right"/>
              <w:ind w:right="386"/>
              <w:spacing w:after="0" w:line="141" w:lineRule="exact"/>
              <w:rPr>
                <w:sz w:val="20"/>
                <w:szCs w:val="20"/>
                <w:color w:val="auto"/>
              </w:rPr>
            </w:pPr>
            <w:r>
              <w:rPr>
                <w:rFonts w:ascii="MS PGothic" w:cs="MS PGothic" w:eastAsia="MS PGothic" w:hAnsi="MS PGothic"/>
                <w:sz w:val="14"/>
                <w:szCs w:val="14"/>
                <w:color w:val="auto"/>
              </w:rPr>
              <w:t>✗</w:t>
            </w:r>
          </w:p>
        </w:tc>
        <w:tc>
          <w:tcPr>
            <w:tcW w:w="1160" w:type="dxa"/>
            <w:vAlign w:val="bottom"/>
          </w:tcPr>
          <w:p>
            <w:pPr>
              <w:spacing w:after="0"/>
              <w:rPr>
                <w:sz w:val="20"/>
                <w:szCs w:val="20"/>
                <w:color w:val="auto"/>
              </w:rPr>
            </w:pPr>
          </w:p>
        </w:tc>
        <w:tc>
          <w:tcPr>
            <w:tcW w:w="14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23"/>
        </w:trPr>
        <w:tc>
          <w:tcPr>
            <w:tcW w:w="3500" w:type="dxa"/>
            <w:vAlign w:val="bottom"/>
            <w:tcBorders>
              <w:right w:val="single" w:sz="8" w:color="999999"/>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500" w:type="dxa"/>
            <w:vAlign w:val="bottom"/>
            <w:tcBorders>
              <w:right w:val="single" w:sz="8" w:color="999999"/>
            </w:tcBorders>
            <w:vMerge w:val="restart"/>
            <w:shd w:val="clear" w:color="auto" w:fill="D8D8D8"/>
          </w:tcPr>
          <w:p>
            <w:pPr>
              <w:ind w:left="220"/>
              <w:spacing w:after="0"/>
              <w:rPr>
                <w:sz w:val="20"/>
                <w:szCs w:val="20"/>
                <w:color w:val="auto"/>
              </w:rPr>
            </w:pPr>
            <w:r>
              <w:rPr>
                <w:rFonts w:ascii="Arial" w:cs="Arial" w:eastAsia="Arial" w:hAnsi="Arial"/>
                <w:sz w:val="14"/>
                <w:szCs w:val="14"/>
                <w:b w:val="1"/>
                <w:bCs w:val="1"/>
                <w:color w:val="auto"/>
              </w:rPr>
              <w:t>ROCKWELL AUTOMATION INC.</w:t>
            </w:r>
          </w:p>
        </w:tc>
        <w:tc>
          <w:tcPr>
            <w:tcW w:w="540" w:type="dxa"/>
            <w:vAlign w:val="bottom"/>
            <w:vMerge w:val="restart"/>
            <w:shd w:val="clear" w:color="auto" w:fill="D8D8D8"/>
          </w:tcPr>
          <w:p>
            <w:pPr>
              <w:ind w:left="460"/>
              <w:spacing w:after="0"/>
              <w:rPr>
                <w:sz w:val="20"/>
                <w:szCs w:val="20"/>
                <w:color w:val="auto"/>
              </w:rPr>
            </w:pPr>
            <w:r>
              <w:rPr>
                <w:rFonts w:ascii="Arial" w:cs="Arial" w:eastAsia="Arial" w:hAnsi="Arial"/>
                <w:sz w:val="14"/>
                <w:szCs w:val="14"/>
                <w:color w:val="auto"/>
                <w:w w:val="76"/>
              </w:rPr>
              <w:t>$</w:t>
            </w:r>
          </w:p>
        </w:tc>
        <w:tc>
          <w:tcPr>
            <w:tcW w:w="880" w:type="dxa"/>
            <w:vAlign w:val="bottom"/>
            <w:vMerge w:val="restart"/>
            <w:shd w:val="clear" w:color="auto" w:fill="D8D8D8"/>
          </w:tcPr>
          <w:p>
            <w:pPr>
              <w:jc w:val="right"/>
              <w:ind w:right="368"/>
              <w:spacing w:after="0"/>
              <w:rPr>
                <w:sz w:val="20"/>
                <w:szCs w:val="20"/>
                <w:color w:val="auto"/>
              </w:rPr>
            </w:pPr>
            <w:r>
              <w:rPr>
                <w:rFonts w:ascii="Arial" w:cs="Arial" w:eastAsia="Arial" w:hAnsi="Arial"/>
                <w:sz w:val="14"/>
                <w:szCs w:val="14"/>
                <w:color w:val="auto"/>
              </w:rPr>
              <w:t>6,311</w:t>
            </w:r>
          </w:p>
        </w:tc>
        <w:tc>
          <w:tcPr>
            <w:tcW w:w="440" w:type="dxa"/>
            <w:vAlign w:val="bottom"/>
            <w:vMerge w:val="restart"/>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D8D8D8"/>
          </w:tcPr>
          <w:p>
            <w:pPr>
              <w:jc w:val="right"/>
              <w:ind w:right="168"/>
              <w:spacing w:after="0"/>
              <w:rPr>
                <w:sz w:val="20"/>
                <w:szCs w:val="20"/>
                <w:color w:val="auto"/>
              </w:rPr>
            </w:pPr>
            <w:r>
              <w:rPr>
                <w:rFonts w:ascii="Arial" w:cs="Arial" w:eastAsia="Arial" w:hAnsi="Arial"/>
                <w:sz w:val="14"/>
                <w:szCs w:val="14"/>
                <w:color w:val="auto"/>
              </w:rPr>
              <w:t>25,210</w:t>
            </w:r>
          </w:p>
        </w:tc>
        <w:tc>
          <w:tcPr>
            <w:tcW w:w="1180" w:type="dxa"/>
            <w:vAlign w:val="bottom"/>
            <w:shd w:val="clear" w:color="auto" w:fill="D8D8D8"/>
          </w:tcPr>
          <w:p>
            <w:pPr>
              <w:jc w:val="center"/>
              <w:ind w:left="88"/>
              <w:spacing w:after="0"/>
              <w:rPr>
                <w:sz w:val="20"/>
                <w:szCs w:val="20"/>
                <w:color w:val="auto"/>
              </w:rPr>
            </w:pPr>
            <w:r>
              <w:rPr>
                <w:rFonts w:ascii="Arial" w:cs="Arial" w:eastAsia="Arial" w:hAnsi="Arial"/>
                <w:sz w:val="14"/>
                <w:szCs w:val="14"/>
                <w:color w:val="auto"/>
              </w:rPr>
              <w:t>Electrical</w:t>
            </w:r>
          </w:p>
        </w:tc>
        <w:tc>
          <w:tcPr>
            <w:tcW w:w="1060" w:type="dxa"/>
            <w:vAlign w:val="bottom"/>
            <w:vMerge w:val="restart"/>
            <w:shd w:val="clear" w:color="auto" w:fill="D8D8D8"/>
          </w:tcPr>
          <w:p>
            <w:pPr>
              <w:jc w:val="right"/>
              <w:ind w:right="386"/>
              <w:spacing w:after="0" w:line="141" w:lineRule="exact"/>
              <w:rPr>
                <w:sz w:val="20"/>
                <w:szCs w:val="20"/>
                <w:color w:val="auto"/>
              </w:rPr>
            </w:pPr>
            <w:r>
              <w:rPr>
                <w:rFonts w:ascii="MS PGothic" w:cs="MS PGothic" w:eastAsia="MS PGothic" w:hAnsi="MS PGothic"/>
                <w:sz w:val="14"/>
                <w:szCs w:val="14"/>
                <w:color w:val="auto"/>
              </w:rPr>
              <w:t>✗</w:t>
            </w:r>
          </w:p>
        </w:tc>
        <w:tc>
          <w:tcPr>
            <w:tcW w:w="1160" w:type="dxa"/>
            <w:vAlign w:val="bottom"/>
            <w:shd w:val="clear" w:color="auto" w:fill="D8D8D8"/>
          </w:tcPr>
          <w:p>
            <w:pPr>
              <w:spacing w:after="0"/>
              <w:rPr>
                <w:sz w:val="18"/>
                <w:szCs w:val="18"/>
                <w:color w:val="auto"/>
              </w:rPr>
            </w:pPr>
          </w:p>
        </w:tc>
        <w:tc>
          <w:tcPr>
            <w:tcW w:w="1480" w:type="dxa"/>
            <w:vAlign w:val="bottom"/>
            <w:vMerge w:val="restart"/>
            <w:shd w:val="clear" w:color="auto" w:fill="D8D8D8"/>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07"/>
        </w:trPr>
        <w:tc>
          <w:tcPr>
            <w:tcW w:w="3500" w:type="dxa"/>
            <w:vAlign w:val="bottom"/>
            <w:tcBorders>
              <w:right w:val="single" w:sz="8" w:color="999999"/>
            </w:tcBorders>
            <w:vMerge w:val="continue"/>
            <w:shd w:val="clear" w:color="auto" w:fill="D8D8D8"/>
          </w:tcPr>
          <w:p>
            <w:pPr>
              <w:spacing w:after="0"/>
              <w:rPr>
                <w:sz w:val="9"/>
                <w:szCs w:val="9"/>
                <w:color w:val="auto"/>
              </w:rPr>
            </w:pPr>
          </w:p>
        </w:tc>
        <w:tc>
          <w:tcPr>
            <w:tcW w:w="540" w:type="dxa"/>
            <w:vAlign w:val="bottom"/>
            <w:vMerge w:val="continue"/>
            <w:shd w:val="clear" w:color="auto" w:fill="D8D8D8"/>
          </w:tcPr>
          <w:p>
            <w:pPr>
              <w:spacing w:after="0"/>
              <w:rPr>
                <w:sz w:val="9"/>
                <w:szCs w:val="9"/>
                <w:color w:val="auto"/>
              </w:rPr>
            </w:pPr>
          </w:p>
        </w:tc>
        <w:tc>
          <w:tcPr>
            <w:tcW w:w="880" w:type="dxa"/>
            <w:vAlign w:val="bottom"/>
            <w:vMerge w:val="continue"/>
            <w:shd w:val="clear" w:color="auto" w:fill="D8D8D8"/>
          </w:tcPr>
          <w:p>
            <w:pPr>
              <w:spacing w:after="0"/>
              <w:rPr>
                <w:sz w:val="9"/>
                <w:szCs w:val="9"/>
                <w:color w:val="auto"/>
              </w:rPr>
            </w:pPr>
          </w:p>
        </w:tc>
        <w:tc>
          <w:tcPr>
            <w:tcW w:w="440" w:type="dxa"/>
            <w:vAlign w:val="bottom"/>
            <w:vMerge w:val="continue"/>
            <w:shd w:val="clear" w:color="auto" w:fill="D8D8D8"/>
          </w:tcPr>
          <w:p>
            <w:pPr>
              <w:spacing w:after="0"/>
              <w:rPr>
                <w:sz w:val="9"/>
                <w:szCs w:val="9"/>
                <w:color w:val="auto"/>
              </w:rPr>
            </w:pPr>
          </w:p>
        </w:tc>
        <w:tc>
          <w:tcPr>
            <w:tcW w:w="760" w:type="dxa"/>
            <w:vAlign w:val="bottom"/>
            <w:vMerge w:val="continue"/>
            <w:shd w:val="clear" w:color="auto" w:fill="D8D8D8"/>
          </w:tcPr>
          <w:p>
            <w:pPr>
              <w:spacing w:after="0"/>
              <w:rPr>
                <w:sz w:val="9"/>
                <w:szCs w:val="9"/>
                <w:color w:val="auto"/>
              </w:rPr>
            </w:pPr>
          </w:p>
        </w:tc>
        <w:tc>
          <w:tcPr>
            <w:tcW w:w="1180" w:type="dxa"/>
            <w:vAlign w:val="bottom"/>
            <w:vMerge w:val="restart"/>
            <w:shd w:val="clear" w:color="auto" w:fill="D8D8D8"/>
          </w:tcPr>
          <w:p>
            <w:pPr>
              <w:jc w:val="center"/>
              <w:ind w:left="68"/>
              <w:spacing w:after="0"/>
              <w:rPr>
                <w:sz w:val="20"/>
                <w:szCs w:val="20"/>
                <w:color w:val="auto"/>
              </w:rPr>
            </w:pPr>
            <w:r>
              <w:rPr>
                <w:rFonts w:ascii="Arial" w:cs="Arial" w:eastAsia="Arial" w:hAnsi="Arial"/>
                <w:sz w:val="14"/>
                <w:szCs w:val="14"/>
                <w:color w:val="auto"/>
              </w:rPr>
              <w:t>Equipment</w:t>
            </w:r>
          </w:p>
        </w:tc>
        <w:tc>
          <w:tcPr>
            <w:tcW w:w="1060" w:type="dxa"/>
            <w:vAlign w:val="bottom"/>
            <w:vMerge w:val="continue"/>
            <w:shd w:val="clear" w:color="auto" w:fill="D8D8D8"/>
          </w:tcPr>
          <w:p>
            <w:pPr>
              <w:spacing w:after="0"/>
              <w:rPr>
                <w:sz w:val="9"/>
                <w:szCs w:val="9"/>
                <w:color w:val="auto"/>
              </w:rPr>
            </w:pPr>
          </w:p>
        </w:tc>
        <w:tc>
          <w:tcPr>
            <w:tcW w:w="1160" w:type="dxa"/>
            <w:vAlign w:val="bottom"/>
            <w:shd w:val="clear" w:color="auto" w:fill="D8D8D8"/>
          </w:tcPr>
          <w:p>
            <w:pPr>
              <w:spacing w:after="0"/>
              <w:rPr>
                <w:sz w:val="9"/>
                <w:szCs w:val="9"/>
                <w:color w:val="auto"/>
              </w:rPr>
            </w:pPr>
          </w:p>
        </w:tc>
        <w:tc>
          <w:tcPr>
            <w:tcW w:w="1480" w:type="dxa"/>
            <w:vAlign w:val="bottom"/>
            <w:vMerge w:val="continue"/>
            <w:shd w:val="clear" w:color="auto" w:fill="D8D8D8"/>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3500" w:type="dxa"/>
            <w:vAlign w:val="bottom"/>
            <w:tcBorders>
              <w:bottom w:val="single" w:sz="8" w:color="D8D8D8"/>
              <w:right w:val="single" w:sz="8" w:color="999999"/>
            </w:tcBorders>
            <w:shd w:val="clear" w:color="auto" w:fill="D8D8D8"/>
          </w:tcPr>
          <w:p>
            <w:pPr>
              <w:spacing w:after="0"/>
              <w:rPr>
                <w:sz w:val="7"/>
                <w:szCs w:val="7"/>
                <w:color w:val="auto"/>
              </w:rPr>
            </w:pPr>
          </w:p>
        </w:tc>
        <w:tc>
          <w:tcPr>
            <w:tcW w:w="540" w:type="dxa"/>
            <w:vAlign w:val="bottom"/>
            <w:tcBorders>
              <w:bottom w:val="single" w:sz="8" w:color="D8D8D8"/>
            </w:tcBorders>
            <w:shd w:val="clear" w:color="auto" w:fill="D8D8D8"/>
          </w:tcPr>
          <w:p>
            <w:pPr>
              <w:spacing w:after="0"/>
              <w:rPr>
                <w:sz w:val="7"/>
                <w:szCs w:val="7"/>
                <w:color w:val="auto"/>
              </w:rPr>
            </w:pPr>
          </w:p>
        </w:tc>
        <w:tc>
          <w:tcPr>
            <w:tcW w:w="880" w:type="dxa"/>
            <w:vAlign w:val="bottom"/>
            <w:tcBorders>
              <w:bottom w:val="single" w:sz="8" w:color="D8D8D8"/>
            </w:tcBorders>
            <w:shd w:val="clear" w:color="auto" w:fill="D8D8D8"/>
          </w:tcPr>
          <w:p>
            <w:pPr>
              <w:spacing w:after="0"/>
              <w:rPr>
                <w:sz w:val="7"/>
                <w:szCs w:val="7"/>
                <w:color w:val="auto"/>
              </w:rPr>
            </w:pPr>
          </w:p>
        </w:tc>
        <w:tc>
          <w:tcPr>
            <w:tcW w:w="440" w:type="dxa"/>
            <w:vAlign w:val="bottom"/>
            <w:tcBorders>
              <w:bottom w:val="single" w:sz="8" w:color="D8D8D8"/>
            </w:tcBorders>
            <w:shd w:val="clear" w:color="auto" w:fill="D8D8D8"/>
          </w:tcPr>
          <w:p>
            <w:pPr>
              <w:spacing w:after="0"/>
              <w:rPr>
                <w:sz w:val="7"/>
                <w:szCs w:val="7"/>
                <w:color w:val="auto"/>
              </w:rPr>
            </w:pPr>
          </w:p>
        </w:tc>
        <w:tc>
          <w:tcPr>
            <w:tcW w:w="760" w:type="dxa"/>
            <w:vAlign w:val="bottom"/>
            <w:tcBorders>
              <w:bottom w:val="single" w:sz="8" w:color="D8D8D8"/>
            </w:tcBorders>
            <w:shd w:val="clear" w:color="auto" w:fill="D8D8D8"/>
          </w:tcPr>
          <w:p>
            <w:pPr>
              <w:spacing w:after="0"/>
              <w:rPr>
                <w:sz w:val="7"/>
                <w:szCs w:val="7"/>
                <w:color w:val="auto"/>
              </w:rPr>
            </w:pPr>
          </w:p>
        </w:tc>
        <w:tc>
          <w:tcPr>
            <w:tcW w:w="1180" w:type="dxa"/>
            <w:vAlign w:val="bottom"/>
            <w:tcBorders>
              <w:bottom w:val="single" w:sz="8" w:color="D8D8D8"/>
            </w:tcBorders>
            <w:vMerge w:val="continue"/>
            <w:shd w:val="clear" w:color="auto" w:fill="D8D8D8"/>
          </w:tcPr>
          <w:p>
            <w:pPr>
              <w:spacing w:after="0"/>
              <w:rPr>
                <w:sz w:val="7"/>
                <w:szCs w:val="7"/>
                <w:color w:val="auto"/>
              </w:rPr>
            </w:pPr>
          </w:p>
        </w:tc>
        <w:tc>
          <w:tcPr>
            <w:tcW w:w="1060" w:type="dxa"/>
            <w:vAlign w:val="bottom"/>
            <w:tcBorders>
              <w:bottom w:val="single" w:sz="8" w:color="D8D8D8"/>
            </w:tcBorders>
            <w:shd w:val="clear" w:color="auto" w:fill="D8D8D8"/>
          </w:tcPr>
          <w:p>
            <w:pPr>
              <w:spacing w:after="0"/>
              <w:rPr>
                <w:sz w:val="7"/>
                <w:szCs w:val="7"/>
                <w:color w:val="auto"/>
              </w:rPr>
            </w:pPr>
          </w:p>
        </w:tc>
        <w:tc>
          <w:tcPr>
            <w:tcW w:w="1160" w:type="dxa"/>
            <w:vAlign w:val="bottom"/>
            <w:tcBorders>
              <w:bottom w:val="single" w:sz="8" w:color="D8D8D8"/>
            </w:tcBorders>
            <w:shd w:val="clear" w:color="auto" w:fill="D8D8D8"/>
          </w:tcPr>
          <w:p>
            <w:pPr>
              <w:spacing w:after="0"/>
              <w:rPr>
                <w:sz w:val="7"/>
                <w:szCs w:val="7"/>
                <w:color w:val="auto"/>
              </w:rPr>
            </w:pPr>
          </w:p>
        </w:tc>
        <w:tc>
          <w:tcPr>
            <w:tcW w:w="1480" w:type="dxa"/>
            <w:vAlign w:val="bottom"/>
            <w:tcBorders>
              <w:bottom w:val="single" w:sz="8" w:color="D8D8D8"/>
            </w:tcBorders>
            <w:shd w:val="clear" w:color="auto" w:fill="D8D8D8"/>
          </w:tcPr>
          <w:p>
            <w:pPr>
              <w:spacing w:after="0"/>
              <w:rPr>
                <w:sz w:val="7"/>
                <w:szCs w:val="7"/>
                <w:color w:val="auto"/>
              </w:rPr>
            </w:pPr>
          </w:p>
        </w:tc>
        <w:tc>
          <w:tcPr>
            <w:tcW w:w="0" w:type="dxa"/>
            <w:vAlign w:val="bottom"/>
          </w:tcPr>
          <w:p>
            <w:pPr>
              <w:spacing w:after="0"/>
              <w:rPr>
                <w:sz w:val="1"/>
                <w:szCs w:val="1"/>
                <w:color w:val="auto"/>
              </w:rPr>
            </w:pPr>
          </w:p>
        </w:tc>
      </w:tr>
      <w:tr>
        <w:trPr>
          <w:trHeight w:val="207"/>
        </w:trPr>
        <w:tc>
          <w:tcPr>
            <w:tcW w:w="3500" w:type="dxa"/>
            <w:vAlign w:val="bottom"/>
            <w:tcBorders>
              <w:right w:val="single" w:sz="8" w:color="999999"/>
            </w:tcBorders>
            <w:vMerge w:val="restart"/>
          </w:tcPr>
          <w:p>
            <w:pPr>
              <w:ind w:left="220"/>
              <w:spacing w:after="0"/>
              <w:rPr>
                <w:sz w:val="20"/>
                <w:szCs w:val="20"/>
                <w:color w:val="auto"/>
              </w:rPr>
            </w:pPr>
            <w:r>
              <w:rPr>
                <w:rFonts w:ascii="Arial" w:cs="Arial" w:eastAsia="Arial" w:hAnsi="Arial"/>
                <w:sz w:val="14"/>
                <w:szCs w:val="14"/>
                <w:b w:val="1"/>
                <w:bCs w:val="1"/>
                <w:color w:val="auto"/>
              </w:rPr>
              <w:t>ROPER INDUSTRIES INC.</w:t>
            </w:r>
          </w:p>
        </w:tc>
        <w:tc>
          <w:tcPr>
            <w:tcW w:w="540" w:type="dxa"/>
            <w:vAlign w:val="bottom"/>
            <w:vMerge w:val="restart"/>
          </w:tcPr>
          <w:p>
            <w:pPr>
              <w:ind w:left="460"/>
              <w:spacing w:after="0"/>
              <w:rPr>
                <w:sz w:val="20"/>
                <w:szCs w:val="20"/>
                <w:color w:val="auto"/>
              </w:rPr>
            </w:pPr>
            <w:r>
              <w:rPr>
                <w:rFonts w:ascii="Arial" w:cs="Arial" w:eastAsia="Arial" w:hAnsi="Arial"/>
                <w:sz w:val="14"/>
                <w:szCs w:val="14"/>
                <w:color w:val="auto"/>
                <w:w w:val="76"/>
              </w:rPr>
              <w:t>$</w:t>
            </w:r>
          </w:p>
        </w:tc>
        <w:tc>
          <w:tcPr>
            <w:tcW w:w="880" w:type="dxa"/>
            <w:vAlign w:val="bottom"/>
            <w:vMerge w:val="restart"/>
          </w:tcPr>
          <w:p>
            <w:pPr>
              <w:jc w:val="right"/>
              <w:ind w:right="368"/>
              <w:spacing w:after="0"/>
              <w:rPr>
                <w:sz w:val="20"/>
                <w:szCs w:val="20"/>
                <w:color w:val="auto"/>
              </w:rPr>
            </w:pPr>
            <w:r>
              <w:rPr>
                <w:rFonts w:ascii="Arial" w:cs="Arial" w:eastAsia="Arial" w:hAnsi="Arial"/>
                <w:sz w:val="14"/>
                <w:szCs w:val="14"/>
                <w:color w:val="auto"/>
              </w:rPr>
              <w:t>4,607</w:t>
            </w: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ind w:right="168"/>
              <w:spacing w:after="0"/>
              <w:rPr>
                <w:sz w:val="20"/>
                <w:szCs w:val="20"/>
                <w:color w:val="auto"/>
              </w:rPr>
            </w:pPr>
            <w:r>
              <w:rPr>
                <w:rFonts w:ascii="Arial" w:cs="Arial" w:eastAsia="Arial" w:hAnsi="Arial"/>
                <w:sz w:val="14"/>
                <w:szCs w:val="14"/>
                <w:color w:val="auto"/>
              </w:rPr>
              <w:t>26,512</w:t>
            </w:r>
          </w:p>
        </w:tc>
        <w:tc>
          <w:tcPr>
            <w:tcW w:w="1180" w:type="dxa"/>
            <w:vAlign w:val="bottom"/>
          </w:tcPr>
          <w:p>
            <w:pPr>
              <w:jc w:val="center"/>
              <w:ind w:left="88"/>
              <w:spacing w:after="0"/>
              <w:rPr>
                <w:sz w:val="20"/>
                <w:szCs w:val="20"/>
                <w:color w:val="auto"/>
              </w:rPr>
            </w:pPr>
            <w:r>
              <w:rPr>
                <w:rFonts w:ascii="Arial" w:cs="Arial" w:eastAsia="Arial" w:hAnsi="Arial"/>
                <w:sz w:val="14"/>
                <w:szCs w:val="14"/>
                <w:color w:val="auto"/>
              </w:rPr>
              <w:t>Industrial</w:t>
            </w:r>
          </w:p>
        </w:tc>
        <w:tc>
          <w:tcPr>
            <w:tcW w:w="1060" w:type="dxa"/>
            <w:vAlign w:val="bottom"/>
            <w:vMerge w:val="restart"/>
          </w:tcPr>
          <w:p>
            <w:pPr>
              <w:jc w:val="right"/>
              <w:ind w:right="386"/>
              <w:spacing w:after="0" w:line="141" w:lineRule="exact"/>
              <w:rPr>
                <w:sz w:val="20"/>
                <w:szCs w:val="20"/>
                <w:color w:val="auto"/>
              </w:rPr>
            </w:pPr>
            <w:r>
              <w:rPr>
                <w:rFonts w:ascii="MS PGothic" w:cs="MS PGothic" w:eastAsia="MS PGothic" w:hAnsi="MS PGothic"/>
                <w:sz w:val="14"/>
                <w:szCs w:val="14"/>
                <w:color w:val="auto"/>
              </w:rPr>
              <w:t>✗</w:t>
            </w:r>
          </w:p>
        </w:tc>
        <w:tc>
          <w:tcPr>
            <w:tcW w:w="116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48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07"/>
        </w:trPr>
        <w:tc>
          <w:tcPr>
            <w:tcW w:w="3500" w:type="dxa"/>
            <w:vAlign w:val="bottom"/>
            <w:tcBorders>
              <w:right w:val="single" w:sz="8" w:color="999999"/>
            </w:tcBorders>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1180" w:type="dxa"/>
            <w:vAlign w:val="bottom"/>
            <w:vMerge w:val="restart"/>
          </w:tcPr>
          <w:p>
            <w:pPr>
              <w:jc w:val="center"/>
              <w:ind w:left="68"/>
              <w:spacing w:after="0"/>
              <w:rPr>
                <w:sz w:val="20"/>
                <w:szCs w:val="20"/>
                <w:color w:val="auto"/>
              </w:rPr>
            </w:pPr>
            <w:r>
              <w:rPr>
                <w:rFonts w:ascii="Arial" w:cs="Arial" w:eastAsia="Arial" w:hAnsi="Arial"/>
                <w:sz w:val="14"/>
                <w:szCs w:val="14"/>
                <w:color w:val="auto"/>
              </w:rPr>
              <w:t>Conglomerates</w:t>
            </w:r>
          </w:p>
        </w:tc>
        <w:tc>
          <w:tcPr>
            <w:tcW w:w="106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5"/>
        </w:trPr>
        <w:tc>
          <w:tcPr>
            <w:tcW w:w="3500" w:type="dxa"/>
            <w:vAlign w:val="bottom"/>
            <w:tcBorders>
              <w:right w:val="single" w:sz="8" w:color="999999"/>
            </w:tcBorders>
          </w:tcPr>
          <w:p>
            <w:pPr>
              <w:spacing w:after="0"/>
              <w:rPr>
                <w:sz w:val="5"/>
                <w:szCs w:val="5"/>
                <w:color w:val="auto"/>
              </w:rPr>
            </w:pPr>
          </w:p>
        </w:tc>
        <w:tc>
          <w:tcPr>
            <w:tcW w:w="540" w:type="dxa"/>
            <w:vAlign w:val="bottom"/>
          </w:tcPr>
          <w:p>
            <w:pPr>
              <w:spacing w:after="0"/>
              <w:rPr>
                <w:sz w:val="5"/>
                <w:szCs w:val="5"/>
                <w:color w:val="auto"/>
              </w:rPr>
            </w:pPr>
          </w:p>
        </w:tc>
        <w:tc>
          <w:tcPr>
            <w:tcW w:w="8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3500" w:type="dxa"/>
            <w:vAlign w:val="bottom"/>
            <w:tcBorders>
              <w:right w:val="single" w:sz="8" w:color="999999"/>
            </w:tcBorders>
          </w:tcPr>
          <w:p>
            <w:pPr>
              <w:spacing w:after="0"/>
              <w:rPr>
                <w:sz w:val="3"/>
                <w:szCs w:val="3"/>
                <w:color w:val="auto"/>
              </w:rPr>
            </w:pPr>
          </w:p>
        </w:tc>
        <w:tc>
          <w:tcPr>
            <w:tcW w:w="5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7"/>
        </w:trPr>
        <w:tc>
          <w:tcPr>
            <w:tcW w:w="3500" w:type="dxa"/>
            <w:vAlign w:val="bottom"/>
            <w:tcBorders>
              <w:right w:val="single" w:sz="8" w:color="999999"/>
            </w:tcBorders>
            <w:vMerge w:val="restart"/>
            <w:shd w:val="clear" w:color="auto" w:fill="D8D8D8"/>
          </w:tcPr>
          <w:p>
            <w:pPr>
              <w:ind w:left="220"/>
              <w:spacing w:after="0"/>
              <w:rPr>
                <w:sz w:val="20"/>
                <w:szCs w:val="20"/>
                <w:color w:val="auto"/>
              </w:rPr>
            </w:pPr>
            <w:r>
              <w:rPr>
                <w:rFonts w:ascii="Arial" w:cs="Arial" w:eastAsia="Arial" w:hAnsi="Arial"/>
                <w:sz w:val="14"/>
                <w:szCs w:val="14"/>
                <w:b w:val="1"/>
                <w:bCs w:val="1"/>
                <w:color w:val="auto"/>
              </w:rPr>
              <w:t>TEXTRON INC.</w:t>
            </w:r>
          </w:p>
        </w:tc>
        <w:tc>
          <w:tcPr>
            <w:tcW w:w="540" w:type="dxa"/>
            <w:vAlign w:val="bottom"/>
            <w:vMerge w:val="restart"/>
            <w:shd w:val="clear" w:color="auto" w:fill="D8D8D8"/>
          </w:tcPr>
          <w:p>
            <w:pPr>
              <w:ind w:left="460"/>
              <w:spacing w:after="0"/>
              <w:rPr>
                <w:sz w:val="20"/>
                <w:szCs w:val="20"/>
                <w:color w:val="auto"/>
              </w:rPr>
            </w:pPr>
            <w:r>
              <w:rPr>
                <w:rFonts w:ascii="Arial" w:cs="Arial" w:eastAsia="Arial" w:hAnsi="Arial"/>
                <w:sz w:val="14"/>
                <w:szCs w:val="14"/>
                <w:color w:val="auto"/>
                <w:w w:val="76"/>
              </w:rPr>
              <w:t>$</w:t>
            </w:r>
          </w:p>
        </w:tc>
        <w:tc>
          <w:tcPr>
            <w:tcW w:w="880" w:type="dxa"/>
            <w:vAlign w:val="bottom"/>
            <w:vMerge w:val="restart"/>
            <w:shd w:val="clear" w:color="auto" w:fill="D8D8D8"/>
          </w:tcPr>
          <w:p>
            <w:pPr>
              <w:jc w:val="right"/>
              <w:ind w:right="368"/>
              <w:spacing w:after="0"/>
              <w:rPr>
                <w:sz w:val="20"/>
                <w:szCs w:val="20"/>
                <w:color w:val="auto"/>
              </w:rPr>
            </w:pPr>
            <w:r>
              <w:rPr>
                <w:rFonts w:ascii="Arial" w:cs="Arial" w:eastAsia="Arial" w:hAnsi="Arial"/>
                <w:sz w:val="14"/>
                <w:szCs w:val="14"/>
                <w:color w:val="auto"/>
                <w:w w:val="97"/>
              </w:rPr>
              <w:t>14,198</w:t>
            </w:r>
          </w:p>
        </w:tc>
        <w:tc>
          <w:tcPr>
            <w:tcW w:w="440" w:type="dxa"/>
            <w:vAlign w:val="bottom"/>
            <w:vMerge w:val="restart"/>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D8D8D8"/>
          </w:tcPr>
          <w:p>
            <w:pPr>
              <w:jc w:val="right"/>
              <w:ind w:right="168"/>
              <w:spacing w:after="0"/>
              <w:rPr>
                <w:sz w:val="20"/>
                <w:szCs w:val="20"/>
                <w:color w:val="auto"/>
              </w:rPr>
            </w:pPr>
            <w:r>
              <w:rPr>
                <w:rFonts w:ascii="Arial" w:cs="Arial" w:eastAsia="Arial" w:hAnsi="Arial"/>
                <w:sz w:val="14"/>
                <w:szCs w:val="14"/>
                <w:color w:val="auto"/>
              </w:rPr>
              <w:t>14,907</w:t>
            </w:r>
          </w:p>
        </w:tc>
        <w:tc>
          <w:tcPr>
            <w:tcW w:w="1180" w:type="dxa"/>
            <w:vAlign w:val="bottom"/>
            <w:shd w:val="clear" w:color="auto" w:fill="D8D8D8"/>
          </w:tcPr>
          <w:p>
            <w:pPr>
              <w:jc w:val="center"/>
              <w:ind w:left="88"/>
              <w:spacing w:after="0"/>
              <w:rPr>
                <w:sz w:val="20"/>
                <w:szCs w:val="20"/>
                <w:color w:val="auto"/>
              </w:rPr>
            </w:pPr>
            <w:r>
              <w:rPr>
                <w:rFonts w:ascii="Arial" w:cs="Arial" w:eastAsia="Arial" w:hAnsi="Arial"/>
                <w:sz w:val="14"/>
                <w:szCs w:val="14"/>
                <w:color w:val="auto"/>
              </w:rPr>
              <w:t>Aerospace &amp;</w:t>
            </w:r>
          </w:p>
        </w:tc>
        <w:tc>
          <w:tcPr>
            <w:tcW w:w="1060" w:type="dxa"/>
            <w:vAlign w:val="bottom"/>
            <w:vMerge w:val="restart"/>
            <w:shd w:val="clear" w:color="auto" w:fill="D8D8D8"/>
          </w:tcPr>
          <w:p>
            <w:pPr>
              <w:jc w:val="right"/>
              <w:ind w:right="386"/>
              <w:spacing w:after="0" w:line="141" w:lineRule="exact"/>
              <w:rPr>
                <w:sz w:val="20"/>
                <w:szCs w:val="20"/>
                <w:color w:val="auto"/>
              </w:rPr>
            </w:pPr>
            <w:r>
              <w:rPr>
                <w:rFonts w:ascii="MS PGothic" w:cs="MS PGothic" w:eastAsia="MS PGothic" w:hAnsi="MS PGothic"/>
                <w:sz w:val="14"/>
                <w:szCs w:val="14"/>
                <w:color w:val="auto"/>
              </w:rPr>
              <w:t>✗</w:t>
            </w:r>
          </w:p>
        </w:tc>
        <w:tc>
          <w:tcPr>
            <w:tcW w:w="1160" w:type="dxa"/>
            <w:vAlign w:val="bottom"/>
            <w:vMerge w:val="restart"/>
            <w:shd w:val="clear" w:color="auto" w:fill="D8D8D8"/>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480" w:type="dxa"/>
            <w:vAlign w:val="bottom"/>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3500" w:type="dxa"/>
            <w:vAlign w:val="bottom"/>
            <w:tcBorders>
              <w:right w:val="single" w:sz="8" w:color="999999"/>
            </w:tcBorders>
            <w:vMerge w:val="continue"/>
            <w:shd w:val="clear" w:color="auto" w:fill="D8D8D8"/>
          </w:tcPr>
          <w:p>
            <w:pPr>
              <w:spacing w:after="0"/>
              <w:rPr>
                <w:sz w:val="9"/>
                <w:szCs w:val="9"/>
                <w:color w:val="auto"/>
              </w:rPr>
            </w:pPr>
          </w:p>
        </w:tc>
        <w:tc>
          <w:tcPr>
            <w:tcW w:w="540" w:type="dxa"/>
            <w:vAlign w:val="bottom"/>
            <w:vMerge w:val="continue"/>
            <w:shd w:val="clear" w:color="auto" w:fill="D8D8D8"/>
          </w:tcPr>
          <w:p>
            <w:pPr>
              <w:spacing w:after="0"/>
              <w:rPr>
                <w:sz w:val="9"/>
                <w:szCs w:val="9"/>
                <w:color w:val="auto"/>
              </w:rPr>
            </w:pPr>
          </w:p>
        </w:tc>
        <w:tc>
          <w:tcPr>
            <w:tcW w:w="880" w:type="dxa"/>
            <w:vAlign w:val="bottom"/>
            <w:vMerge w:val="continue"/>
            <w:shd w:val="clear" w:color="auto" w:fill="D8D8D8"/>
          </w:tcPr>
          <w:p>
            <w:pPr>
              <w:spacing w:after="0"/>
              <w:rPr>
                <w:sz w:val="9"/>
                <w:szCs w:val="9"/>
                <w:color w:val="auto"/>
              </w:rPr>
            </w:pPr>
          </w:p>
        </w:tc>
        <w:tc>
          <w:tcPr>
            <w:tcW w:w="440" w:type="dxa"/>
            <w:vAlign w:val="bottom"/>
            <w:vMerge w:val="continue"/>
            <w:shd w:val="clear" w:color="auto" w:fill="D8D8D8"/>
          </w:tcPr>
          <w:p>
            <w:pPr>
              <w:spacing w:after="0"/>
              <w:rPr>
                <w:sz w:val="9"/>
                <w:szCs w:val="9"/>
                <w:color w:val="auto"/>
              </w:rPr>
            </w:pPr>
          </w:p>
        </w:tc>
        <w:tc>
          <w:tcPr>
            <w:tcW w:w="760" w:type="dxa"/>
            <w:vAlign w:val="bottom"/>
            <w:vMerge w:val="continue"/>
            <w:shd w:val="clear" w:color="auto" w:fill="D8D8D8"/>
          </w:tcPr>
          <w:p>
            <w:pPr>
              <w:spacing w:after="0"/>
              <w:rPr>
                <w:sz w:val="9"/>
                <w:szCs w:val="9"/>
                <w:color w:val="auto"/>
              </w:rPr>
            </w:pPr>
          </w:p>
        </w:tc>
        <w:tc>
          <w:tcPr>
            <w:tcW w:w="1180" w:type="dxa"/>
            <w:vAlign w:val="bottom"/>
            <w:vMerge w:val="restart"/>
            <w:shd w:val="clear" w:color="auto" w:fill="D8D8D8"/>
          </w:tcPr>
          <w:p>
            <w:pPr>
              <w:jc w:val="center"/>
              <w:ind w:left="88"/>
              <w:spacing w:after="0"/>
              <w:rPr>
                <w:sz w:val="20"/>
                <w:szCs w:val="20"/>
                <w:color w:val="auto"/>
              </w:rPr>
            </w:pPr>
            <w:r>
              <w:rPr>
                <w:rFonts w:ascii="Arial" w:cs="Arial" w:eastAsia="Arial" w:hAnsi="Arial"/>
                <w:sz w:val="14"/>
                <w:szCs w:val="14"/>
                <w:color w:val="auto"/>
              </w:rPr>
              <w:t>Defense</w:t>
            </w:r>
          </w:p>
        </w:tc>
        <w:tc>
          <w:tcPr>
            <w:tcW w:w="1060" w:type="dxa"/>
            <w:vAlign w:val="bottom"/>
            <w:vMerge w:val="continue"/>
            <w:shd w:val="clear" w:color="auto" w:fill="D8D8D8"/>
          </w:tcPr>
          <w:p>
            <w:pPr>
              <w:spacing w:after="0"/>
              <w:rPr>
                <w:sz w:val="9"/>
                <w:szCs w:val="9"/>
                <w:color w:val="auto"/>
              </w:rPr>
            </w:pPr>
          </w:p>
        </w:tc>
        <w:tc>
          <w:tcPr>
            <w:tcW w:w="1160" w:type="dxa"/>
            <w:vAlign w:val="bottom"/>
            <w:vMerge w:val="continue"/>
            <w:shd w:val="clear" w:color="auto" w:fill="D8D8D8"/>
          </w:tcPr>
          <w:p>
            <w:pPr>
              <w:spacing w:after="0"/>
              <w:rPr>
                <w:sz w:val="9"/>
                <w:szCs w:val="9"/>
                <w:color w:val="auto"/>
              </w:rPr>
            </w:pPr>
          </w:p>
        </w:tc>
        <w:tc>
          <w:tcPr>
            <w:tcW w:w="1480" w:type="dxa"/>
            <w:vAlign w:val="bottom"/>
            <w:shd w:val="clear" w:color="auto" w:fill="D8D8D8"/>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3500" w:type="dxa"/>
            <w:vAlign w:val="bottom"/>
            <w:tcBorders>
              <w:bottom w:val="single" w:sz="8" w:color="D8D8D8"/>
              <w:right w:val="single" w:sz="8" w:color="999999"/>
            </w:tcBorders>
            <w:shd w:val="clear" w:color="auto" w:fill="D8D8D8"/>
          </w:tcPr>
          <w:p>
            <w:pPr>
              <w:spacing w:after="0"/>
              <w:rPr>
                <w:sz w:val="7"/>
                <w:szCs w:val="7"/>
                <w:color w:val="auto"/>
              </w:rPr>
            </w:pPr>
          </w:p>
        </w:tc>
        <w:tc>
          <w:tcPr>
            <w:tcW w:w="540" w:type="dxa"/>
            <w:vAlign w:val="bottom"/>
            <w:tcBorders>
              <w:bottom w:val="single" w:sz="8" w:color="D8D8D8"/>
            </w:tcBorders>
            <w:shd w:val="clear" w:color="auto" w:fill="D8D8D8"/>
          </w:tcPr>
          <w:p>
            <w:pPr>
              <w:spacing w:after="0"/>
              <w:rPr>
                <w:sz w:val="7"/>
                <w:szCs w:val="7"/>
                <w:color w:val="auto"/>
              </w:rPr>
            </w:pPr>
          </w:p>
        </w:tc>
        <w:tc>
          <w:tcPr>
            <w:tcW w:w="880" w:type="dxa"/>
            <w:vAlign w:val="bottom"/>
            <w:tcBorders>
              <w:bottom w:val="single" w:sz="8" w:color="D8D8D8"/>
            </w:tcBorders>
            <w:shd w:val="clear" w:color="auto" w:fill="D8D8D8"/>
          </w:tcPr>
          <w:p>
            <w:pPr>
              <w:spacing w:after="0"/>
              <w:rPr>
                <w:sz w:val="7"/>
                <w:szCs w:val="7"/>
                <w:color w:val="auto"/>
              </w:rPr>
            </w:pPr>
          </w:p>
        </w:tc>
        <w:tc>
          <w:tcPr>
            <w:tcW w:w="440" w:type="dxa"/>
            <w:vAlign w:val="bottom"/>
            <w:tcBorders>
              <w:bottom w:val="single" w:sz="8" w:color="D8D8D8"/>
            </w:tcBorders>
            <w:shd w:val="clear" w:color="auto" w:fill="D8D8D8"/>
          </w:tcPr>
          <w:p>
            <w:pPr>
              <w:spacing w:after="0"/>
              <w:rPr>
                <w:sz w:val="7"/>
                <w:szCs w:val="7"/>
                <w:color w:val="auto"/>
              </w:rPr>
            </w:pPr>
          </w:p>
        </w:tc>
        <w:tc>
          <w:tcPr>
            <w:tcW w:w="760" w:type="dxa"/>
            <w:vAlign w:val="bottom"/>
            <w:tcBorders>
              <w:bottom w:val="single" w:sz="8" w:color="D8D8D8"/>
            </w:tcBorders>
            <w:shd w:val="clear" w:color="auto" w:fill="D8D8D8"/>
          </w:tcPr>
          <w:p>
            <w:pPr>
              <w:spacing w:after="0"/>
              <w:rPr>
                <w:sz w:val="7"/>
                <w:szCs w:val="7"/>
                <w:color w:val="auto"/>
              </w:rPr>
            </w:pPr>
          </w:p>
        </w:tc>
        <w:tc>
          <w:tcPr>
            <w:tcW w:w="1180" w:type="dxa"/>
            <w:vAlign w:val="bottom"/>
            <w:tcBorders>
              <w:bottom w:val="single" w:sz="8" w:color="D8D8D8"/>
            </w:tcBorders>
            <w:vMerge w:val="continue"/>
            <w:shd w:val="clear" w:color="auto" w:fill="D8D8D8"/>
          </w:tcPr>
          <w:p>
            <w:pPr>
              <w:spacing w:after="0"/>
              <w:rPr>
                <w:sz w:val="7"/>
                <w:szCs w:val="7"/>
                <w:color w:val="auto"/>
              </w:rPr>
            </w:pPr>
          </w:p>
        </w:tc>
        <w:tc>
          <w:tcPr>
            <w:tcW w:w="1060" w:type="dxa"/>
            <w:vAlign w:val="bottom"/>
            <w:tcBorders>
              <w:bottom w:val="single" w:sz="8" w:color="D8D8D8"/>
            </w:tcBorders>
            <w:shd w:val="clear" w:color="auto" w:fill="D8D8D8"/>
          </w:tcPr>
          <w:p>
            <w:pPr>
              <w:spacing w:after="0"/>
              <w:rPr>
                <w:sz w:val="7"/>
                <w:szCs w:val="7"/>
                <w:color w:val="auto"/>
              </w:rPr>
            </w:pPr>
          </w:p>
        </w:tc>
        <w:tc>
          <w:tcPr>
            <w:tcW w:w="1160" w:type="dxa"/>
            <w:vAlign w:val="bottom"/>
            <w:tcBorders>
              <w:bottom w:val="single" w:sz="8" w:color="D8D8D8"/>
            </w:tcBorders>
            <w:shd w:val="clear" w:color="auto" w:fill="D8D8D8"/>
          </w:tcPr>
          <w:p>
            <w:pPr>
              <w:spacing w:after="0"/>
              <w:rPr>
                <w:sz w:val="7"/>
                <w:szCs w:val="7"/>
                <w:color w:val="auto"/>
              </w:rPr>
            </w:pPr>
          </w:p>
        </w:tc>
        <w:tc>
          <w:tcPr>
            <w:tcW w:w="1480" w:type="dxa"/>
            <w:vAlign w:val="bottom"/>
            <w:tcBorders>
              <w:bottom w:val="single" w:sz="8" w:color="D8D8D8"/>
            </w:tcBorders>
            <w:shd w:val="clear" w:color="auto" w:fill="D8D8D8"/>
          </w:tcPr>
          <w:p>
            <w:pPr>
              <w:spacing w:after="0"/>
              <w:rPr>
                <w:sz w:val="7"/>
                <w:szCs w:val="7"/>
                <w:color w:val="auto"/>
              </w:rPr>
            </w:pPr>
          </w:p>
        </w:tc>
        <w:tc>
          <w:tcPr>
            <w:tcW w:w="0" w:type="dxa"/>
            <w:vAlign w:val="bottom"/>
          </w:tcPr>
          <w:p>
            <w:pPr>
              <w:spacing w:after="0"/>
              <w:rPr>
                <w:sz w:val="1"/>
                <w:szCs w:val="1"/>
                <w:color w:val="auto"/>
              </w:rPr>
            </w:pPr>
          </w:p>
        </w:tc>
      </w:tr>
      <w:tr>
        <w:trPr>
          <w:trHeight w:val="207"/>
        </w:trPr>
        <w:tc>
          <w:tcPr>
            <w:tcW w:w="3500" w:type="dxa"/>
            <w:vAlign w:val="bottom"/>
            <w:tcBorders>
              <w:right w:val="single" w:sz="8" w:color="999999"/>
            </w:tcBorders>
            <w:vMerge w:val="restart"/>
          </w:tcPr>
          <w:p>
            <w:pPr>
              <w:ind w:left="220"/>
              <w:spacing w:after="0"/>
              <w:rPr>
                <w:sz w:val="20"/>
                <w:szCs w:val="20"/>
                <w:color w:val="auto"/>
              </w:rPr>
            </w:pPr>
            <w:r>
              <w:rPr>
                <w:rFonts w:ascii="Arial" w:cs="Arial" w:eastAsia="Arial" w:hAnsi="Arial"/>
                <w:sz w:val="14"/>
                <w:szCs w:val="14"/>
                <w:b w:val="1"/>
                <w:bCs w:val="1"/>
                <w:color w:val="auto"/>
              </w:rPr>
              <w:t>XYLEM, INC.</w:t>
            </w:r>
          </w:p>
        </w:tc>
        <w:tc>
          <w:tcPr>
            <w:tcW w:w="540" w:type="dxa"/>
            <w:vAlign w:val="bottom"/>
            <w:vMerge w:val="restart"/>
          </w:tcPr>
          <w:p>
            <w:pPr>
              <w:ind w:left="460"/>
              <w:spacing w:after="0"/>
              <w:rPr>
                <w:sz w:val="20"/>
                <w:szCs w:val="20"/>
                <w:color w:val="auto"/>
              </w:rPr>
            </w:pPr>
            <w:r>
              <w:rPr>
                <w:rFonts w:ascii="Arial" w:cs="Arial" w:eastAsia="Arial" w:hAnsi="Arial"/>
                <w:sz w:val="14"/>
                <w:szCs w:val="14"/>
                <w:color w:val="auto"/>
                <w:w w:val="76"/>
              </w:rPr>
              <w:t>$</w:t>
            </w:r>
          </w:p>
        </w:tc>
        <w:tc>
          <w:tcPr>
            <w:tcW w:w="880" w:type="dxa"/>
            <w:vAlign w:val="bottom"/>
            <w:vMerge w:val="restart"/>
          </w:tcPr>
          <w:p>
            <w:pPr>
              <w:jc w:val="right"/>
              <w:ind w:right="368"/>
              <w:spacing w:after="0"/>
              <w:rPr>
                <w:sz w:val="20"/>
                <w:szCs w:val="20"/>
                <w:color w:val="auto"/>
              </w:rPr>
            </w:pPr>
            <w:r>
              <w:rPr>
                <w:rFonts w:ascii="Arial" w:cs="Arial" w:eastAsia="Arial" w:hAnsi="Arial"/>
                <w:sz w:val="14"/>
                <w:szCs w:val="14"/>
                <w:color w:val="auto"/>
              </w:rPr>
              <w:t>4,707</w:t>
            </w: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ind w:right="168"/>
              <w:spacing w:after="0"/>
              <w:rPr>
                <w:sz w:val="20"/>
                <w:szCs w:val="20"/>
                <w:color w:val="auto"/>
              </w:rPr>
            </w:pPr>
            <w:r>
              <w:rPr>
                <w:rFonts w:ascii="Arial" w:cs="Arial" w:eastAsia="Arial" w:hAnsi="Arial"/>
                <w:sz w:val="14"/>
                <w:szCs w:val="14"/>
                <w:color w:val="auto"/>
              </w:rPr>
              <w:t>12,249</w:t>
            </w:r>
          </w:p>
        </w:tc>
        <w:tc>
          <w:tcPr>
            <w:tcW w:w="1180" w:type="dxa"/>
            <w:vAlign w:val="bottom"/>
          </w:tcPr>
          <w:p>
            <w:pPr>
              <w:jc w:val="center"/>
              <w:ind w:left="88"/>
              <w:spacing w:after="0"/>
              <w:rPr>
                <w:sz w:val="20"/>
                <w:szCs w:val="20"/>
                <w:color w:val="auto"/>
              </w:rPr>
            </w:pPr>
            <w:r>
              <w:rPr>
                <w:rFonts w:ascii="Arial" w:cs="Arial" w:eastAsia="Arial" w:hAnsi="Arial"/>
                <w:sz w:val="14"/>
                <w:szCs w:val="14"/>
                <w:color w:val="auto"/>
              </w:rPr>
              <w:t>Industrial</w:t>
            </w:r>
          </w:p>
        </w:tc>
        <w:tc>
          <w:tcPr>
            <w:tcW w:w="1060" w:type="dxa"/>
            <w:vAlign w:val="bottom"/>
            <w:vMerge w:val="restart"/>
          </w:tcPr>
          <w:p>
            <w:pPr>
              <w:jc w:val="right"/>
              <w:ind w:right="386"/>
              <w:spacing w:after="0" w:line="141" w:lineRule="exact"/>
              <w:rPr>
                <w:sz w:val="20"/>
                <w:szCs w:val="20"/>
                <w:color w:val="auto"/>
              </w:rPr>
            </w:pPr>
            <w:r>
              <w:rPr>
                <w:rFonts w:ascii="MS PGothic" w:cs="MS PGothic" w:eastAsia="MS PGothic" w:hAnsi="MS PGothic"/>
                <w:sz w:val="14"/>
                <w:szCs w:val="14"/>
                <w:color w:val="auto"/>
              </w:rPr>
              <w:t>✗</w:t>
            </w:r>
          </w:p>
        </w:tc>
        <w:tc>
          <w:tcPr>
            <w:tcW w:w="1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3500" w:type="dxa"/>
            <w:vAlign w:val="bottom"/>
            <w:tcBorders>
              <w:right w:val="single" w:sz="8" w:color="999999"/>
            </w:tcBorders>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1180" w:type="dxa"/>
            <w:vAlign w:val="bottom"/>
            <w:vMerge w:val="restart"/>
          </w:tcPr>
          <w:p>
            <w:pPr>
              <w:jc w:val="center"/>
              <w:ind w:left="88"/>
              <w:spacing w:after="0"/>
              <w:rPr>
                <w:sz w:val="20"/>
                <w:szCs w:val="20"/>
                <w:color w:val="auto"/>
              </w:rPr>
            </w:pPr>
            <w:r>
              <w:rPr>
                <w:rFonts w:ascii="Arial" w:cs="Arial" w:eastAsia="Arial" w:hAnsi="Arial"/>
                <w:sz w:val="14"/>
                <w:szCs w:val="14"/>
                <w:color w:val="auto"/>
              </w:rPr>
              <w:t>Machinery</w:t>
            </w:r>
          </w:p>
        </w:tc>
        <w:tc>
          <w:tcPr>
            <w:tcW w:w="106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5"/>
        </w:trPr>
        <w:tc>
          <w:tcPr>
            <w:tcW w:w="3500" w:type="dxa"/>
            <w:vAlign w:val="bottom"/>
            <w:tcBorders>
              <w:right w:val="single" w:sz="8" w:color="999999"/>
            </w:tcBorders>
          </w:tcPr>
          <w:p>
            <w:pPr>
              <w:spacing w:after="0"/>
              <w:rPr>
                <w:sz w:val="5"/>
                <w:szCs w:val="5"/>
                <w:color w:val="auto"/>
              </w:rPr>
            </w:pPr>
          </w:p>
        </w:tc>
        <w:tc>
          <w:tcPr>
            <w:tcW w:w="540" w:type="dxa"/>
            <w:vAlign w:val="bottom"/>
          </w:tcPr>
          <w:p>
            <w:pPr>
              <w:spacing w:after="0"/>
              <w:rPr>
                <w:sz w:val="5"/>
                <w:szCs w:val="5"/>
                <w:color w:val="auto"/>
              </w:rPr>
            </w:pPr>
          </w:p>
        </w:tc>
        <w:tc>
          <w:tcPr>
            <w:tcW w:w="8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3500" w:type="dxa"/>
            <w:vAlign w:val="bottom"/>
            <w:tcBorders>
              <w:right w:val="single" w:sz="8" w:color="999999"/>
            </w:tcBorders>
          </w:tcPr>
          <w:p>
            <w:pPr>
              <w:spacing w:after="0"/>
              <w:rPr>
                <w:sz w:val="3"/>
                <w:szCs w:val="3"/>
                <w:color w:val="auto"/>
              </w:rPr>
            </w:pPr>
          </w:p>
        </w:tc>
        <w:tc>
          <w:tcPr>
            <w:tcW w:w="5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7"/>
        </w:trPr>
        <w:tc>
          <w:tcPr>
            <w:tcW w:w="3500" w:type="dxa"/>
            <w:vAlign w:val="bottom"/>
            <w:tcBorders>
              <w:right w:val="single" w:sz="8" w:color="999999"/>
            </w:tcBorders>
            <w:vMerge w:val="restart"/>
            <w:shd w:val="clear" w:color="auto" w:fill="D8D8D8"/>
          </w:tcPr>
          <w:p>
            <w:pPr>
              <w:ind w:left="220"/>
              <w:spacing w:after="0"/>
              <w:rPr>
                <w:sz w:val="20"/>
                <w:szCs w:val="20"/>
                <w:color w:val="auto"/>
              </w:rPr>
            </w:pPr>
            <w:r>
              <w:rPr>
                <w:rFonts w:ascii="Arial" w:cs="Arial" w:eastAsia="Arial" w:hAnsi="Arial"/>
                <w:sz w:val="14"/>
                <w:szCs w:val="14"/>
                <w:b w:val="1"/>
                <w:bCs w:val="1"/>
                <w:color w:val="auto"/>
              </w:rPr>
              <w:t>WEATHERFORD INTERNATIONAL LIMITED</w:t>
            </w:r>
          </w:p>
        </w:tc>
        <w:tc>
          <w:tcPr>
            <w:tcW w:w="540" w:type="dxa"/>
            <w:vAlign w:val="bottom"/>
            <w:shd w:val="clear" w:color="auto" w:fill="D8D8D8"/>
          </w:tcPr>
          <w:p>
            <w:pPr>
              <w:spacing w:after="0"/>
              <w:rPr>
                <w:sz w:val="18"/>
                <w:szCs w:val="18"/>
                <w:color w:val="auto"/>
              </w:rPr>
            </w:pPr>
          </w:p>
        </w:tc>
        <w:tc>
          <w:tcPr>
            <w:tcW w:w="880" w:type="dxa"/>
            <w:vAlign w:val="bottom"/>
            <w:shd w:val="clear" w:color="auto" w:fill="D8D8D8"/>
          </w:tcPr>
          <w:p>
            <w:pPr>
              <w:spacing w:after="0"/>
              <w:rPr>
                <w:sz w:val="18"/>
                <w:szCs w:val="18"/>
                <w:color w:val="auto"/>
              </w:rPr>
            </w:pPr>
          </w:p>
        </w:tc>
        <w:tc>
          <w:tcPr>
            <w:tcW w:w="440" w:type="dxa"/>
            <w:vAlign w:val="bottom"/>
            <w:shd w:val="clear" w:color="auto" w:fill="D8D8D8"/>
          </w:tcPr>
          <w:p>
            <w:pPr>
              <w:spacing w:after="0"/>
              <w:rPr>
                <w:sz w:val="18"/>
                <w:szCs w:val="18"/>
                <w:color w:val="auto"/>
              </w:rPr>
            </w:pPr>
          </w:p>
        </w:tc>
        <w:tc>
          <w:tcPr>
            <w:tcW w:w="760" w:type="dxa"/>
            <w:vAlign w:val="bottom"/>
            <w:shd w:val="clear" w:color="auto" w:fill="D8D8D8"/>
          </w:tcPr>
          <w:p>
            <w:pPr>
              <w:spacing w:after="0"/>
              <w:rPr>
                <w:sz w:val="18"/>
                <w:szCs w:val="18"/>
                <w:color w:val="auto"/>
              </w:rPr>
            </w:pPr>
          </w:p>
        </w:tc>
        <w:tc>
          <w:tcPr>
            <w:tcW w:w="1180" w:type="dxa"/>
            <w:vAlign w:val="bottom"/>
            <w:shd w:val="clear" w:color="auto" w:fill="D8D8D8"/>
          </w:tcPr>
          <w:p>
            <w:pPr>
              <w:jc w:val="center"/>
              <w:ind w:left="88"/>
              <w:spacing w:after="0"/>
              <w:rPr>
                <w:sz w:val="20"/>
                <w:szCs w:val="20"/>
                <w:color w:val="auto"/>
              </w:rPr>
            </w:pPr>
            <w:r>
              <w:rPr>
                <w:rFonts w:ascii="Arial" w:cs="Arial" w:eastAsia="Arial" w:hAnsi="Arial"/>
                <w:sz w:val="14"/>
                <w:szCs w:val="14"/>
                <w:color w:val="auto"/>
              </w:rPr>
              <w:t>Energy</w:t>
            </w:r>
          </w:p>
        </w:tc>
        <w:tc>
          <w:tcPr>
            <w:tcW w:w="1060" w:type="dxa"/>
            <w:vAlign w:val="bottom"/>
            <w:vMerge w:val="restart"/>
            <w:shd w:val="clear" w:color="auto" w:fill="D8D8D8"/>
          </w:tcPr>
          <w:p>
            <w:pPr>
              <w:jc w:val="right"/>
              <w:ind w:right="386"/>
              <w:spacing w:after="0" w:line="141" w:lineRule="exact"/>
              <w:rPr>
                <w:sz w:val="20"/>
                <w:szCs w:val="20"/>
                <w:color w:val="auto"/>
              </w:rPr>
            </w:pPr>
            <w:r>
              <w:rPr>
                <w:rFonts w:ascii="MS PGothic" w:cs="MS PGothic" w:eastAsia="MS PGothic" w:hAnsi="MS PGothic"/>
                <w:sz w:val="14"/>
                <w:szCs w:val="14"/>
                <w:color w:val="auto"/>
              </w:rPr>
              <w:t>✗</w:t>
            </w:r>
          </w:p>
        </w:tc>
        <w:tc>
          <w:tcPr>
            <w:tcW w:w="1160" w:type="dxa"/>
            <w:vAlign w:val="bottom"/>
            <w:shd w:val="clear" w:color="auto" w:fill="D8D8D8"/>
          </w:tcPr>
          <w:p>
            <w:pPr>
              <w:spacing w:after="0"/>
              <w:rPr>
                <w:sz w:val="18"/>
                <w:szCs w:val="18"/>
                <w:color w:val="auto"/>
              </w:rPr>
            </w:pPr>
          </w:p>
        </w:tc>
        <w:tc>
          <w:tcPr>
            <w:tcW w:w="1480" w:type="dxa"/>
            <w:vAlign w:val="bottom"/>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500" w:type="dxa"/>
            <w:vAlign w:val="bottom"/>
            <w:tcBorders>
              <w:right w:val="single" w:sz="8" w:color="999999"/>
            </w:tcBorders>
            <w:vMerge w:val="continue"/>
            <w:shd w:val="clear" w:color="auto" w:fill="D8D8D8"/>
          </w:tcPr>
          <w:p>
            <w:pPr>
              <w:spacing w:after="0"/>
              <w:rPr>
                <w:sz w:val="14"/>
                <w:szCs w:val="14"/>
                <w:color w:val="auto"/>
              </w:rPr>
            </w:pPr>
          </w:p>
        </w:tc>
        <w:tc>
          <w:tcPr>
            <w:tcW w:w="540" w:type="dxa"/>
            <w:vAlign w:val="bottom"/>
            <w:shd w:val="clear" w:color="auto" w:fill="D8D8D8"/>
          </w:tcPr>
          <w:p>
            <w:pPr>
              <w:ind w:left="460"/>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D8D8D8"/>
          </w:tcPr>
          <w:p>
            <w:pPr>
              <w:jc w:val="right"/>
              <w:ind w:right="368"/>
              <w:spacing w:after="0"/>
              <w:rPr>
                <w:sz w:val="20"/>
                <w:szCs w:val="20"/>
                <w:color w:val="auto"/>
              </w:rPr>
            </w:pPr>
            <w:r>
              <w:rPr>
                <w:rFonts w:ascii="Arial" w:cs="Arial" w:eastAsia="Arial" w:hAnsi="Arial"/>
                <w:sz w:val="14"/>
                <w:szCs w:val="14"/>
                <w:color w:val="auto"/>
              </w:rPr>
              <w:t>5,699</w:t>
            </w:r>
          </w:p>
        </w:tc>
        <w:tc>
          <w:tcPr>
            <w:tcW w:w="440" w:type="dxa"/>
            <w:vAlign w:val="bottom"/>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D8D8D8"/>
          </w:tcPr>
          <w:p>
            <w:pPr>
              <w:jc w:val="right"/>
              <w:ind w:right="168"/>
              <w:spacing w:after="0"/>
              <w:rPr>
                <w:sz w:val="20"/>
                <w:szCs w:val="20"/>
                <w:color w:val="auto"/>
              </w:rPr>
            </w:pPr>
            <w:r>
              <w:rPr>
                <w:rFonts w:ascii="Arial" w:cs="Arial" w:eastAsia="Arial" w:hAnsi="Arial"/>
                <w:sz w:val="14"/>
                <w:szCs w:val="14"/>
                <w:color w:val="auto"/>
              </w:rPr>
              <w:t>4,139</w:t>
            </w:r>
          </w:p>
        </w:tc>
        <w:tc>
          <w:tcPr>
            <w:tcW w:w="1180" w:type="dxa"/>
            <w:vAlign w:val="bottom"/>
            <w:shd w:val="clear" w:color="auto" w:fill="D8D8D8"/>
          </w:tcPr>
          <w:p>
            <w:pPr>
              <w:jc w:val="center"/>
              <w:ind w:left="88"/>
              <w:spacing w:after="0"/>
              <w:rPr>
                <w:sz w:val="20"/>
                <w:szCs w:val="20"/>
                <w:color w:val="auto"/>
              </w:rPr>
            </w:pPr>
            <w:r>
              <w:rPr>
                <w:rFonts w:ascii="Arial" w:cs="Arial" w:eastAsia="Arial" w:hAnsi="Arial"/>
                <w:sz w:val="14"/>
                <w:szCs w:val="14"/>
                <w:color w:val="auto"/>
              </w:rPr>
              <w:t>Equipment &amp;</w:t>
            </w:r>
          </w:p>
        </w:tc>
        <w:tc>
          <w:tcPr>
            <w:tcW w:w="1060" w:type="dxa"/>
            <w:vAlign w:val="bottom"/>
            <w:vMerge w:val="continue"/>
            <w:shd w:val="clear" w:color="auto" w:fill="D8D8D8"/>
          </w:tcPr>
          <w:p>
            <w:pPr>
              <w:spacing w:after="0"/>
              <w:rPr>
                <w:sz w:val="14"/>
                <w:szCs w:val="14"/>
                <w:color w:val="auto"/>
              </w:rPr>
            </w:pPr>
          </w:p>
        </w:tc>
        <w:tc>
          <w:tcPr>
            <w:tcW w:w="1160" w:type="dxa"/>
            <w:vAlign w:val="bottom"/>
            <w:shd w:val="clear" w:color="auto" w:fill="D8D8D8"/>
          </w:tcPr>
          <w:p>
            <w:pPr>
              <w:spacing w:after="0"/>
              <w:rPr>
                <w:sz w:val="14"/>
                <w:szCs w:val="14"/>
                <w:color w:val="auto"/>
              </w:rPr>
            </w:pPr>
          </w:p>
        </w:tc>
        <w:tc>
          <w:tcPr>
            <w:tcW w:w="1480" w:type="dxa"/>
            <w:vAlign w:val="bottom"/>
            <w:shd w:val="clear" w:color="auto" w:fill="D8D8D8"/>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3500" w:type="dxa"/>
            <w:vAlign w:val="bottom"/>
            <w:tcBorders>
              <w:bottom w:val="single" w:sz="8" w:color="D8D8D8"/>
              <w:right w:val="single" w:sz="8" w:color="999999"/>
            </w:tcBorders>
            <w:shd w:val="clear" w:color="auto" w:fill="D8D8D8"/>
          </w:tcPr>
          <w:p>
            <w:pPr>
              <w:spacing w:after="0"/>
              <w:rPr>
                <w:sz w:val="16"/>
                <w:szCs w:val="16"/>
                <w:color w:val="auto"/>
              </w:rPr>
            </w:pPr>
          </w:p>
        </w:tc>
        <w:tc>
          <w:tcPr>
            <w:tcW w:w="540" w:type="dxa"/>
            <w:vAlign w:val="bottom"/>
            <w:tcBorders>
              <w:bottom w:val="single" w:sz="8" w:color="D8D8D8"/>
            </w:tcBorders>
            <w:shd w:val="clear" w:color="auto" w:fill="D8D8D8"/>
          </w:tcPr>
          <w:p>
            <w:pPr>
              <w:spacing w:after="0"/>
              <w:rPr>
                <w:sz w:val="16"/>
                <w:szCs w:val="16"/>
                <w:color w:val="auto"/>
              </w:rPr>
            </w:pPr>
          </w:p>
        </w:tc>
        <w:tc>
          <w:tcPr>
            <w:tcW w:w="880" w:type="dxa"/>
            <w:vAlign w:val="bottom"/>
            <w:tcBorders>
              <w:bottom w:val="single" w:sz="8" w:color="D8D8D8"/>
            </w:tcBorders>
            <w:shd w:val="clear" w:color="auto" w:fill="D8D8D8"/>
          </w:tcPr>
          <w:p>
            <w:pPr>
              <w:spacing w:after="0"/>
              <w:rPr>
                <w:sz w:val="16"/>
                <w:szCs w:val="16"/>
                <w:color w:val="auto"/>
              </w:rPr>
            </w:pPr>
          </w:p>
        </w:tc>
        <w:tc>
          <w:tcPr>
            <w:tcW w:w="440" w:type="dxa"/>
            <w:vAlign w:val="bottom"/>
            <w:tcBorders>
              <w:bottom w:val="single" w:sz="8" w:color="D8D8D8"/>
            </w:tcBorders>
            <w:shd w:val="clear" w:color="auto" w:fill="D8D8D8"/>
          </w:tcPr>
          <w:p>
            <w:pPr>
              <w:spacing w:after="0"/>
              <w:rPr>
                <w:sz w:val="16"/>
                <w:szCs w:val="16"/>
                <w:color w:val="auto"/>
              </w:rPr>
            </w:pPr>
          </w:p>
        </w:tc>
        <w:tc>
          <w:tcPr>
            <w:tcW w:w="760" w:type="dxa"/>
            <w:vAlign w:val="bottom"/>
            <w:tcBorders>
              <w:bottom w:val="single" w:sz="8" w:color="D8D8D8"/>
            </w:tcBorders>
            <w:shd w:val="clear" w:color="auto" w:fill="D8D8D8"/>
          </w:tcPr>
          <w:p>
            <w:pPr>
              <w:spacing w:after="0"/>
              <w:rPr>
                <w:sz w:val="16"/>
                <w:szCs w:val="16"/>
                <w:color w:val="auto"/>
              </w:rPr>
            </w:pPr>
          </w:p>
        </w:tc>
        <w:tc>
          <w:tcPr>
            <w:tcW w:w="1180" w:type="dxa"/>
            <w:vAlign w:val="bottom"/>
            <w:tcBorders>
              <w:bottom w:val="single" w:sz="8" w:color="D8D8D8"/>
            </w:tcBorders>
            <w:shd w:val="clear" w:color="auto" w:fill="D8D8D8"/>
          </w:tcPr>
          <w:p>
            <w:pPr>
              <w:jc w:val="center"/>
              <w:ind w:left="68"/>
              <w:spacing w:after="0"/>
              <w:rPr>
                <w:sz w:val="20"/>
                <w:szCs w:val="20"/>
                <w:color w:val="auto"/>
              </w:rPr>
            </w:pPr>
            <w:r>
              <w:rPr>
                <w:rFonts w:ascii="Arial" w:cs="Arial" w:eastAsia="Arial" w:hAnsi="Arial"/>
                <w:sz w:val="14"/>
                <w:szCs w:val="14"/>
                <w:color w:val="auto"/>
              </w:rPr>
              <w:t>Services</w:t>
            </w:r>
          </w:p>
        </w:tc>
        <w:tc>
          <w:tcPr>
            <w:tcW w:w="1060" w:type="dxa"/>
            <w:vAlign w:val="bottom"/>
            <w:tcBorders>
              <w:bottom w:val="single" w:sz="8" w:color="D8D8D8"/>
            </w:tcBorders>
            <w:shd w:val="clear" w:color="auto" w:fill="D8D8D8"/>
          </w:tcPr>
          <w:p>
            <w:pPr>
              <w:spacing w:after="0"/>
              <w:rPr>
                <w:sz w:val="16"/>
                <w:szCs w:val="16"/>
                <w:color w:val="auto"/>
              </w:rPr>
            </w:pPr>
          </w:p>
        </w:tc>
        <w:tc>
          <w:tcPr>
            <w:tcW w:w="1160" w:type="dxa"/>
            <w:vAlign w:val="bottom"/>
            <w:tcBorders>
              <w:bottom w:val="single" w:sz="8" w:color="D8D8D8"/>
            </w:tcBorders>
            <w:shd w:val="clear" w:color="auto" w:fill="D8D8D8"/>
          </w:tcPr>
          <w:p>
            <w:pPr>
              <w:spacing w:after="0"/>
              <w:rPr>
                <w:sz w:val="16"/>
                <w:szCs w:val="16"/>
                <w:color w:val="auto"/>
              </w:rPr>
            </w:pPr>
          </w:p>
        </w:tc>
        <w:tc>
          <w:tcPr>
            <w:tcW w:w="1480" w:type="dxa"/>
            <w:vAlign w:val="bottom"/>
            <w:tcBorders>
              <w:bottom w:val="single" w:sz="8" w:color="D8D8D8"/>
            </w:tcBorders>
            <w:shd w:val="clear" w:color="auto" w:fill="D8D8D8"/>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3500" w:type="dxa"/>
            <w:vAlign w:val="bottom"/>
            <w:tcBorders>
              <w:right w:val="single" w:sz="8" w:color="999999"/>
            </w:tcBorders>
          </w:tcPr>
          <w:p>
            <w:pPr>
              <w:ind w:left="220"/>
              <w:spacing w:after="0"/>
              <w:rPr>
                <w:sz w:val="20"/>
                <w:szCs w:val="20"/>
                <w:color w:val="auto"/>
              </w:rPr>
            </w:pPr>
            <w:r>
              <w:rPr>
                <w:rFonts w:ascii="Arial" w:cs="Arial" w:eastAsia="Arial" w:hAnsi="Arial"/>
                <w:sz w:val="14"/>
                <w:szCs w:val="14"/>
                <w:b w:val="1"/>
                <w:bCs w:val="1"/>
                <w:color w:val="auto"/>
              </w:rPr>
              <w:t>75TH PERCENTILE</w:t>
            </w:r>
          </w:p>
        </w:tc>
        <w:tc>
          <w:tcPr>
            <w:tcW w:w="540" w:type="dxa"/>
            <w:vAlign w:val="bottom"/>
          </w:tcPr>
          <w:p>
            <w:pPr>
              <w:ind w:left="460"/>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368"/>
              <w:spacing w:after="0"/>
              <w:rPr>
                <w:sz w:val="20"/>
                <w:szCs w:val="20"/>
                <w:color w:val="auto"/>
              </w:rPr>
            </w:pPr>
            <w:r>
              <w:rPr>
                <w:rFonts w:ascii="Arial" w:cs="Arial" w:eastAsia="Arial" w:hAnsi="Arial"/>
                <w:sz w:val="14"/>
                <w:szCs w:val="14"/>
                <w:color w:val="auto"/>
                <w:w w:val="97"/>
              </w:rPr>
              <w:t>14,227</w:t>
            </w: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68"/>
              <w:spacing w:after="0"/>
              <w:rPr>
                <w:sz w:val="20"/>
                <w:szCs w:val="20"/>
                <w:color w:val="auto"/>
              </w:rPr>
            </w:pPr>
            <w:r>
              <w:rPr>
                <w:rFonts w:ascii="Arial" w:cs="Arial" w:eastAsia="Arial" w:hAnsi="Arial"/>
                <w:sz w:val="14"/>
                <w:szCs w:val="14"/>
                <w:color w:val="auto"/>
              </w:rPr>
              <w:t>28,645</w:t>
            </w:r>
          </w:p>
        </w:tc>
        <w:tc>
          <w:tcPr>
            <w:tcW w:w="1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3500" w:type="dxa"/>
            <w:vAlign w:val="bottom"/>
            <w:tcBorders>
              <w:bottom w:val="single" w:sz="8" w:color="D8D8D8"/>
              <w:right w:val="single" w:sz="8" w:color="999999"/>
            </w:tcBorders>
            <w:shd w:val="clear" w:color="auto" w:fill="D8D8D8"/>
          </w:tcPr>
          <w:p>
            <w:pPr>
              <w:ind w:left="220"/>
              <w:spacing w:after="0"/>
              <w:rPr>
                <w:sz w:val="20"/>
                <w:szCs w:val="20"/>
                <w:color w:val="auto"/>
              </w:rPr>
            </w:pPr>
            <w:r>
              <w:rPr>
                <w:rFonts w:ascii="Arial" w:cs="Arial" w:eastAsia="Arial" w:hAnsi="Arial"/>
                <w:sz w:val="14"/>
                <w:szCs w:val="14"/>
                <w:b w:val="1"/>
                <w:bCs w:val="1"/>
                <w:color w:val="auto"/>
              </w:rPr>
              <w:t>MEDIAN</w:t>
            </w:r>
          </w:p>
        </w:tc>
        <w:tc>
          <w:tcPr>
            <w:tcW w:w="540" w:type="dxa"/>
            <w:vAlign w:val="bottom"/>
            <w:tcBorders>
              <w:bottom w:val="single" w:sz="8" w:color="D8D8D8"/>
            </w:tcBorders>
            <w:shd w:val="clear" w:color="auto" w:fill="D8D8D8"/>
          </w:tcPr>
          <w:p>
            <w:pPr>
              <w:ind w:left="460"/>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D8D8D8"/>
            </w:tcBorders>
            <w:shd w:val="clear" w:color="auto" w:fill="D8D8D8"/>
          </w:tcPr>
          <w:p>
            <w:pPr>
              <w:jc w:val="right"/>
              <w:ind w:right="368"/>
              <w:spacing w:after="0"/>
              <w:rPr>
                <w:sz w:val="20"/>
                <w:szCs w:val="20"/>
                <w:color w:val="auto"/>
              </w:rPr>
            </w:pPr>
            <w:r>
              <w:rPr>
                <w:rFonts w:ascii="Arial" w:cs="Arial" w:eastAsia="Arial" w:hAnsi="Arial"/>
                <w:sz w:val="14"/>
                <w:szCs w:val="14"/>
                <w:color w:val="auto"/>
              </w:rPr>
              <w:t>6,484</w:t>
            </w:r>
          </w:p>
        </w:tc>
        <w:tc>
          <w:tcPr>
            <w:tcW w:w="440" w:type="dxa"/>
            <w:vAlign w:val="bottom"/>
            <w:tcBorders>
              <w:bottom w:val="single" w:sz="8" w:color="D8D8D8"/>
            </w:tcBorders>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D8D8D8"/>
            </w:tcBorders>
            <w:shd w:val="clear" w:color="auto" w:fill="D8D8D8"/>
          </w:tcPr>
          <w:p>
            <w:pPr>
              <w:jc w:val="right"/>
              <w:ind w:right="168"/>
              <w:spacing w:after="0"/>
              <w:rPr>
                <w:sz w:val="20"/>
                <w:szCs w:val="20"/>
                <w:color w:val="auto"/>
              </w:rPr>
            </w:pPr>
            <w:r>
              <w:rPr>
                <w:rFonts w:ascii="Arial" w:cs="Arial" w:eastAsia="Arial" w:hAnsi="Arial"/>
                <w:sz w:val="14"/>
                <w:szCs w:val="14"/>
                <w:color w:val="auto"/>
              </w:rPr>
              <w:t>23,716</w:t>
            </w:r>
          </w:p>
        </w:tc>
        <w:tc>
          <w:tcPr>
            <w:tcW w:w="1180" w:type="dxa"/>
            <w:vAlign w:val="bottom"/>
            <w:tcBorders>
              <w:bottom w:val="single" w:sz="8" w:color="D8D8D8"/>
            </w:tcBorders>
            <w:shd w:val="clear" w:color="auto" w:fill="D8D8D8"/>
          </w:tcPr>
          <w:p>
            <w:pPr>
              <w:spacing w:after="0"/>
              <w:rPr>
                <w:sz w:val="20"/>
                <w:szCs w:val="20"/>
                <w:color w:val="auto"/>
              </w:rPr>
            </w:pPr>
          </w:p>
        </w:tc>
        <w:tc>
          <w:tcPr>
            <w:tcW w:w="1060" w:type="dxa"/>
            <w:vAlign w:val="bottom"/>
            <w:tcBorders>
              <w:bottom w:val="single" w:sz="8" w:color="D8D8D8"/>
            </w:tcBorders>
            <w:shd w:val="clear" w:color="auto" w:fill="D8D8D8"/>
          </w:tcPr>
          <w:p>
            <w:pPr>
              <w:spacing w:after="0"/>
              <w:rPr>
                <w:sz w:val="20"/>
                <w:szCs w:val="20"/>
                <w:color w:val="auto"/>
              </w:rPr>
            </w:pPr>
          </w:p>
        </w:tc>
        <w:tc>
          <w:tcPr>
            <w:tcW w:w="1160" w:type="dxa"/>
            <w:vAlign w:val="bottom"/>
            <w:tcBorders>
              <w:bottom w:val="single" w:sz="8" w:color="D8D8D8"/>
            </w:tcBorders>
            <w:shd w:val="clear" w:color="auto" w:fill="D8D8D8"/>
          </w:tcPr>
          <w:p>
            <w:pPr>
              <w:spacing w:after="0"/>
              <w:rPr>
                <w:sz w:val="20"/>
                <w:szCs w:val="20"/>
                <w:color w:val="auto"/>
              </w:rPr>
            </w:pPr>
          </w:p>
        </w:tc>
        <w:tc>
          <w:tcPr>
            <w:tcW w:w="1480" w:type="dxa"/>
            <w:vAlign w:val="bottom"/>
            <w:tcBorders>
              <w:bottom w:val="single" w:sz="8" w:color="D8D8D8"/>
            </w:tcBorders>
            <w:shd w:val="clear" w:color="auto" w:fill="D8D8D8"/>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3500" w:type="dxa"/>
            <w:vAlign w:val="bottom"/>
            <w:tcBorders>
              <w:right w:val="single" w:sz="8" w:color="999999"/>
            </w:tcBorders>
          </w:tcPr>
          <w:p>
            <w:pPr>
              <w:ind w:left="220"/>
              <w:spacing w:after="0"/>
              <w:rPr>
                <w:sz w:val="20"/>
                <w:szCs w:val="20"/>
                <w:color w:val="auto"/>
              </w:rPr>
            </w:pPr>
            <w:r>
              <w:rPr>
                <w:rFonts w:ascii="Arial" w:cs="Arial" w:eastAsia="Arial" w:hAnsi="Arial"/>
                <w:sz w:val="14"/>
                <w:szCs w:val="14"/>
                <w:b w:val="1"/>
                <w:bCs w:val="1"/>
                <w:color w:val="auto"/>
              </w:rPr>
              <w:t>25TH PERCENTILE</w:t>
            </w:r>
          </w:p>
        </w:tc>
        <w:tc>
          <w:tcPr>
            <w:tcW w:w="540" w:type="dxa"/>
            <w:vAlign w:val="bottom"/>
          </w:tcPr>
          <w:p>
            <w:pPr>
              <w:ind w:left="460"/>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368"/>
              <w:spacing w:after="0"/>
              <w:rPr>
                <w:sz w:val="20"/>
                <w:szCs w:val="20"/>
                <w:color w:val="auto"/>
              </w:rPr>
            </w:pPr>
            <w:r>
              <w:rPr>
                <w:rFonts w:ascii="Arial" w:cs="Arial" w:eastAsia="Arial" w:hAnsi="Arial"/>
                <w:sz w:val="14"/>
                <w:szCs w:val="14"/>
                <w:color w:val="auto"/>
              </w:rPr>
              <w:t>4,682</w:t>
            </w: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68"/>
              <w:spacing w:after="0"/>
              <w:rPr>
                <w:sz w:val="20"/>
                <w:szCs w:val="20"/>
                <w:color w:val="auto"/>
              </w:rPr>
            </w:pPr>
            <w:r>
              <w:rPr>
                <w:rFonts w:ascii="Arial" w:cs="Arial" w:eastAsia="Arial" w:hAnsi="Arial"/>
                <w:sz w:val="14"/>
                <w:szCs w:val="14"/>
                <w:color w:val="auto"/>
              </w:rPr>
              <w:t>10,948</w:t>
            </w:r>
          </w:p>
        </w:tc>
        <w:tc>
          <w:tcPr>
            <w:tcW w:w="1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
        </w:trPr>
        <w:tc>
          <w:tcPr>
            <w:tcW w:w="3500" w:type="dxa"/>
            <w:vAlign w:val="bottom"/>
            <w:tcBorders>
              <w:right w:val="single" w:sz="8" w:color="999999"/>
            </w:tcBorders>
          </w:tcPr>
          <w:p>
            <w:pPr>
              <w:spacing w:after="0"/>
              <w:rPr>
                <w:sz w:val="3"/>
                <w:szCs w:val="3"/>
                <w:color w:val="auto"/>
              </w:rPr>
            </w:pPr>
          </w:p>
        </w:tc>
        <w:tc>
          <w:tcPr>
            <w:tcW w:w="5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7"/>
        </w:trPr>
        <w:tc>
          <w:tcPr>
            <w:tcW w:w="3500" w:type="dxa"/>
            <w:vAlign w:val="bottom"/>
            <w:tcBorders>
              <w:right w:val="single" w:sz="8" w:color="999999"/>
            </w:tcBorders>
            <w:shd w:val="clear" w:color="auto" w:fill="D8D8D8"/>
          </w:tcPr>
          <w:p>
            <w:pPr>
              <w:ind w:left="220"/>
              <w:spacing w:after="0"/>
              <w:rPr>
                <w:sz w:val="20"/>
                <w:szCs w:val="20"/>
                <w:color w:val="auto"/>
              </w:rPr>
            </w:pPr>
            <w:r>
              <w:rPr>
                <w:rFonts w:ascii="Arial" w:cs="Arial" w:eastAsia="Arial" w:hAnsi="Arial"/>
                <w:sz w:val="14"/>
                <w:szCs w:val="14"/>
                <w:b w:val="1"/>
                <w:bCs w:val="1"/>
                <w:color w:val="auto"/>
              </w:rPr>
              <w:t>DOVER</w:t>
            </w:r>
          </w:p>
        </w:tc>
        <w:tc>
          <w:tcPr>
            <w:tcW w:w="540" w:type="dxa"/>
            <w:vAlign w:val="bottom"/>
            <w:shd w:val="clear" w:color="auto" w:fill="D8D8D8"/>
          </w:tcPr>
          <w:p>
            <w:pPr>
              <w:ind w:left="460"/>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D8D8D8"/>
          </w:tcPr>
          <w:p>
            <w:pPr>
              <w:jc w:val="right"/>
              <w:ind w:right="368"/>
              <w:spacing w:after="0"/>
              <w:rPr>
                <w:sz w:val="20"/>
                <w:szCs w:val="20"/>
                <w:color w:val="auto"/>
              </w:rPr>
            </w:pPr>
            <w:r>
              <w:rPr>
                <w:rFonts w:ascii="Arial" w:cs="Arial" w:eastAsia="Arial" w:hAnsi="Arial"/>
                <w:sz w:val="14"/>
                <w:szCs w:val="14"/>
                <w:color w:val="auto"/>
              </w:rPr>
              <w:t>7,830</w:t>
            </w:r>
          </w:p>
        </w:tc>
        <w:tc>
          <w:tcPr>
            <w:tcW w:w="440" w:type="dxa"/>
            <w:vAlign w:val="bottom"/>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D8D8D8"/>
          </w:tcPr>
          <w:p>
            <w:pPr>
              <w:jc w:val="right"/>
              <w:ind w:right="168"/>
              <w:spacing w:after="0"/>
              <w:rPr>
                <w:sz w:val="20"/>
                <w:szCs w:val="20"/>
                <w:color w:val="auto"/>
              </w:rPr>
            </w:pPr>
            <w:r>
              <w:rPr>
                <w:rFonts w:ascii="Arial" w:cs="Arial" w:eastAsia="Arial" w:hAnsi="Arial"/>
                <w:sz w:val="14"/>
                <w:szCs w:val="14"/>
                <w:color w:val="auto"/>
              </w:rPr>
              <w:t>15,733</w:t>
            </w:r>
          </w:p>
        </w:tc>
        <w:tc>
          <w:tcPr>
            <w:tcW w:w="1180" w:type="dxa"/>
            <w:vAlign w:val="bottom"/>
            <w:shd w:val="clear" w:color="auto" w:fill="D8D8D8"/>
          </w:tcPr>
          <w:p>
            <w:pPr>
              <w:spacing w:after="0"/>
              <w:rPr>
                <w:sz w:val="18"/>
                <w:szCs w:val="18"/>
                <w:color w:val="auto"/>
              </w:rPr>
            </w:pPr>
          </w:p>
        </w:tc>
        <w:tc>
          <w:tcPr>
            <w:tcW w:w="1060" w:type="dxa"/>
            <w:vAlign w:val="bottom"/>
            <w:shd w:val="clear" w:color="auto" w:fill="D8D8D8"/>
          </w:tcPr>
          <w:p>
            <w:pPr>
              <w:spacing w:after="0"/>
              <w:rPr>
                <w:sz w:val="18"/>
                <w:szCs w:val="18"/>
                <w:color w:val="auto"/>
              </w:rPr>
            </w:pPr>
          </w:p>
        </w:tc>
        <w:tc>
          <w:tcPr>
            <w:tcW w:w="1160" w:type="dxa"/>
            <w:vAlign w:val="bottom"/>
            <w:shd w:val="clear" w:color="auto" w:fill="D8D8D8"/>
          </w:tcPr>
          <w:p>
            <w:pPr>
              <w:spacing w:after="0"/>
              <w:rPr>
                <w:sz w:val="18"/>
                <w:szCs w:val="18"/>
                <w:color w:val="auto"/>
              </w:rPr>
            </w:pPr>
          </w:p>
        </w:tc>
        <w:tc>
          <w:tcPr>
            <w:tcW w:w="1480" w:type="dxa"/>
            <w:vAlign w:val="bottom"/>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39"/>
        </w:trPr>
        <w:tc>
          <w:tcPr>
            <w:tcW w:w="3500" w:type="dxa"/>
            <w:vAlign w:val="bottom"/>
            <w:tcBorders>
              <w:right w:val="single" w:sz="8" w:color="999999"/>
            </w:tcBorders>
            <w:shd w:val="clear" w:color="auto" w:fill="D8D8D8"/>
          </w:tcPr>
          <w:p>
            <w:pPr>
              <w:spacing w:after="0"/>
              <w:rPr>
                <w:sz w:val="3"/>
                <w:szCs w:val="3"/>
                <w:color w:val="auto"/>
              </w:rPr>
            </w:pPr>
          </w:p>
        </w:tc>
        <w:tc>
          <w:tcPr>
            <w:tcW w:w="540" w:type="dxa"/>
            <w:vAlign w:val="bottom"/>
            <w:shd w:val="clear" w:color="auto" w:fill="D8D8D8"/>
          </w:tcPr>
          <w:p>
            <w:pPr>
              <w:spacing w:after="0"/>
              <w:rPr>
                <w:sz w:val="3"/>
                <w:szCs w:val="3"/>
                <w:color w:val="auto"/>
              </w:rPr>
            </w:pPr>
          </w:p>
        </w:tc>
        <w:tc>
          <w:tcPr>
            <w:tcW w:w="880" w:type="dxa"/>
            <w:vAlign w:val="bottom"/>
            <w:shd w:val="clear" w:color="auto" w:fill="D8D8D8"/>
          </w:tcPr>
          <w:p>
            <w:pPr>
              <w:spacing w:after="0"/>
              <w:rPr>
                <w:sz w:val="3"/>
                <w:szCs w:val="3"/>
                <w:color w:val="auto"/>
              </w:rPr>
            </w:pPr>
          </w:p>
        </w:tc>
        <w:tc>
          <w:tcPr>
            <w:tcW w:w="440" w:type="dxa"/>
            <w:vAlign w:val="bottom"/>
            <w:shd w:val="clear" w:color="auto" w:fill="D8D8D8"/>
          </w:tcPr>
          <w:p>
            <w:pPr>
              <w:spacing w:after="0"/>
              <w:rPr>
                <w:sz w:val="3"/>
                <w:szCs w:val="3"/>
                <w:color w:val="auto"/>
              </w:rPr>
            </w:pPr>
          </w:p>
        </w:tc>
        <w:tc>
          <w:tcPr>
            <w:tcW w:w="760" w:type="dxa"/>
            <w:vAlign w:val="bottom"/>
            <w:shd w:val="clear" w:color="auto" w:fill="D8D8D8"/>
          </w:tcPr>
          <w:p>
            <w:pPr>
              <w:spacing w:after="0"/>
              <w:rPr>
                <w:sz w:val="3"/>
                <w:szCs w:val="3"/>
                <w:color w:val="auto"/>
              </w:rPr>
            </w:pPr>
          </w:p>
        </w:tc>
        <w:tc>
          <w:tcPr>
            <w:tcW w:w="1180" w:type="dxa"/>
            <w:vAlign w:val="bottom"/>
            <w:shd w:val="clear" w:color="auto" w:fill="D8D8D8"/>
          </w:tcPr>
          <w:p>
            <w:pPr>
              <w:spacing w:after="0"/>
              <w:rPr>
                <w:sz w:val="3"/>
                <w:szCs w:val="3"/>
                <w:color w:val="auto"/>
              </w:rPr>
            </w:pPr>
          </w:p>
        </w:tc>
        <w:tc>
          <w:tcPr>
            <w:tcW w:w="1060" w:type="dxa"/>
            <w:vAlign w:val="bottom"/>
            <w:shd w:val="clear" w:color="auto" w:fill="D8D8D8"/>
          </w:tcPr>
          <w:p>
            <w:pPr>
              <w:spacing w:after="0"/>
              <w:rPr>
                <w:sz w:val="3"/>
                <w:szCs w:val="3"/>
                <w:color w:val="auto"/>
              </w:rPr>
            </w:pPr>
          </w:p>
        </w:tc>
        <w:tc>
          <w:tcPr>
            <w:tcW w:w="1160" w:type="dxa"/>
            <w:vAlign w:val="bottom"/>
            <w:shd w:val="clear" w:color="auto" w:fill="D8D8D8"/>
          </w:tcPr>
          <w:p>
            <w:pPr>
              <w:spacing w:after="0"/>
              <w:rPr>
                <w:sz w:val="3"/>
                <w:szCs w:val="3"/>
                <w:color w:val="auto"/>
              </w:rPr>
            </w:pPr>
          </w:p>
        </w:tc>
        <w:tc>
          <w:tcPr>
            <w:tcW w:w="1480" w:type="dxa"/>
            <w:vAlign w:val="bottom"/>
            <w:shd w:val="clear" w:color="auto" w:fill="D8D8D8"/>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ind w:left="540" w:hanging="330"/>
        <w:spacing w:after="0"/>
        <w:tabs>
          <w:tab w:leader="none" w:pos="540" w:val="left"/>
        </w:tabs>
        <w:numPr>
          <w:ilvl w:val="0"/>
          <w:numId w:val="40"/>
        </w:numPr>
        <w:rPr>
          <w:rFonts w:ascii="Arial" w:cs="Arial" w:eastAsia="Arial" w:hAnsi="Arial"/>
          <w:sz w:val="14"/>
          <w:szCs w:val="14"/>
          <w:i w:val="1"/>
          <w:iCs w:val="1"/>
          <w:color w:val="auto"/>
        </w:rPr>
      </w:pPr>
      <w:r>
        <w:rPr>
          <w:rFonts w:ascii="Arial" w:cs="Arial" w:eastAsia="Arial" w:hAnsi="Arial"/>
          <w:sz w:val="14"/>
          <w:szCs w:val="14"/>
          <w:i w:val="1"/>
          <w:iCs w:val="1"/>
          <w:color w:val="auto"/>
        </w:rPr>
        <w:t>As of 12/31/2017.</w:t>
      </w:r>
    </w:p>
    <w:p>
      <w:pPr>
        <w:spacing w:after="0" w:line="14" w:lineRule="exact"/>
        <w:rPr>
          <w:rFonts w:ascii="Arial" w:cs="Arial" w:eastAsia="Arial" w:hAnsi="Arial"/>
          <w:sz w:val="14"/>
          <w:szCs w:val="14"/>
          <w:i w:val="1"/>
          <w:iCs w:val="1"/>
          <w:color w:val="auto"/>
        </w:rPr>
      </w:pPr>
    </w:p>
    <w:p>
      <w:pPr>
        <w:ind w:left="540" w:hanging="330"/>
        <w:spacing w:after="0"/>
        <w:tabs>
          <w:tab w:leader="none" w:pos="540" w:val="left"/>
        </w:tabs>
        <w:numPr>
          <w:ilvl w:val="0"/>
          <w:numId w:val="40"/>
        </w:numPr>
        <w:rPr>
          <w:rFonts w:ascii="Arial" w:cs="Arial" w:eastAsia="Arial" w:hAnsi="Arial"/>
          <w:sz w:val="14"/>
          <w:szCs w:val="14"/>
          <w:i w:val="1"/>
          <w:iCs w:val="1"/>
          <w:color w:val="auto"/>
        </w:rPr>
      </w:pPr>
      <w:r>
        <w:rPr>
          <w:rFonts w:ascii="Arial" w:cs="Arial" w:eastAsia="Arial" w:hAnsi="Arial"/>
          <w:sz w:val="14"/>
          <w:szCs w:val="14"/>
          <w:i w:val="1"/>
          <w:iCs w:val="1"/>
          <w:color w:val="auto"/>
        </w:rPr>
        <w:t>“Same analyst coverage” means company is covered by at least 5 of the analysts that cover Dover.</w:t>
      </w:r>
    </w:p>
    <w:p>
      <w:pPr>
        <w:spacing w:after="0" w:line="126" w:lineRule="exact"/>
        <w:rPr>
          <w:sz w:val="20"/>
          <w:szCs w:val="20"/>
          <w:color w:val="auto"/>
        </w:rPr>
      </w:pPr>
    </w:p>
    <w:p>
      <w:pPr>
        <w:ind w:left="7380"/>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41</w:t>
      </w:r>
    </w:p>
    <w:p>
      <w:pPr>
        <w:sectPr>
          <w:pgSz w:w="11900" w:h="16838" w:orient="portrait"/>
          <w:cols w:equalWidth="0" w:num="1">
            <w:col w:w="11220"/>
          </w:cols>
          <w:pgMar w:left="240" w:top="459" w:right="4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COMPENSATION DISCUSSION AND ANALYSIS</w:t>
      </w:r>
    </w:p>
    <w:p>
      <w:pPr>
        <w:spacing w:after="0" w:line="153"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32406B"/>
        </w:rPr>
        <w:t>Role of Internal Equity in Setting Executive Compensation</w:t>
      </w:r>
    </w:p>
    <w:p>
      <w:pPr>
        <w:spacing w:after="0" w:line="106" w:lineRule="exact"/>
        <w:rPr>
          <w:sz w:val="20"/>
          <w:szCs w:val="20"/>
          <w:color w:val="auto"/>
        </w:rPr>
      </w:pPr>
    </w:p>
    <w:p>
      <w:pPr>
        <w:ind w:left="220" w:right="240"/>
        <w:spacing w:after="0" w:line="260" w:lineRule="auto"/>
        <w:rPr>
          <w:sz w:val="20"/>
          <w:szCs w:val="20"/>
          <w:color w:val="auto"/>
        </w:rPr>
      </w:pPr>
      <w:r>
        <w:rPr>
          <w:rFonts w:ascii="Arial" w:cs="Arial" w:eastAsia="Arial" w:hAnsi="Arial"/>
          <w:sz w:val="16"/>
          <w:szCs w:val="16"/>
          <w:color w:val="auto"/>
        </w:rPr>
        <w:t>Management and the Compensation Committee consider both market benchmarks (i.e., external equity), as well as the impact each executive role has relative to internal peers (i.e., internal equity) in establishing the executive pay structures used to govern pay.</w:t>
      </w:r>
    </w:p>
    <w:p>
      <w:pPr>
        <w:spacing w:after="0" w:line="175"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32406B"/>
        </w:rPr>
        <w:t>Role of the Independent Compensation Consultant</w:t>
      </w:r>
    </w:p>
    <w:p>
      <w:pPr>
        <w:spacing w:after="0" w:line="92" w:lineRule="exact"/>
        <w:rPr>
          <w:sz w:val="20"/>
          <w:szCs w:val="20"/>
          <w:color w:val="auto"/>
        </w:rPr>
      </w:pPr>
    </w:p>
    <w:p>
      <w:pPr>
        <w:ind w:left="220" w:right="120"/>
        <w:spacing w:after="0" w:line="248" w:lineRule="auto"/>
        <w:rPr>
          <w:sz w:val="20"/>
          <w:szCs w:val="20"/>
          <w:color w:val="auto"/>
        </w:rPr>
      </w:pPr>
      <w:r>
        <w:rPr>
          <w:rFonts w:ascii="Arial" w:cs="Arial" w:eastAsia="Arial" w:hAnsi="Arial"/>
          <w:sz w:val="16"/>
          <w:szCs w:val="16"/>
          <w:color w:val="auto"/>
        </w:rPr>
        <w:t>The Compensation Committee has the authority and discretion to retain external compensation consultants as it deems appropriate. The Compensation Committee has adopted a policy to ensure the continuing independence and accountability to the committee of any advisor hired to assist the committee in the discharge of its duties. The policy formalizes the independent relationship between the committee’s advisor and Dover, while permitting management limited ability to access the advisor’s knowledge of Dover for compensation matters. Under the policy, the Compensation Committee will annually review and pre-approve the services that may be provided to management by the independent advisor without further committee approval. Compensation Committee approval is required prior to Dover retaining the independent advisor for any executive compensation services or other consulting services or products above an aggregate annual limit of $50,000.</w:t>
      </w:r>
    </w:p>
    <w:p>
      <w:pPr>
        <w:spacing w:after="0" w:line="167" w:lineRule="exact"/>
        <w:rPr>
          <w:sz w:val="20"/>
          <w:szCs w:val="20"/>
          <w:color w:val="auto"/>
        </w:rPr>
      </w:pPr>
    </w:p>
    <w:p>
      <w:pPr>
        <w:ind w:left="220" w:right="120"/>
        <w:spacing w:after="0" w:line="253" w:lineRule="auto"/>
        <w:rPr>
          <w:sz w:val="20"/>
          <w:szCs w:val="20"/>
          <w:color w:val="auto"/>
        </w:rPr>
      </w:pPr>
      <w:r>
        <w:rPr>
          <w:rFonts w:ascii="Arial" w:cs="Arial" w:eastAsia="Arial" w:hAnsi="Arial"/>
          <w:sz w:val="16"/>
          <w:szCs w:val="16"/>
          <w:color w:val="auto"/>
        </w:rPr>
        <w:t>Since February 2010, the Compensation Committee has retained Semler Brossy Consulting Group, LLC (“Semler Brossy”) as its advisor. Semler Brossy does no other work for and has no other relationships with Dover. Semler Brossy focuses on executive compensation and does not have departments, groups or affiliates that provide services other than those related to executive compensation and benefits.</w:t>
      </w:r>
    </w:p>
    <w:p>
      <w:pPr>
        <w:spacing w:after="0" w:line="174" w:lineRule="exact"/>
        <w:rPr>
          <w:sz w:val="20"/>
          <w:szCs w:val="20"/>
          <w:color w:val="auto"/>
        </w:rPr>
      </w:pPr>
    </w:p>
    <w:p>
      <w:pPr>
        <w:ind w:left="220" w:right="180"/>
        <w:spacing w:after="0" w:line="250" w:lineRule="auto"/>
        <w:rPr>
          <w:sz w:val="20"/>
          <w:szCs w:val="20"/>
          <w:color w:val="auto"/>
        </w:rPr>
      </w:pPr>
      <w:r>
        <w:rPr>
          <w:rFonts w:ascii="Arial" w:cs="Arial" w:eastAsia="Arial" w:hAnsi="Arial"/>
          <w:sz w:val="16"/>
          <w:szCs w:val="16"/>
          <w:color w:val="auto"/>
        </w:rPr>
        <w:t>The Compensation Committee looks to its consultant to periodically review and advise regarding the adequacy and appropriateness of our overall executive compensation plans, programs and practices and, from time to time, to answer specific questions raised by the Compensation Committee or management. Compensation decisions are made by, and are the responsibility of, the Compensation Committee and our Board, and may reflect factors and considerations other than the information and recommendations provided by the Compensation Committee’s consultant.</w:t>
      </w:r>
    </w:p>
    <w:p>
      <w:pPr>
        <w:spacing w:after="0" w:line="164" w:lineRule="exact"/>
        <w:rPr>
          <w:sz w:val="20"/>
          <w:szCs w:val="20"/>
          <w:color w:val="auto"/>
        </w:rPr>
      </w:pPr>
    </w:p>
    <w:p>
      <w:pPr>
        <w:ind w:left="220" w:right="720"/>
        <w:spacing w:after="0" w:line="260" w:lineRule="auto"/>
        <w:rPr>
          <w:sz w:val="20"/>
          <w:szCs w:val="20"/>
          <w:color w:val="auto"/>
        </w:rPr>
      </w:pPr>
      <w:r>
        <w:rPr>
          <w:rFonts w:ascii="Arial" w:cs="Arial" w:eastAsia="Arial" w:hAnsi="Arial"/>
          <w:sz w:val="16"/>
          <w:szCs w:val="16"/>
          <w:color w:val="auto"/>
        </w:rPr>
        <w:t>To ensure independence of the compensation consultant, the consultant reports directly to the Chair of the Compensation Committee and works specifically for the Committee solely on compensation and benefits.</w:t>
      </w:r>
    </w:p>
    <w:p>
      <w:pPr>
        <w:spacing w:after="0" w:line="154" w:lineRule="exact"/>
        <w:rPr>
          <w:sz w:val="20"/>
          <w:szCs w:val="20"/>
          <w:color w:val="auto"/>
        </w:rPr>
      </w:pPr>
    </w:p>
    <w:p>
      <w:pPr>
        <w:ind w:left="220" w:right="20"/>
        <w:spacing w:after="0" w:line="260" w:lineRule="auto"/>
        <w:rPr>
          <w:sz w:val="20"/>
          <w:szCs w:val="20"/>
          <w:color w:val="auto"/>
        </w:rPr>
      </w:pPr>
      <w:r>
        <w:rPr>
          <w:rFonts w:ascii="Arial" w:cs="Arial" w:eastAsia="Arial" w:hAnsi="Arial"/>
          <w:sz w:val="16"/>
          <w:szCs w:val="16"/>
          <w:color w:val="auto"/>
        </w:rPr>
        <w:t>Semler Brossy did not engage in any projects for management in 2017. The Compensation Committee has assessed the independence of Semler Brossy and concluded that its work for the Compensation Committee does not raise any conflict of interest.</w:t>
      </w:r>
    </w:p>
    <w:p>
      <w:pPr>
        <w:spacing w:after="0" w:line="10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42</w:t>
      </w:r>
    </w:p>
    <w:p>
      <w:pPr>
        <w:sectPr>
          <w:pgSz w:w="11900" w:h="16838" w:orient="portrait"/>
          <w:cols w:equalWidth="0" w:num="1">
            <w:col w:w="11220"/>
          </w:cols>
          <w:pgMar w:left="240" w:top="459" w:right="4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COMPENSATION DISCUSSION AND ANALYSIS</w:t>
      </w:r>
    </w:p>
    <w:p>
      <w:pPr>
        <w:spacing w:after="0" w:line="139"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32406B"/>
        </w:rPr>
        <w:t>Elements of Executive Compensation</w:t>
      </w:r>
    </w:p>
    <w:p>
      <w:pPr>
        <w:spacing w:after="0" w:line="220"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32406B"/>
        </w:rPr>
        <w:t>Focus on Variable, Performance-Based Pay</w:t>
      </w:r>
    </w:p>
    <w:p>
      <w:pPr>
        <w:spacing w:after="0" w:line="106" w:lineRule="exact"/>
        <w:rPr>
          <w:sz w:val="20"/>
          <w:szCs w:val="20"/>
          <w:color w:val="auto"/>
        </w:rPr>
      </w:pPr>
    </w:p>
    <w:p>
      <w:pPr>
        <w:ind w:left="220" w:right="160"/>
        <w:spacing w:after="0" w:line="250" w:lineRule="auto"/>
        <w:rPr>
          <w:sz w:val="20"/>
          <w:szCs w:val="20"/>
          <w:color w:val="auto"/>
        </w:rPr>
      </w:pPr>
      <w:r>
        <w:rPr>
          <w:rFonts w:ascii="Arial" w:cs="Arial" w:eastAsia="Arial" w:hAnsi="Arial"/>
          <w:sz w:val="16"/>
          <w:szCs w:val="16"/>
          <w:color w:val="auto"/>
        </w:rPr>
        <w:t>The pay packages of Dover executives consist predominantly of incentive-based pay, both annual and long-term. The ratio between fixed and variable pay varies by executive level, but for the CEO and his direct reports, including the NEOs, we feel it is appropriate that the vast majority of the pay package should be “at risk” incentive-based pay as shown in the chart below. Additionally, we believe that their incentive pay should be heavily weighted toward long-term performance and tied to share performance, with the annual incentives focused on key short-term drivers and progress on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1033145</wp:posOffset>
            </wp:positionH>
            <wp:positionV relativeFrom="paragraph">
              <wp:posOffset>146050</wp:posOffset>
            </wp:positionV>
            <wp:extent cx="5199380" cy="1816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99380" cy="1816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20" w:right="180"/>
        <w:spacing w:after="0" w:line="253" w:lineRule="auto"/>
        <w:rPr>
          <w:sz w:val="20"/>
          <w:szCs w:val="20"/>
          <w:color w:val="auto"/>
        </w:rPr>
      </w:pPr>
      <w:r>
        <w:rPr>
          <w:rFonts w:ascii="Arial" w:cs="Arial" w:eastAsia="Arial" w:hAnsi="Arial"/>
          <w:sz w:val="16"/>
          <w:szCs w:val="16"/>
          <w:color w:val="auto"/>
        </w:rPr>
        <w:t>Each of the compensation components has a specific role in the overall design of our executive pay program. While the components are designed to be mutually reinforcing, care is taken to minimize overlap between them. The table below shows how each element fits into our overall executive pay program and incentivizes performance over multiple time horizons.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143510</wp:posOffset>
            </wp:positionV>
            <wp:extent cx="6989445" cy="2400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89445" cy="240030"/>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p>
      <w:pPr>
        <w:spacing w:after="0" w:line="39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FFFFFF"/>
        </w:rPr>
        <w:t>COMPONENT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14605</wp:posOffset>
            </wp:positionV>
            <wp:extent cx="17145" cy="8566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7145" cy="85661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ANNUAL</w:t>
      </w:r>
    </w:p>
    <w:p>
      <w:pPr>
        <w:spacing w:after="0" w:line="25"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INCENTIVE</w:t>
      </w:r>
    </w:p>
    <w:p>
      <w:pPr>
        <w:spacing w:after="0" w:line="5"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233045</wp:posOffset>
            </wp:positionV>
            <wp:extent cx="1396365" cy="6597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396365" cy="659765"/>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LONG-TERM</w:t>
      </w:r>
    </w:p>
    <w:p>
      <w:pPr>
        <w:spacing w:after="0" w:line="25"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INCENTIVE</w:t>
      </w:r>
    </w:p>
    <w:p>
      <w:pPr>
        <w:spacing w:after="0" w:line="5"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PLAN</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184"/>
        </w:trPr>
        <w:tc>
          <w:tcPr>
            <w:tcW w:w="120" w:type="dxa"/>
            <w:vAlign w:val="bottom"/>
            <w:tcBorders>
              <w:left w:val="single" w:sz="8" w:color="999999"/>
            </w:tcBorders>
          </w:tcPr>
          <w:p>
            <w:pPr>
              <w:spacing w:after="0"/>
              <w:rPr>
                <w:sz w:val="16"/>
                <w:szCs w:val="16"/>
                <w:color w:val="auto"/>
              </w:rPr>
            </w:pPr>
          </w:p>
        </w:tc>
        <w:tc>
          <w:tcPr>
            <w:tcW w:w="19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60" w:type="dxa"/>
            <w:vAlign w:val="bottom"/>
          </w:tcPr>
          <w:p>
            <w:pPr>
              <w:ind w:left="180"/>
              <w:spacing w:after="0"/>
              <w:rPr>
                <w:sz w:val="20"/>
                <w:szCs w:val="20"/>
                <w:color w:val="auto"/>
              </w:rPr>
            </w:pPr>
            <w:r>
              <w:rPr>
                <w:rFonts w:ascii="Arial" w:cs="Arial" w:eastAsia="Arial" w:hAnsi="Arial"/>
                <w:sz w:val="16"/>
                <w:szCs w:val="16"/>
                <w:b w:val="1"/>
                <w:bCs w:val="1"/>
                <w:color w:val="FFFFFF"/>
              </w:rPr>
              <w:t>METRICS &amp;</w:t>
            </w:r>
          </w:p>
        </w:tc>
        <w:tc>
          <w:tcPr>
            <w:tcW w:w="214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120" w:type="dxa"/>
            <w:vAlign w:val="bottom"/>
            <w:tcBorders>
              <w:left w:val="single" w:sz="8" w:color="999999"/>
            </w:tcBorders>
          </w:tcPr>
          <w:p>
            <w:pPr>
              <w:spacing w:after="0"/>
              <w:rPr>
                <w:sz w:val="17"/>
                <w:szCs w:val="17"/>
                <w:color w:val="auto"/>
              </w:rPr>
            </w:pPr>
          </w:p>
        </w:tc>
        <w:tc>
          <w:tcPr>
            <w:tcW w:w="1960" w:type="dxa"/>
            <w:vAlign w:val="bottom"/>
          </w:tcPr>
          <w:p>
            <w:pPr>
              <w:jc w:val="center"/>
              <w:spacing w:after="0"/>
              <w:rPr>
                <w:sz w:val="20"/>
                <w:szCs w:val="20"/>
                <w:color w:val="auto"/>
              </w:rPr>
            </w:pPr>
            <w:r>
              <w:rPr>
                <w:rFonts w:ascii="Arial" w:cs="Arial" w:eastAsia="Arial" w:hAnsi="Arial"/>
                <w:sz w:val="16"/>
                <w:szCs w:val="16"/>
                <w:b w:val="1"/>
                <w:bCs w:val="1"/>
                <w:color w:val="FFFFFF"/>
                <w:w w:val="98"/>
              </w:rPr>
              <w:t>PAY ELEMENT</w:t>
            </w:r>
          </w:p>
        </w:tc>
        <w:tc>
          <w:tcPr>
            <w:tcW w:w="580" w:type="dxa"/>
            <w:vAlign w:val="bottom"/>
          </w:tcPr>
          <w:p>
            <w:pPr>
              <w:spacing w:after="0"/>
              <w:rPr>
                <w:sz w:val="17"/>
                <w:szCs w:val="17"/>
                <w:color w:val="auto"/>
              </w:rPr>
            </w:pPr>
          </w:p>
        </w:tc>
        <w:tc>
          <w:tcPr>
            <w:tcW w:w="1860" w:type="dxa"/>
            <w:vAlign w:val="bottom"/>
          </w:tcPr>
          <w:p>
            <w:pPr>
              <w:ind w:left="160"/>
              <w:spacing w:after="0"/>
              <w:rPr>
                <w:sz w:val="20"/>
                <w:szCs w:val="20"/>
                <w:color w:val="auto"/>
              </w:rPr>
            </w:pPr>
            <w:r>
              <w:rPr>
                <w:rFonts w:ascii="Arial" w:cs="Arial" w:eastAsia="Arial" w:hAnsi="Arial"/>
                <w:sz w:val="16"/>
                <w:szCs w:val="16"/>
                <w:b w:val="1"/>
                <w:bCs w:val="1"/>
                <w:color w:val="FFFFFF"/>
              </w:rPr>
              <w:t>WEIGHTING</w:t>
            </w:r>
          </w:p>
        </w:tc>
        <w:tc>
          <w:tcPr>
            <w:tcW w:w="2140" w:type="dxa"/>
            <w:vAlign w:val="bottom"/>
          </w:tcPr>
          <w:p>
            <w:pPr>
              <w:ind w:left="520"/>
              <w:spacing w:after="0"/>
              <w:rPr>
                <w:sz w:val="20"/>
                <w:szCs w:val="20"/>
                <w:color w:val="auto"/>
              </w:rPr>
            </w:pPr>
            <w:r>
              <w:rPr>
                <w:rFonts w:ascii="Arial" w:cs="Arial" w:eastAsia="Arial" w:hAnsi="Arial"/>
                <w:sz w:val="16"/>
                <w:szCs w:val="16"/>
                <w:b w:val="1"/>
                <w:bCs w:val="1"/>
                <w:color w:val="FFFFFF"/>
              </w:rPr>
              <w:t>OBJECTIVES</w:t>
            </w:r>
          </w:p>
        </w:tc>
        <w:tc>
          <w:tcPr>
            <w:tcW w:w="2160" w:type="dxa"/>
            <w:vAlign w:val="bottom"/>
          </w:tcPr>
          <w:p>
            <w:pPr>
              <w:ind w:left="640"/>
              <w:spacing w:after="0"/>
              <w:rPr>
                <w:sz w:val="20"/>
                <w:szCs w:val="20"/>
                <w:color w:val="auto"/>
              </w:rPr>
            </w:pPr>
            <w:r>
              <w:rPr>
                <w:rFonts w:ascii="Arial" w:cs="Arial" w:eastAsia="Arial" w:hAnsi="Arial"/>
                <w:sz w:val="16"/>
                <w:szCs w:val="16"/>
                <w:b w:val="1"/>
                <w:bCs w:val="1"/>
                <w:color w:val="FFFFFF"/>
              </w:rPr>
              <w:t>RATIONALE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120" w:type="dxa"/>
            <w:vAlign w:val="bottom"/>
            <w:tcBorders>
              <w:left w:val="single" w:sz="8" w:color="999999"/>
            </w:tcBorders>
          </w:tcPr>
          <w:p>
            <w:pPr>
              <w:spacing w:after="0"/>
              <w:rPr>
                <w:sz w:val="22"/>
                <w:szCs w:val="22"/>
                <w:color w:val="auto"/>
              </w:rPr>
            </w:pPr>
          </w:p>
        </w:tc>
        <w:tc>
          <w:tcPr>
            <w:tcW w:w="1960" w:type="dxa"/>
            <w:vAlign w:val="bottom"/>
          </w:tcPr>
          <w:p>
            <w:pPr>
              <w:spacing w:after="0"/>
              <w:rPr>
                <w:sz w:val="22"/>
                <w:szCs w:val="22"/>
                <w:color w:val="auto"/>
              </w:rPr>
            </w:pPr>
          </w:p>
        </w:tc>
        <w:tc>
          <w:tcPr>
            <w:tcW w:w="2440" w:type="dxa"/>
            <w:vAlign w:val="bottom"/>
            <w:gridSpan w:val="2"/>
          </w:tcPr>
          <w:p>
            <w:pPr>
              <w:ind w:left="120"/>
              <w:spacing w:after="0"/>
              <w:rPr>
                <w:sz w:val="20"/>
                <w:szCs w:val="20"/>
                <w:color w:val="auto"/>
              </w:rPr>
            </w:pPr>
            <w:r>
              <w:rPr>
                <w:rFonts w:ascii="Arial" w:cs="Arial" w:eastAsia="Arial" w:hAnsi="Arial"/>
                <w:sz w:val="16"/>
                <w:szCs w:val="16"/>
                <w:color w:val="auto"/>
              </w:rPr>
              <w:t>60% Financial Results</w:t>
            </w:r>
          </w:p>
        </w:tc>
        <w:tc>
          <w:tcPr>
            <w:tcW w:w="2140" w:type="dxa"/>
            <w:vAlign w:val="bottom"/>
          </w:tcPr>
          <w:p>
            <w:pPr>
              <w:spacing w:after="0"/>
              <w:rPr>
                <w:sz w:val="20"/>
                <w:szCs w:val="20"/>
                <w:color w:val="auto"/>
              </w:rPr>
            </w:pPr>
            <w:r>
              <w:rPr>
                <w:rFonts w:ascii="Arial" w:cs="Arial" w:eastAsia="Arial" w:hAnsi="Arial"/>
                <w:sz w:val="16"/>
                <w:szCs w:val="16"/>
                <w:color w:val="auto"/>
              </w:rPr>
              <w:t>Drive profitability, growth,</w:t>
            </w:r>
          </w:p>
        </w:tc>
        <w:tc>
          <w:tcPr>
            <w:tcW w:w="2160" w:type="dxa"/>
            <w:vAlign w:val="bottom"/>
            <w:tcBorders>
              <w:right w:val="single" w:sz="8" w:color="999999"/>
            </w:tcBorders>
          </w:tcPr>
          <w:p>
            <w:pPr>
              <w:ind w:left="60"/>
              <w:spacing w:after="0"/>
              <w:rPr>
                <w:sz w:val="20"/>
                <w:szCs w:val="20"/>
                <w:color w:val="auto"/>
              </w:rPr>
            </w:pPr>
            <w:r>
              <w:rPr>
                <w:rFonts w:ascii="Arial" w:cs="Arial" w:eastAsia="Arial" w:hAnsi="Arial"/>
                <w:sz w:val="16"/>
                <w:szCs w:val="16"/>
                <w:color w:val="auto"/>
              </w:rPr>
              <w:t>Individual objectives are</w:t>
            </w:r>
          </w:p>
        </w:tc>
        <w:tc>
          <w:tcPr>
            <w:tcW w:w="20" w:type="dxa"/>
            <w:vAlign w:val="bottom"/>
            <w:shd w:val="clear" w:color="auto" w:fill="999999"/>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120" w:type="dxa"/>
            <w:vAlign w:val="bottom"/>
            <w:tcBorders>
              <w:left w:val="single" w:sz="8" w:color="999999"/>
            </w:tcBorders>
          </w:tcPr>
          <w:p>
            <w:pPr>
              <w:spacing w:after="0"/>
              <w:rPr>
                <w:sz w:val="16"/>
                <w:szCs w:val="16"/>
                <w:color w:val="auto"/>
              </w:rPr>
            </w:pPr>
          </w:p>
        </w:tc>
        <w:tc>
          <w:tcPr>
            <w:tcW w:w="1960" w:type="dxa"/>
            <w:vAlign w:val="bottom"/>
          </w:tcPr>
          <w:p>
            <w:pPr>
              <w:spacing w:after="0"/>
              <w:rPr>
                <w:sz w:val="16"/>
                <w:szCs w:val="16"/>
                <w:color w:val="auto"/>
              </w:rPr>
            </w:pPr>
          </w:p>
        </w:tc>
        <w:tc>
          <w:tcPr>
            <w:tcW w:w="580" w:type="dxa"/>
            <w:vAlign w:val="bottom"/>
          </w:tcPr>
          <w:p>
            <w:pPr>
              <w:ind w:left="440"/>
              <w:spacing w:after="0"/>
              <w:rPr>
                <w:sz w:val="20"/>
                <w:szCs w:val="20"/>
                <w:color w:val="auto"/>
              </w:rPr>
            </w:pPr>
            <w:r>
              <w:rPr>
                <w:rFonts w:ascii="Arial" w:cs="Arial" w:eastAsia="Arial" w:hAnsi="Arial"/>
                <w:sz w:val="16"/>
                <w:szCs w:val="16"/>
                <w:color w:val="auto"/>
              </w:rPr>
              <w:t>–</w:t>
            </w:r>
          </w:p>
        </w:tc>
        <w:tc>
          <w:tcPr>
            <w:tcW w:w="1860" w:type="dxa"/>
            <w:vAlign w:val="bottom"/>
          </w:tcPr>
          <w:p>
            <w:pPr>
              <w:ind w:left="40"/>
              <w:spacing w:after="0"/>
              <w:rPr>
                <w:sz w:val="20"/>
                <w:szCs w:val="20"/>
                <w:color w:val="auto"/>
              </w:rPr>
            </w:pPr>
            <w:r>
              <w:rPr>
                <w:rFonts w:ascii="Arial" w:cs="Arial" w:eastAsia="Arial" w:hAnsi="Arial"/>
                <w:sz w:val="16"/>
                <w:szCs w:val="16"/>
                <w:color w:val="auto"/>
              </w:rPr>
              <w:t>Revenue</w:t>
            </w:r>
          </w:p>
        </w:tc>
        <w:tc>
          <w:tcPr>
            <w:tcW w:w="2140" w:type="dxa"/>
            <w:vAlign w:val="bottom"/>
          </w:tcPr>
          <w:p>
            <w:pPr>
              <w:spacing w:after="0"/>
              <w:rPr>
                <w:sz w:val="20"/>
                <w:szCs w:val="20"/>
                <w:color w:val="auto"/>
              </w:rPr>
            </w:pPr>
            <w:r>
              <w:rPr>
                <w:rFonts w:ascii="Arial" w:cs="Arial" w:eastAsia="Arial" w:hAnsi="Arial"/>
                <w:sz w:val="16"/>
                <w:szCs w:val="16"/>
                <w:color w:val="auto"/>
              </w:rPr>
              <w:t>and progress toward</w:t>
            </w:r>
          </w:p>
        </w:tc>
        <w:tc>
          <w:tcPr>
            <w:tcW w:w="2160" w:type="dxa"/>
            <w:vAlign w:val="bottom"/>
            <w:tcBorders>
              <w:right w:val="single" w:sz="8" w:color="999999"/>
            </w:tcBorders>
          </w:tcPr>
          <w:p>
            <w:pPr>
              <w:ind w:left="60"/>
              <w:spacing w:after="0"/>
              <w:rPr>
                <w:sz w:val="20"/>
                <w:szCs w:val="20"/>
                <w:color w:val="auto"/>
              </w:rPr>
            </w:pPr>
            <w:r>
              <w:rPr>
                <w:rFonts w:ascii="Arial" w:cs="Arial" w:eastAsia="Arial" w:hAnsi="Arial"/>
                <w:sz w:val="16"/>
                <w:szCs w:val="16"/>
                <w:color w:val="auto"/>
              </w:rPr>
              <w:t>designed to incentivize</w:t>
            </w:r>
          </w:p>
        </w:tc>
        <w:tc>
          <w:tcPr>
            <w:tcW w:w="20" w:type="dxa"/>
            <w:vAlign w:val="bottom"/>
            <w:shd w:val="clear" w:color="auto" w:fill="999999"/>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tcBorders>
              <w:left w:val="single" w:sz="8" w:color="999999"/>
            </w:tcBorders>
          </w:tcPr>
          <w:p>
            <w:pPr>
              <w:spacing w:after="0"/>
              <w:rPr>
                <w:sz w:val="16"/>
                <w:szCs w:val="16"/>
                <w:color w:val="auto"/>
              </w:rPr>
            </w:pPr>
          </w:p>
        </w:tc>
        <w:tc>
          <w:tcPr>
            <w:tcW w:w="19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Cash</w:t>
            </w:r>
          </w:p>
        </w:tc>
        <w:tc>
          <w:tcPr>
            <w:tcW w:w="2440" w:type="dxa"/>
            <w:vAlign w:val="bottom"/>
            <w:gridSpan w:val="2"/>
            <w:vMerge w:val="restart"/>
          </w:tcPr>
          <w:p>
            <w:pPr>
              <w:ind w:left="440"/>
              <w:spacing w:after="0"/>
              <w:rPr>
                <w:sz w:val="20"/>
                <w:szCs w:val="20"/>
                <w:color w:val="auto"/>
              </w:rPr>
            </w:pPr>
            <w:r>
              <w:rPr>
                <w:rFonts w:ascii="Arial" w:cs="Arial" w:eastAsia="Arial" w:hAnsi="Arial"/>
                <w:sz w:val="16"/>
                <w:szCs w:val="16"/>
                <w:color w:val="auto"/>
              </w:rPr>
              <w:t>– Income</w:t>
            </w:r>
          </w:p>
        </w:tc>
        <w:tc>
          <w:tcPr>
            <w:tcW w:w="2140" w:type="dxa"/>
            <w:vAlign w:val="bottom"/>
          </w:tcPr>
          <w:p>
            <w:pPr>
              <w:spacing w:after="0"/>
              <w:rPr>
                <w:sz w:val="20"/>
                <w:szCs w:val="20"/>
                <w:color w:val="auto"/>
              </w:rPr>
            </w:pPr>
            <w:r>
              <w:rPr>
                <w:rFonts w:ascii="Arial" w:cs="Arial" w:eastAsia="Arial" w:hAnsi="Arial"/>
                <w:sz w:val="16"/>
                <w:szCs w:val="16"/>
                <w:color w:val="auto"/>
              </w:rPr>
              <w:t>strategy implementation</w:t>
            </w:r>
          </w:p>
        </w:tc>
        <w:tc>
          <w:tcPr>
            <w:tcW w:w="2160" w:type="dxa"/>
            <w:vAlign w:val="bottom"/>
            <w:tcBorders>
              <w:right w:val="single" w:sz="8" w:color="999999"/>
            </w:tcBorders>
          </w:tcPr>
          <w:p>
            <w:pPr>
              <w:ind w:left="60"/>
              <w:spacing w:after="0"/>
              <w:rPr>
                <w:sz w:val="20"/>
                <w:szCs w:val="20"/>
                <w:color w:val="auto"/>
              </w:rPr>
            </w:pPr>
            <w:r>
              <w:rPr>
                <w:rFonts w:ascii="Arial" w:cs="Arial" w:eastAsia="Arial" w:hAnsi="Arial"/>
                <w:sz w:val="16"/>
                <w:szCs w:val="16"/>
                <w:color w:val="auto"/>
              </w:rPr>
              <w:t>achievement of long-term</w:t>
            </w:r>
          </w:p>
        </w:tc>
        <w:tc>
          <w:tcPr>
            <w:tcW w:w="20" w:type="dxa"/>
            <w:vAlign w:val="bottom"/>
            <w:shd w:val="clear" w:color="auto" w:fill="999999"/>
          </w:tcPr>
          <w:p>
            <w:pPr>
              <w:spacing w:after="0"/>
              <w:rPr>
                <w:sz w:val="16"/>
                <w:szCs w:val="16"/>
                <w:color w:val="auto"/>
              </w:rPr>
            </w:pPr>
          </w:p>
        </w:tc>
        <w:tc>
          <w:tcPr>
            <w:tcW w:w="0" w:type="dxa"/>
            <w:vAlign w:val="bottom"/>
          </w:tcPr>
          <w:p>
            <w:pPr>
              <w:spacing w:after="0"/>
              <w:rPr>
                <w:sz w:val="1"/>
                <w:szCs w:val="1"/>
                <w:color w:val="auto"/>
              </w:rPr>
            </w:pPr>
          </w:p>
        </w:tc>
      </w:tr>
      <w:tr>
        <w:trPr>
          <w:trHeight w:val="87"/>
        </w:trPr>
        <w:tc>
          <w:tcPr>
            <w:tcW w:w="120" w:type="dxa"/>
            <w:vAlign w:val="bottom"/>
            <w:tcBorders>
              <w:left w:val="single" w:sz="8" w:color="999999"/>
            </w:tcBorders>
          </w:tcPr>
          <w:p>
            <w:pPr>
              <w:spacing w:after="0"/>
              <w:rPr>
                <w:sz w:val="7"/>
                <w:szCs w:val="7"/>
                <w:color w:val="auto"/>
              </w:rPr>
            </w:pPr>
          </w:p>
        </w:tc>
        <w:tc>
          <w:tcPr>
            <w:tcW w:w="1960" w:type="dxa"/>
            <w:vAlign w:val="bottom"/>
            <w:vMerge w:val="continue"/>
          </w:tcPr>
          <w:p>
            <w:pPr>
              <w:spacing w:after="0"/>
              <w:rPr>
                <w:sz w:val="7"/>
                <w:szCs w:val="7"/>
                <w:color w:val="auto"/>
              </w:rPr>
            </w:pPr>
          </w:p>
        </w:tc>
        <w:tc>
          <w:tcPr>
            <w:tcW w:w="2440" w:type="dxa"/>
            <w:vAlign w:val="bottom"/>
            <w:gridSpan w:val="2"/>
            <w:vMerge w:val="continue"/>
          </w:tcPr>
          <w:p>
            <w:pPr>
              <w:spacing w:after="0"/>
              <w:rPr>
                <w:sz w:val="7"/>
                <w:szCs w:val="7"/>
                <w:color w:val="auto"/>
              </w:rPr>
            </w:pPr>
          </w:p>
        </w:tc>
        <w:tc>
          <w:tcPr>
            <w:tcW w:w="2140" w:type="dxa"/>
            <w:vAlign w:val="bottom"/>
          </w:tcPr>
          <w:p>
            <w:pPr>
              <w:spacing w:after="0"/>
              <w:rPr>
                <w:sz w:val="7"/>
                <w:szCs w:val="7"/>
                <w:color w:val="auto"/>
              </w:rPr>
            </w:pPr>
          </w:p>
        </w:tc>
        <w:tc>
          <w:tcPr>
            <w:tcW w:w="2160" w:type="dxa"/>
            <w:vAlign w:val="bottom"/>
            <w:tcBorders>
              <w:right w:val="single" w:sz="8" w:color="999999"/>
            </w:tcBorders>
            <w:vMerge w:val="restart"/>
          </w:tcPr>
          <w:p>
            <w:pPr>
              <w:ind w:left="60"/>
              <w:spacing w:after="0"/>
              <w:rPr>
                <w:sz w:val="20"/>
                <w:szCs w:val="20"/>
                <w:color w:val="auto"/>
              </w:rPr>
            </w:pPr>
            <w:r>
              <w:rPr>
                <w:rFonts w:ascii="Arial" w:cs="Arial" w:eastAsia="Arial" w:hAnsi="Arial"/>
                <w:sz w:val="16"/>
                <w:szCs w:val="16"/>
                <w:color w:val="auto"/>
              </w:rPr>
              <w:t>strategic goals in order to</w:t>
            </w:r>
          </w:p>
        </w:tc>
        <w:tc>
          <w:tcPr>
            <w:tcW w:w="20" w:type="dxa"/>
            <w:vAlign w:val="bottom"/>
            <w:shd w:val="clear" w:color="auto" w:fill="999999"/>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120" w:type="dxa"/>
            <w:vAlign w:val="bottom"/>
            <w:tcBorders>
              <w:left w:val="single" w:sz="8" w:color="999999"/>
            </w:tcBorders>
          </w:tcPr>
          <w:p>
            <w:pPr>
              <w:spacing w:after="0"/>
              <w:rPr>
                <w:sz w:val="8"/>
                <w:szCs w:val="8"/>
                <w:color w:val="auto"/>
              </w:rPr>
            </w:pPr>
          </w:p>
        </w:tc>
        <w:tc>
          <w:tcPr>
            <w:tcW w:w="196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2140" w:type="dxa"/>
            <w:vAlign w:val="bottom"/>
          </w:tcPr>
          <w:p>
            <w:pPr>
              <w:spacing w:after="0"/>
              <w:rPr>
                <w:sz w:val="8"/>
                <w:szCs w:val="8"/>
                <w:color w:val="auto"/>
              </w:rPr>
            </w:pPr>
          </w:p>
        </w:tc>
        <w:tc>
          <w:tcPr>
            <w:tcW w:w="2160" w:type="dxa"/>
            <w:vAlign w:val="bottom"/>
            <w:tcBorders>
              <w:right w:val="single" w:sz="8" w:color="999999"/>
            </w:tcBorders>
            <w:vMerge w:val="continue"/>
          </w:tcPr>
          <w:p>
            <w:pPr>
              <w:spacing w:after="0"/>
              <w:rPr>
                <w:sz w:val="8"/>
                <w:szCs w:val="8"/>
                <w:color w:val="auto"/>
              </w:rPr>
            </w:pPr>
          </w:p>
        </w:tc>
        <w:tc>
          <w:tcPr>
            <w:tcW w:w="20" w:type="dxa"/>
            <w:vAlign w:val="bottom"/>
            <w:shd w:val="clear" w:color="auto" w:fill="999999"/>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20" w:type="dxa"/>
            <w:vAlign w:val="bottom"/>
            <w:tcBorders>
              <w:left w:val="single" w:sz="8" w:color="999999"/>
            </w:tcBorders>
          </w:tcPr>
          <w:p>
            <w:pPr>
              <w:spacing w:after="0"/>
              <w:rPr>
                <w:sz w:val="16"/>
                <w:szCs w:val="16"/>
                <w:color w:val="auto"/>
              </w:rPr>
            </w:pPr>
          </w:p>
        </w:tc>
        <w:tc>
          <w:tcPr>
            <w:tcW w:w="1960" w:type="dxa"/>
            <w:vAlign w:val="bottom"/>
          </w:tcPr>
          <w:p>
            <w:pPr>
              <w:spacing w:after="0"/>
              <w:rPr>
                <w:sz w:val="16"/>
                <w:szCs w:val="16"/>
                <w:color w:val="auto"/>
              </w:rPr>
            </w:pPr>
          </w:p>
        </w:tc>
        <w:tc>
          <w:tcPr>
            <w:tcW w:w="2440" w:type="dxa"/>
            <w:vAlign w:val="bottom"/>
            <w:gridSpan w:val="2"/>
            <w:vMerge w:val="restart"/>
          </w:tcPr>
          <w:p>
            <w:pPr>
              <w:ind w:left="120"/>
              <w:spacing w:after="0"/>
              <w:rPr>
                <w:sz w:val="20"/>
                <w:szCs w:val="20"/>
                <w:color w:val="auto"/>
              </w:rPr>
            </w:pPr>
            <w:r>
              <w:rPr>
                <w:rFonts w:ascii="Arial" w:cs="Arial" w:eastAsia="Arial" w:hAnsi="Arial"/>
                <w:sz w:val="16"/>
                <w:szCs w:val="16"/>
                <w:color w:val="auto"/>
              </w:rPr>
              <w:t>40% Individual Strategic</w:t>
            </w:r>
          </w:p>
        </w:tc>
        <w:tc>
          <w:tcPr>
            <w:tcW w:w="2140" w:type="dxa"/>
            <w:vAlign w:val="bottom"/>
          </w:tcPr>
          <w:p>
            <w:pPr>
              <w:spacing w:after="0"/>
              <w:rPr>
                <w:sz w:val="16"/>
                <w:szCs w:val="16"/>
                <w:color w:val="auto"/>
              </w:rPr>
            </w:pPr>
          </w:p>
        </w:tc>
        <w:tc>
          <w:tcPr>
            <w:tcW w:w="2160" w:type="dxa"/>
            <w:vAlign w:val="bottom"/>
            <w:tcBorders>
              <w:right w:val="single" w:sz="8" w:color="999999"/>
            </w:tcBorders>
          </w:tcPr>
          <w:p>
            <w:pPr>
              <w:ind w:left="60"/>
              <w:spacing w:after="0"/>
              <w:rPr>
                <w:sz w:val="20"/>
                <w:szCs w:val="20"/>
                <w:color w:val="auto"/>
              </w:rPr>
            </w:pPr>
            <w:r>
              <w:rPr>
                <w:rFonts w:ascii="Arial" w:cs="Arial" w:eastAsia="Arial" w:hAnsi="Arial"/>
                <w:sz w:val="16"/>
                <w:szCs w:val="16"/>
                <w:color w:val="auto"/>
              </w:rPr>
              <w:t>create shareholder value</w:t>
            </w:r>
          </w:p>
        </w:tc>
        <w:tc>
          <w:tcPr>
            <w:tcW w:w="20" w:type="dxa"/>
            <w:vAlign w:val="bottom"/>
            <w:shd w:val="clear" w:color="auto" w:fill="999999"/>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20" w:type="dxa"/>
            <w:vAlign w:val="bottom"/>
            <w:tcBorders>
              <w:left w:val="single" w:sz="8" w:color="999999"/>
            </w:tcBorders>
          </w:tcPr>
          <w:p>
            <w:pPr>
              <w:spacing w:after="0"/>
              <w:rPr>
                <w:sz w:val="11"/>
                <w:szCs w:val="11"/>
                <w:color w:val="auto"/>
              </w:rPr>
            </w:pPr>
          </w:p>
        </w:tc>
        <w:tc>
          <w:tcPr>
            <w:tcW w:w="1960" w:type="dxa"/>
            <w:vAlign w:val="bottom"/>
          </w:tcPr>
          <w:p>
            <w:pPr>
              <w:spacing w:after="0"/>
              <w:rPr>
                <w:sz w:val="11"/>
                <w:szCs w:val="11"/>
                <w:color w:val="auto"/>
              </w:rPr>
            </w:pPr>
          </w:p>
        </w:tc>
        <w:tc>
          <w:tcPr>
            <w:tcW w:w="2440" w:type="dxa"/>
            <w:vAlign w:val="bottom"/>
            <w:gridSpan w:val="2"/>
            <w:vMerge w:val="continue"/>
          </w:tcPr>
          <w:p>
            <w:pPr>
              <w:spacing w:after="0"/>
              <w:rPr>
                <w:sz w:val="11"/>
                <w:szCs w:val="11"/>
                <w:color w:val="auto"/>
              </w:rPr>
            </w:pPr>
          </w:p>
        </w:tc>
        <w:tc>
          <w:tcPr>
            <w:tcW w:w="2140" w:type="dxa"/>
            <w:vAlign w:val="bottom"/>
          </w:tcPr>
          <w:p>
            <w:pPr>
              <w:spacing w:after="0"/>
              <w:rPr>
                <w:sz w:val="11"/>
                <w:szCs w:val="11"/>
                <w:color w:val="auto"/>
              </w:rPr>
            </w:pPr>
          </w:p>
        </w:tc>
        <w:tc>
          <w:tcPr>
            <w:tcW w:w="2160" w:type="dxa"/>
            <w:vAlign w:val="bottom"/>
            <w:tcBorders>
              <w:right w:val="single" w:sz="8" w:color="999999"/>
            </w:tcBorders>
            <w:vMerge w:val="restart"/>
          </w:tcPr>
          <w:p>
            <w:pPr>
              <w:ind w:left="60"/>
              <w:spacing w:after="0"/>
              <w:rPr>
                <w:sz w:val="20"/>
                <w:szCs w:val="20"/>
                <w:color w:val="auto"/>
              </w:rPr>
            </w:pPr>
            <w:r>
              <w:rPr>
                <w:rFonts w:ascii="Arial" w:cs="Arial" w:eastAsia="Arial" w:hAnsi="Arial"/>
                <w:sz w:val="16"/>
                <w:szCs w:val="16"/>
                <w:color w:val="auto"/>
              </w:rPr>
              <w:t>over time</w:t>
            </w:r>
          </w:p>
        </w:tc>
        <w:tc>
          <w:tcPr>
            <w:tcW w:w="20" w:type="dxa"/>
            <w:vAlign w:val="bottom"/>
            <w:shd w:val="clear" w:color="auto" w:fill="999999"/>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120" w:type="dxa"/>
            <w:vAlign w:val="bottom"/>
            <w:tcBorders>
              <w:left w:val="single" w:sz="8" w:color="999999"/>
            </w:tcBorders>
          </w:tcPr>
          <w:p>
            <w:pPr>
              <w:spacing w:after="0"/>
              <w:rPr>
                <w:sz w:val="5"/>
                <w:szCs w:val="5"/>
                <w:color w:val="auto"/>
              </w:rPr>
            </w:pPr>
          </w:p>
        </w:tc>
        <w:tc>
          <w:tcPr>
            <w:tcW w:w="1960" w:type="dxa"/>
            <w:vAlign w:val="bottom"/>
          </w:tcPr>
          <w:p>
            <w:pPr>
              <w:spacing w:after="0"/>
              <w:rPr>
                <w:sz w:val="5"/>
                <w:szCs w:val="5"/>
                <w:color w:val="auto"/>
              </w:rPr>
            </w:pPr>
          </w:p>
        </w:tc>
        <w:tc>
          <w:tcPr>
            <w:tcW w:w="2440" w:type="dxa"/>
            <w:vAlign w:val="bottom"/>
            <w:gridSpan w:val="2"/>
            <w:vMerge w:val="restart"/>
          </w:tcPr>
          <w:p>
            <w:pPr>
              <w:ind w:left="120"/>
              <w:spacing w:after="0"/>
              <w:rPr>
                <w:sz w:val="20"/>
                <w:szCs w:val="20"/>
                <w:color w:val="auto"/>
              </w:rPr>
            </w:pPr>
            <w:r>
              <w:rPr>
                <w:rFonts w:ascii="Arial" w:cs="Arial" w:eastAsia="Arial" w:hAnsi="Arial"/>
                <w:sz w:val="16"/>
                <w:szCs w:val="16"/>
                <w:color w:val="auto"/>
              </w:rPr>
              <w:t>Objectives</w:t>
            </w:r>
          </w:p>
        </w:tc>
        <w:tc>
          <w:tcPr>
            <w:tcW w:w="2140" w:type="dxa"/>
            <w:vAlign w:val="bottom"/>
          </w:tcPr>
          <w:p>
            <w:pPr>
              <w:spacing w:after="0"/>
              <w:rPr>
                <w:sz w:val="5"/>
                <w:szCs w:val="5"/>
                <w:color w:val="auto"/>
              </w:rPr>
            </w:pPr>
          </w:p>
        </w:tc>
        <w:tc>
          <w:tcPr>
            <w:tcW w:w="2160" w:type="dxa"/>
            <w:vAlign w:val="bottom"/>
            <w:tcBorders>
              <w:right w:val="single" w:sz="8" w:color="999999"/>
            </w:tcBorders>
            <w:vMerge w:val="continue"/>
          </w:tcPr>
          <w:p>
            <w:pPr>
              <w:spacing w:after="0"/>
              <w:rPr>
                <w:sz w:val="5"/>
                <w:szCs w:val="5"/>
                <w:color w:val="auto"/>
              </w:rPr>
            </w:pPr>
          </w:p>
        </w:tc>
        <w:tc>
          <w:tcPr>
            <w:tcW w:w="20" w:type="dxa"/>
            <w:vAlign w:val="bottom"/>
            <w:shd w:val="clear" w:color="auto" w:fill="999999"/>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120" w:type="dxa"/>
            <w:vAlign w:val="bottom"/>
            <w:tcBorders>
              <w:left w:val="single" w:sz="8" w:color="999999"/>
            </w:tcBorders>
          </w:tcPr>
          <w:p>
            <w:pPr>
              <w:spacing w:after="0"/>
              <w:rPr>
                <w:sz w:val="11"/>
                <w:szCs w:val="11"/>
                <w:color w:val="auto"/>
              </w:rPr>
            </w:pPr>
          </w:p>
        </w:tc>
        <w:tc>
          <w:tcPr>
            <w:tcW w:w="1960" w:type="dxa"/>
            <w:vAlign w:val="bottom"/>
          </w:tcPr>
          <w:p>
            <w:pPr>
              <w:spacing w:after="0"/>
              <w:rPr>
                <w:sz w:val="11"/>
                <w:szCs w:val="11"/>
                <w:color w:val="auto"/>
              </w:rPr>
            </w:pPr>
          </w:p>
        </w:tc>
        <w:tc>
          <w:tcPr>
            <w:tcW w:w="2440" w:type="dxa"/>
            <w:vAlign w:val="bottom"/>
            <w:gridSpan w:val="2"/>
            <w:vMerge w:val="continue"/>
          </w:tcPr>
          <w:p>
            <w:pPr>
              <w:spacing w:after="0"/>
              <w:rPr>
                <w:sz w:val="11"/>
                <w:szCs w:val="11"/>
                <w:color w:val="auto"/>
              </w:rPr>
            </w:pPr>
          </w:p>
        </w:tc>
        <w:tc>
          <w:tcPr>
            <w:tcW w:w="2140" w:type="dxa"/>
            <w:vAlign w:val="bottom"/>
          </w:tcPr>
          <w:p>
            <w:pPr>
              <w:spacing w:after="0"/>
              <w:rPr>
                <w:sz w:val="11"/>
                <w:szCs w:val="11"/>
                <w:color w:val="auto"/>
              </w:rPr>
            </w:pPr>
          </w:p>
        </w:tc>
        <w:tc>
          <w:tcPr>
            <w:tcW w:w="2160" w:type="dxa"/>
            <w:vAlign w:val="bottom"/>
            <w:tcBorders>
              <w:right w:val="single" w:sz="8" w:color="999999"/>
            </w:tcBorders>
          </w:tcPr>
          <w:p>
            <w:pPr>
              <w:spacing w:after="0"/>
              <w:rPr>
                <w:sz w:val="11"/>
                <w:szCs w:val="11"/>
                <w:color w:val="auto"/>
              </w:rPr>
            </w:pPr>
          </w:p>
        </w:tc>
        <w:tc>
          <w:tcPr>
            <w:tcW w:w="20" w:type="dxa"/>
            <w:vAlign w:val="bottom"/>
            <w:shd w:val="clear" w:color="auto" w:fill="999999"/>
          </w:tcPr>
          <w:p>
            <w:pPr>
              <w:spacing w:after="0"/>
              <w:rPr>
                <w:sz w:val="11"/>
                <w:szCs w:val="11"/>
                <w:color w:val="auto"/>
              </w:rPr>
            </w:pPr>
          </w:p>
        </w:tc>
        <w:tc>
          <w:tcPr>
            <w:tcW w:w="0" w:type="dxa"/>
            <w:vAlign w:val="bottom"/>
          </w:tcPr>
          <w:p>
            <w:pPr>
              <w:spacing w:after="0"/>
              <w:rPr>
                <w:sz w:val="1"/>
                <w:szCs w:val="1"/>
                <w:color w:val="auto"/>
              </w:rPr>
            </w:pPr>
          </w:p>
        </w:tc>
      </w:tr>
      <w:tr>
        <w:trPr>
          <w:trHeight w:val="245"/>
        </w:trPr>
        <w:tc>
          <w:tcPr>
            <w:tcW w:w="120" w:type="dxa"/>
            <w:vAlign w:val="bottom"/>
            <w:tcBorders>
              <w:left w:val="single" w:sz="8" w:color="999999"/>
            </w:tcBorders>
            <w:shd w:val="clear" w:color="auto" w:fill="D8D8D8"/>
          </w:tcPr>
          <w:p>
            <w:pPr>
              <w:spacing w:after="0"/>
              <w:rPr>
                <w:sz w:val="21"/>
                <w:szCs w:val="21"/>
                <w:color w:val="auto"/>
              </w:rPr>
            </w:pPr>
          </w:p>
        </w:tc>
        <w:tc>
          <w:tcPr>
            <w:tcW w:w="1960" w:type="dxa"/>
            <w:vAlign w:val="bottom"/>
            <w:vMerge w:val="restart"/>
            <w:shd w:val="clear" w:color="auto" w:fill="D8D8D8"/>
          </w:tcPr>
          <w:p>
            <w:pPr>
              <w:jc w:val="center"/>
              <w:spacing w:after="0"/>
              <w:rPr>
                <w:sz w:val="20"/>
                <w:szCs w:val="20"/>
                <w:color w:val="auto"/>
              </w:rPr>
            </w:pPr>
            <w:r>
              <w:rPr>
                <w:rFonts w:ascii="Arial" w:cs="Arial" w:eastAsia="Arial" w:hAnsi="Arial"/>
                <w:sz w:val="16"/>
                <w:szCs w:val="16"/>
                <w:b w:val="1"/>
                <w:bCs w:val="1"/>
                <w:color w:val="auto"/>
              </w:rPr>
              <w:t>SSARs</w:t>
            </w:r>
          </w:p>
        </w:tc>
        <w:tc>
          <w:tcPr>
            <w:tcW w:w="2440" w:type="dxa"/>
            <w:vAlign w:val="bottom"/>
            <w:gridSpan w:val="2"/>
            <w:shd w:val="clear" w:color="auto" w:fill="D8D8D8"/>
          </w:tcPr>
          <w:p>
            <w:pPr>
              <w:ind w:left="120"/>
              <w:spacing w:after="0"/>
              <w:rPr>
                <w:sz w:val="20"/>
                <w:szCs w:val="20"/>
                <w:color w:val="auto"/>
              </w:rPr>
            </w:pPr>
            <w:r>
              <w:rPr>
                <w:rFonts w:ascii="Arial" w:cs="Arial" w:eastAsia="Arial" w:hAnsi="Arial"/>
                <w:sz w:val="16"/>
                <w:szCs w:val="16"/>
                <w:color w:val="auto"/>
              </w:rPr>
              <w:t>Dover Stock Price</w:t>
            </w:r>
          </w:p>
        </w:tc>
        <w:tc>
          <w:tcPr>
            <w:tcW w:w="2140" w:type="dxa"/>
            <w:vAlign w:val="bottom"/>
            <w:shd w:val="clear" w:color="auto" w:fill="D8D8D8"/>
          </w:tcPr>
          <w:p>
            <w:pPr>
              <w:spacing w:after="0"/>
              <w:rPr>
                <w:sz w:val="20"/>
                <w:szCs w:val="20"/>
                <w:color w:val="auto"/>
              </w:rPr>
            </w:pPr>
            <w:r>
              <w:rPr>
                <w:rFonts w:ascii="Arial" w:cs="Arial" w:eastAsia="Arial" w:hAnsi="Arial"/>
                <w:sz w:val="16"/>
                <w:szCs w:val="16"/>
                <w:color w:val="auto"/>
              </w:rPr>
              <w:t>Drive profitability and growth,</w:t>
            </w:r>
          </w:p>
        </w:tc>
        <w:tc>
          <w:tcPr>
            <w:tcW w:w="2160" w:type="dxa"/>
            <w:vAlign w:val="bottom"/>
            <w:tcBorders>
              <w:right w:val="single" w:sz="8" w:color="D8D8D8"/>
            </w:tcBorders>
            <w:shd w:val="clear" w:color="auto" w:fill="D8D8D8"/>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6"/>
        </w:trPr>
        <w:tc>
          <w:tcPr>
            <w:tcW w:w="120" w:type="dxa"/>
            <w:vAlign w:val="bottom"/>
            <w:tcBorders>
              <w:left w:val="single" w:sz="8" w:color="999999"/>
            </w:tcBorders>
            <w:shd w:val="clear" w:color="auto" w:fill="D8D8D8"/>
          </w:tcPr>
          <w:p>
            <w:pPr>
              <w:spacing w:after="0"/>
              <w:rPr>
                <w:sz w:val="10"/>
                <w:szCs w:val="10"/>
                <w:color w:val="auto"/>
              </w:rPr>
            </w:pPr>
          </w:p>
        </w:tc>
        <w:tc>
          <w:tcPr>
            <w:tcW w:w="1960" w:type="dxa"/>
            <w:vAlign w:val="bottom"/>
            <w:vMerge w:val="continue"/>
            <w:shd w:val="clear" w:color="auto" w:fill="D8D8D8"/>
          </w:tcPr>
          <w:p>
            <w:pPr>
              <w:spacing w:after="0"/>
              <w:rPr>
                <w:sz w:val="10"/>
                <w:szCs w:val="10"/>
                <w:color w:val="auto"/>
              </w:rPr>
            </w:pPr>
          </w:p>
        </w:tc>
        <w:tc>
          <w:tcPr>
            <w:tcW w:w="2440" w:type="dxa"/>
            <w:vAlign w:val="bottom"/>
            <w:gridSpan w:val="2"/>
            <w:vMerge w:val="restart"/>
            <w:shd w:val="clear" w:color="auto" w:fill="D8D8D8"/>
          </w:tcPr>
          <w:p>
            <w:pPr>
              <w:ind w:left="120"/>
              <w:spacing w:after="0"/>
              <w:rPr>
                <w:sz w:val="20"/>
                <w:szCs w:val="20"/>
                <w:color w:val="auto"/>
              </w:rPr>
            </w:pPr>
            <w:r>
              <w:rPr>
                <w:rFonts w:ascii="Arial" w:cs="Arial" w:eastAsia="Arial" w:hAnsi="Arial"/>
                <w:sz w:val="16"/>
                <w:szCs w:val="16"/>
                <w:color w:val="auto"/>
              </w:rPr>
              <w:t xml:space="preserve">3-year </w:t>
            </w:r>
            <w:r>
              <w:rPr>
                <w:rFonts w:ascii="Arial" w:cs="Arial" w:eastAsia="Arial" w:hAnsi="Arial"/>
                <w:sz w:val="16"/>
                <w:szCs w:val="16"/>
                <w:i w:val="1"/>
                <w:iCs w:val="1"/>
                <w:color w:val="auto"/>
              </w:rPr>
              <w:t>performance period</w:t>
            </w:r>
          </w:p>
        </w:tc>
        <w:tc>
          <w:tcPr>
            <w:tcW w:w="2140" w:type="dxa"/>
            <w:vAlign w:val="bottom"/>
            <w:vMerge w:val="restart"/>
            <w:shd w:val="clear" w:color="auto" w:fill="D8D8D8"/>
          </w:tcPr>
          <w:p>
            <w:pPr>
              <w:spacing w:after="0"/>
              <w:rPr>
                <w:sz w:val="20"/>
                <w:szCs w:val="20"/>
                <w:color w:val="auto"/>
              </w:rPr>
            </w:pPr>
            <w:r>
              <w:rPr>
                <w:rFonts w:ascii="Arial" w:cs="Arial" w:eastAsia="Arial" w:hAnsi="Arial"/>
                <w:sz w:val="16"/>
                <w:szCs w:val="16"/>
                <w:color w:val="auto"/>
              </w:rPr>
              <w:t>create shareholder value,</w:t>
            </w:r>
          </w:p>
        </w:tc>
        <w:tc>
          <w:tcPr>
            <w:tcW w:w="2160" w:type="dxa"/>
            <w:vAlign w:val="bottom"/>
            <w:tcBorders>
              <w:right w:val="single" w:sz="8" w:color="D8D8D8"/>
            </w:tcBorders>
            <w:vMerge w:val="restart"/>
            <w:shd w:val="clear" w:color="auto" w:fill="D8D8D8"/>
          </w:tcPr>
          <w:p>
            <w:pPr>
              <w:ind w:left="60"/>
              <w:spacing w:after="0"/>
              <w:rPr>
                <w:sz w:val="20"/>
                <w:szCs w:val="20"/>
                <w:color w:val="auto"/>
              </w:rPr>
            </w:pPr>
            <w:r>
              <w:rPr>
                <w:rFonts w:ascii="Arial" w:cs="Arial" w:eastAsia="Arial" w:hAnsi="Arial"/>
                <w:sz w:val="16"/>
                <w:szCs w:val="16"/>
                <w:color w:val="auto"/>
              </w:rPr>
              <w:t>All components paid in stock</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120" w:type="dxa"/>
            <w:vAlign w:val="bottom"/>
            <w:tcBorders>
              <w:left w:val="single" w:sz="8" w:color="999999"/>
            </w:tcBorders>
            <w:shd w:val="clear" w:color="auto" w:fill="D8D8D8"/>
          </w:tcPr>
          <w:p>
            <w:pPr>
              <w:spacing w:after="0"/>
              <w:rPr>
                <w:sz w:val="8"/>
                <w:szCs w:val="8"/>
                <w:color w:val="auto"/>
              </w:rPr>
            </w:pPr>
          </w:p>
        </w:tc>
        <w:tc>
          <w:tcPr>
            <w:tcW w:w="1960" w:type="dxa"/>
            <w:vAlign w:val="bottom"/>
            <w:vMerge w:val="restart"/>
            <w:shd w:val="clear" w:color="auto" w:fill="D8D8D8"/>
          </w:tcPr>
          <w:p>
            <w:pPr>
              <w:jc w:val="center"/>
              <w:spacing w:after="0"/>
              <w:rPr>
                <w:sz w:val="20"/>
                <w:szCs w:val="20"/>
                <w:color w:val="auto"/>
              </w:rPr>
            </w:pPr>
            <w:r>
              <w:rPr>
                <w:rFonts w:ascii="Arial" w:cs="Arial" w:eastAsia="Arial" w:hAnsi="Arial"/>
                <w:sz w:val="16"/>
                <w:szCs w:val="16"/>
                <w:b w:val="1"/>
                <w:bCs w:val="1"/>
                <w:color w:val="auto"/>
              </w:rPr>
              <w:t>RSUs</w:t>
            </w:r>
          </w:p>
        </w:tc>
        <w:tc>
          <w:tcPr>
            <w:tcW w:w="2440" w:type="dxa"/>
            <w:vAlign w:val="bottom"/>
            <w:gridSpan w:val="2"/>
            <w:vMerge w:val="continue"/>
            <w:shd w:val="clear" w:color="auto" w:fill="D8D8D8"/>
          </w:tcPr>
          <w:p>
            <w:pPr>
              <w:spacing w:after="0"/>
              <w:rPr>
                <w:sz w:val="8"/>
                <w:szCs w:val="8"/>
                <w:color w:val="auto"/>
              </w:rPr>
            </w:pPr>
          </w:p>
        </w:tc>
        <w:tc>
          <w:tcPr>
            <w:tcW w:w="2140" w:type="dxa"/>
            <w:vAlign w:val="bottom"/>
            <w:vMerge w:val="continue"/>
            <w:shd w:val="clear" w:color="auto" w:fill="D8D8D8"/>
          </w:tcPr>
          <w:p>
            <w:pPr>
              <w:spacing w:after="0"/>
              <w:rPr>
                <w:sz w:val="8"/>
                <w:szCs w:val="8"/>
                <w:color w:val="auto"/>
              </w:rPr>
            </w:pPr>
          </w:p>
        </w:tc>
        <w:tc>
          <w:tcPr>
            <w:tcW w:w="2160" w:type="dxa"/>
            <w:vAlign w:val="bottom"/>
            <w:tcBorders>
              <w:right w:val="single" w:sz="8" w:color="D8D8D8"/>
            </w:tcBorders>
            <w:vMerge w:val="continue"/>
            <w:shd w:val="clear" w:color="auto" w:fill="D8D8D8"/>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20" w:type="dxa"/>
            <w:vAlign w:val="bottom"/>
            <w:tcBorders>
              <w:left w:val="single" w:sz="8" w:color="999999"/>
            </w:tcBorders>
            <w:shd w:val="clear" w:color="auto" w:fill="D8D8D8"/>
          </w:tcPr>
          <w:p>
            <w:pPr>
              <w:spacing w:after="0"/>
              <w:rPr>
                <w:sz w:val="16"/>
                <w:szCs w:val="16"/>
                <w:color w:val="auto"/>
              </w:rPr>
            </w:pPr>
          </w:p>
        </w:tc>
        <w:tc>
          <w:tcPr>
            <w:tcW w:w="1960" w:type="dxa"/>
            <w:vAlign w:val="bottom"/>
            <w:vMerge w:val="continue"/>
            <w:shd w:val="clear" w:color="auto" w:fill="D8D8D8"/>
          </w:tcPr>
          <w:p>
            <w:pPr>
              <w:spacing w:after="0"/>
              <w:rPr>
                <w:sz w:val="16"/>
                <w:szCs w:val="16"/>
                <w:color w:val="auto"/>
              </w:rPr>
            </w:pPr>
          </w:p>
        </w:tc>
        <w:tc>
          <w:tcPr>
            <w:tcW w:w="580" w:type="dxa"/>
            <w:vAlign w:val="bottom"/>
            <w:shd w:val="clear" w:color="auto" w:fill="D8D8D8"/>
          </w:tcPr>
          <w:p>
            <w:pPr>
              <w:spacing w:after="0"/>
              <w:rPr>
                <w:sz w:val="16"/>
                <w:szCs w:val="16"/>
                <w:color w:val="auto"/>
              </w:rPr>
            </w:pPr>
          </w:p>
        </w:tc>
        <w:tc>
          <w:tcPr>
            <w:tcW w:w="1860" w:type="dxa"/>
            <w:vAlign w:val="bottom"/>
            <w:shd w:val="clear" w:color="auto" w:fill="D8D8D8"/>
          </w:tcPr>
          <w:p>
            <w:pPr>
              <w:spacing w:after="0"/>
              <w:rPr>
                <w:sz w:val="16"/>
                <w:szCs w:val="16"/>
                <w:color w:val="auto"/>
              </w:rPr>
            </w:pPr>
          </w:p>
        </w:tc>
        <w:tc>
          <w:tcPr>
            <w:tcW w:w="2140" w:type="dxa"/>
            <w:vAlign w:val="bottom"/>
            <w:shd w:val="clear" w:color="auto" w:fill="D8D8D8"/>
          </w:tcPr>
          <w:p>
            <w:pPr>
              <w:spacing w:after="0"/>
              <w:rPr>
                <w:sz w:val="20"/>
                <w:szCs w:val="20"/>
                <w:color w:val="auto"/>
              </w:rPr>
            </w:pPr>
            <w:r>
              <w:rPr>
                <w:rFonts w:ascii="Arial" w:cs="Arial" w:eastAsia="Arial" w:hAnsi="Arial"/>
                <w:sz w:val="16"/>
                <w:szCs w:val="16"/>
                <w:color w:val="auto"/>
              </w:rPr>
              <w:t>foster executive retention,</w:t>
            </w:r>
          </w:p>
        </w:tc>
        <w:tc>
          <w:tcPr>
            <w:tcW w:w="2160" w:type="dxa"/>
            <w:vAlign w:val="bottom"/>
            <w:tcBorders>
              <w:right w:val="single" w:sz="8" w:color="D8D8D8"/>
            </w:tcBorders>
            <w:shd w:val="clear" w:color="auto" w:fill="D8D8D8"/>
          </w:tcPr>
          <w:p>
            <w:pPr>
              <w:ind w:left="60"/>
              <w:spacing w:after="0"/>
              <w:rPr>
                <w:sz w:val="20"/>
                <w:szCs w:val="20"/>
                <w:color w:val="auto"/>
              </w:rPr>
            </w:pPr>
            <w:r>
              <w:rPr>
                <w:rFonts w:ascii="Arial" w:cs="Arial" w:eastAsia="Arial" w:hAnsi="Arial"/>
                <w:sz w:val="16"/>
                <w:szCs w:val="16"/>
                <w:color w:val="auto"/>
              </w:rPr>
              <w:t>to align executive and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20" w:type="dxa"/>
            <w:vAlign w:val="bottom"/>
            <w:tcBorders>
              <w:left w:val="single" w:sz="8" w:color="999999"/>
            </w:tcBorders>
            <w:shd w:val="clear" w:color="auto" w:fill="D8D8D8"/>
          </w:tcPr>
          <w:p>
            <w:pPr>
              <w:spacing w:after="0"/>
              <w:rPr>
                <w:sz w:val="16"/>
                <w:szCs w:val="16"/>
                <w:color w:val="auto"/>
              </w:rPr>
            </w:pPr>
          </w:p>
        </w:tc>
        <w:tc>
          <w:tcPr>
            <w:tcW w:w="1960" w:type="dxa"/>
            <w:vAlign w:val="bottom"/>
            <w:vMerge w:val="restart"/>
            <w:shd w:val="clear" w:color="auto" w:fill="D8D8D8"/>
          </w:tcPr>
          <w:p>
            <w:pPr>
              <w:jc w:val="center"/>
              <w:spacing w:after="0"/>
              <w:rPr>
                <w:sz w:val="20"/>
                <w:szCs w:val="20"/>
                <w:color w:val="auto"/>
              </w:rPr>
            </w:pPr>
            <w:r>
              <w:rPr>
                <w:rFonts w:ascii="Arial" w:cs="Arial" w:eastAsia="Arial" w:hAnsi="Arial"/>
                <w:sz w:val="16"/>
                <w:szCs w:val="16"/>
                <w:b w:val="1"/>
                <w:bCs w:val="1"/>
                <w:color w:val="auto"/>
              </w:rPr>
              <w:t>Performance Shares</w:t>
            </w:r>
          </w:p>
        </w:tc>
        <w:tc>
          <w:tcPr>
            <w:tcW w:w="580" w:type="dxa"/>
            <w:vAlign w:val="bottom"/>
            <w:shd w:val="clear" w:color="auto" w:fill="D8D8D8"/>
          </w:tcPr>
          <w:p>
            <w:pPr>
              <w:ind w:left="120"/>
              <w:spacing w:after="0"/>
              <w:rPr>
                <w:sz w:val="20"/>
                <w:szCs w:val="20"/>
                <w:color w:val="auto"/>
              </w:rPr>
            </w:pPr>
            <w:r>
              <w:rPr>
                <w:rFonts w:ascii="Arial" w:cs="Arial" w:eastAsia="Arial" w:hAnsi="Arial"/>
                <w:sz w:val="16"/>
                <w:szCs w:val="16"/>
                <w:color w:val="auto"/>
              </w:rPr>
              <w:t>iTSR</w:t>
            </w:r>
          </w:p>
        </w:tc>
        <w:tc>
          <w:tcPr>
            <w:tcW w:w="1860" w:type="dxa"/>
            <w:vAlign w:val="bottom"/>
            <w:shd w:val="clear" w:color="auto" w:fill="D8D8D8"/>
          </w:tcPr>
          <w:p>
            <w:pPr>
              <w:spacing w:after="0"/>
              <w:rPr>
                <w:sz w:val="16"/>
                <w:szCs w:val="16"/>
                <w:color w:val="auto"/>
              </w:rPr>
            </w:pPr>
          </w:p>
        </w:tc>
        <w:tc>
          <w:tcPr>
            <w:tcW w:w="2140" w:type="dxa"/>
            <w:vAlign w:val="bottom"/>
            <w:shd w:val="clear" w:color="auto" w:fill="D8D8D8"/>
          </w:tcPr>
          <w:p>
            <w:pPr>
              <w:spacing w:after="0"/>
              <w:rPr>
                <w:sz w:val="20"/>
                <w:szCs w:val="20"/>
                <w:color w:val="auto"/>
              </w:rPr>
            </w:pPr>
            <w:r>
              <w:rPr>
                <w:rFonts w:ascii="Arial" w:cs="Arial" w:eastAsia="Arial" w:hAnsi="Arial"/>
                <w:sz w:val="16"/>
                <w:szCs w:val="16"/>
                <w:color w:val="auto"/>
              </w:rPr>
              <w:t>and align executive and</w:t>
            </w:r>
          </w:p>
        </w:tc>
        <w:tc>
          <w:tcPr>
            <w:tcW w:w="2160" w:type="dxa"/>
            <w:vAlign w:val="bottom"/>
            <w:tcBorders>
              <w:right w:val="single" w:sz="8" w:color="D8D8D8"/>
            </w:tcBorders>
            <w:shd w:val="clear" w:color="auto" w:fill="D8D8D8"/>
          </w:tcPr>
          <w:p>
            <w:pPr>
              <w:ind w:left="60"/>
              <w:spacing w:after="0"/>
              <w:rPr>
                <w:sz w:val="20"/>
                <w:szCs w:val="20"/>
                <w:color w:val="auto"/>
              </w:rPr>
            </w:pPr>
            <w:r>
              <w:rPr>
                <w:rFonts w:ascii="Arial" w:cs="Arial" w:eastAsia="Arial" w:hAnsi="Arial"/>
                <w:sz w:val="16"/>
                <w:szCs w:val="16"/>
                <w:color w:val="auto"/>
              </w:rPr>
              <w:t>shareholder interests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0"/>
        </w:trPr>
        <w:tc>
          <w:tcPr>
            <w:tcW w:w="120" w:type="dxa"/>
            <w:vAlign w:val="bottom"/>
            <w:tcBorders>
              <w:left w:val="single" w:sz="8" w:color="999999"/>
            </w:tcBorders>
            <w:shd w:val="clear" w:color="auto" w:fill="D8D8D8"/>
          </w:tcPr>
          <w:p>
            <w:pPr>
              <w:spacing w:after="0"/>
              <w:rPr>
                <w:sz w:val="8"/>
                <w:szCs w:val="8"/>
                <w:color w:val="auto"/>
              </w:rPr>
            </w:pPr>
          </w:p>
        </w:tc>
        <w:tc>
          <w:tcPr>
            <w:tcW w:w="1960" w:type="dxa"/>
            <w:vAlign w:val="bottom"/>
            <w:vMerge w:val="continue"/>
            <w:shd w:val="clear" w:color="auto" w:fill="D8D8D8"/>
          </w:tcPr>
          <w:p>
            <w:pPr>
              <w:spacing w:after="0"/>
              <w:rPr>
                <w:sz w:val="8"/>
                <w:szCs w:val="8"/>
                <w:color w:val="auto"/>
              </w:rPr>
            </w:pPr>
          </w:p>
        </w:tc>
        <w:tc>
          <w:tcPr>
            <w:tcW w:w="2440" w:type="dxa"/>
            <w:vAlign w:val="bottom"/>
            <w:gridSpan w:val="2"/>
            <w:vMerge w:val="restart"/>
            <w:shd w:val="clear" w:color="auto" w:fill="D8D8D8"/>
          </w:tcPr>
          <w:p>
            <w:pPr>
              <w:ind w:left="120"/>
              <w:spacing w:after="0"/>
              <w:rPr>
                <w:sz w:val="20"/>
                <w:szCs w:val="20"/>
                <w:color w:val="auto"/>
              </w:rPr>
            </w:pPr>
            <w:r>
              <w:rPr>
                <w:rFonts w:ascii="Arial" w:cs="Arial" w:eastAsia="Arial" w:hAnsi="Arial"/>
                <w:sz w:val="16"/>
                <w:szCs w:val="16"/>
                <w:color w:val="auto"/>
              </w:rPr>
              <w:t>3-year performance period</w:t>
            </w:r>
          </w:p>
        </w:tc>
        <w:tc>
          <w:tcPr>
            <w:tcW w:w="2140" w:type="dxa"/>
            <w:vAlign w:val="bottom"/>
            <w:vMerge w:val="restart"/>
            <w:shd w:val="clear" w:color="auto" w:fill="D8D8D8"/>
          </w:tcPr>
          <w:p>
            <w:pPr>
              <w:spacing w:after="0"/>
              <w:rPr>
                <w:sz w:val="20"/>
                <w:szCs w:val="20"/>
                <w:color w:val="auto"/>
              </w:rPr>
            </w:pPr>
            <w:r>
              <w:rPr>
                <w:rFonts w:ascii="Arial" w:cs="Arial" w:eastAsia="Arial" w:hAnsi="Arial"/>
                <w:sz w:val="16"/>
                <w:szCs w:val="16"/>
                <w:color w:val="auto"/>
              </w:rPr>
              <w:t>shareholder interests</w:t>
            </w:r>
          </w:p>
        </w:tc>
        <w:tc>
          <w:tcPr>
            <w:tcW w:w="2160" w:type="dxa"/>
            <w:vAlign w:val="bottom"/>
            <w:tcBorders>
              <w:right w:val="single" w:sz="8" w:color="D8D8D8"/>
            </w:tcBorders>
            <w:shd w:val="clear" w:color="auto" w:fill="D8D8D8"/>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120" w:type="dxa"/>
            <w:vAlign w:val="bottom"/>
            <w:tcBorders>
              <w:left w:val="single" w:sz="8" w:color="999999"/>
            </w:tcBorders>
            <w:shd w:val="clear" w:color="auto" w:fill="D8D8D8"/>
          </w:tcPr>
          <w:p>
            <w:pPr>
              <w:spacing w:after="0"/>
              <w:rPr>
                <w:sz w:val="8"/>
                <w:szCs w:val="8"/>
                <w:color w:val="auto"/>
              </w:rPr>
            </w:pPr>
          </w:p>
        </w:tc>
        <w:tc>
          <w:tcPr>
            <w:tcW w:w="1960" w:type="dxa"/>
            <w:vAlign w:val="bottom"/>
            <w:shd w:val="clear" w:color="auto" w:fill="D8D8D8"/>
          </w:tcPr>
          <w:p>
            <w:pPr>
              <w:spacing w:after="0"/>
              <w:rPr>
                <w:sz w:val="8"/>
                <w:szCs w:val="8"/>
                <w:color w:val="auto"/>
              </w:rPr>
            </w:pPr>
          </w:p>
        </w:tc>
        <w:tc>
          <w:tcPr>
            <w:tcW w:w="2440" w:type="dxa"/>
            <w:vAlign w:val="bottom"/>
            <w:gridSpan w:val="2"/>
            <w:vMerge w:val="continue"/>
            <w:shd w:val="clear" w:color="auto" w:fill="D8D8D8"/>
          </w:tcPr>
          <w:p>
            <w:pPr>
              <w:spacing w:after="0"/>
              <w:rPr>
                <w:sz w:val="8"/>
                <w:szCs w:val="8"/>
                <w:color w:val="auto"/>
              </w:rPr>
            </w:pPr>
          </w:p>
        </w:tc>
        <w:tc>
          <w:tcPr>
            <w:tcW w:w="2140" w:type="dxa"/>
            <w:vAlign w:val="bottom"/>
            <w:vMerge w:val="continue"/>
            <w:shd w:val="clear" w:color="auto" w:fill="D8D8D8"/>
          </w:tcPr>
          <w:p>
            <w:pPr>
              <w:spacing w:after="0"/>
              <w:rPr>
                <w:sz w:val="8"/>
                <w:szCs w:val="8"/>
                <w:color w:val="auto"/>
              </w:rPr>
            </w:pPr>
          </w:p>
        </w:tc>
        <w:tc>
          <w:tcPr>
            <w:tcW w:w="2160" w:type="dxa"/>
            <w:vAlign w:val="bottom"/>
            <w:tcBorders>
              <w:right w:val="single" w:sz="8" w:color="D8D8D8"/>
            </w:tcBorders>
            <w:shd w:val="clear" w:color="auto" w:fill="D8D8D8"/>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1900" w:space="500"/>
            <w:col w:w="8840"/>
          </w:cols>
          <w:pgMar w:left="240" w:top="459" w:right="419" w:bottom="1440" w:gutter="0" w:footer="0" w:header="0"/>
          <w:type w:val="continuous"/>
        </w:sectPr>
      </w:pPr>
    </w:p>
    <w:p>
      <w:pPr>
        <w:spacing w:after="0" w:line="106" w:lineRule="exact"/>
        <w:rPr>
          <w:sz w:val="20"/>
          <w:szCs w:val="20"/>
          <w:color w:val="auto"/>
        </w:rPr>
      </w:pPr>
    </w:p>
    <w:p>
      <w:pPr>
        <w:ind w:left="7380"/>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43</w:t>
      </w:r>
    </w:p>
    <w:p>
      <w:pPr>
        <w:sectPr>
          <w:pgSz w:w="11900" w:h="16838" w:orient="portrait"/>
          <w:cols w:equalWidth="0" w:num="1">
            <w:col w:w="11240"/>
          </w:cols>
          <w:pgMar w:left="240" w:top="459" w:right="419" w:bottom="1440" w:gutter="0" w:footer="0" w:header="0"/>
          <w:type w:val="continuous"/>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COMPENSATION DISCUSSION AND ANALYSIS</w:t>
      </w:r>
    </w:p>
    <w:p>
      <w:pPr>
        <w:spacing w:after="0" w:line="153"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32406B"/>
        </w:rPr>
        <w:t>Annual Incentive Plan Compensation</w:t>
      </w:r>
    </w:p>
    <w:p>
      <w:pPr>
        <w:spacing w:after="0" w:line="106" w:lineRule="exact"/>
        <w:rPr>
          <w:sz w:val="20"/>
          <w:szCs w:val="20"/>
          <w:color w:val="auto"/>
        </w:rPr>
      </w:pPr>
    </w:p>
    <w:p>
      <w:pPr>
        <w:jc w:val="both"/>
        <w:ind w:left="220" w:right="60"/>
        <w:spacing w:after="0" w:line="253" w:lineRule="auto"/>
        <w:rPr>
          <w:sz w:val="20"/>
          <w:szCs w:val="20"/>
          <w:color w:val="auto"/>
        </w:rPr>
      </w:pPr>
      <w:r>
        <w:rPr>
          <w:rFonts w:ascii="Arial" w:cs="Arial" w:eastAsia="Arial" w:hAnsi="Arial"/>
          <w:sz w:val="16"/>
          <w:szCs w:val="16"/>
          <w:color w:val="auto"/>
        </w:rPr>
        <w:t>An annual bonus may be earned each year based on an individual’s performance against both financial and individual strategic goals. For each NEO, the AIP bonus target amount is determined according to the executive’s business/function complexity, size, and overall impact on Dover’s results, as well as strategic leadership and managerial responsibility.</w:t>
      </w:r>
    </w:p>
    <w:p>
      <w:pPr>
        <w:spacing w:after="0" w:line="201" w:lineRule="exact"/>
        <w:rPr>
          <w:sz w:val="20"/>
          <w:szCs w:val="20"/>
          <w:color w:val="auto"/>
        </w:rPr>
      </w:pPr>
    </w:p>
    <w:p>
      <w:pPr>
        <w:ind w:left="220" w:right="60"/>
        <w:spacing w:after="0" w:line="248" w:lineRule="auto"/>
        <w:rPr>
          <w:sz w:val="20"/>
          <w:szCs w:val="20"/>
          <w:color w:val="auto"/>
        </w:rPr>
      </w:pPr>
      <w:r>
        <w:rPr>
          <w:rFonts w:ascii="Arial" w:cs="Arial" w:eastAsia="Arial" w:hAnsi="Arial"/>
          <w:sz w:val="16"/>
          <w:szCs w:val="16"/>
          <w:color w:val="auto"/>
        </w:rPr>
        <w:t>For 2017, 60% of an NEO’s annual bonus was based on the achievement of financial performance criteria based on earnings from continuing operations, revenue and/or operating earnings for segment executives. Restructuring charges which occurred in the fourth quarter of 2017 were not included in the calculation. The other 40% of the annual bonus was based on the achievement of individual strategic objectives designed to create long-term value for Dover shareholders. These individual strategic objectives were set for the CEO by the Board at the beginning of the year and relate to specific strategic initiatives that the Board and management agreed were important for Dover to achieve in 2017. These initiatives were communicated to the CEO in February, tracked throughout the year, and progress against them was reviewed mid-year with the CEO. Following the end of the year, the Board reviewed the CEO’s attainment of or progress towards those specific strategic objectives when deciding the CEO’s annual bonus. The CEO’s strategic objectives were cascaded to his direct reports as appropriate based on their responsibilities or business portfolio. In 2017, the individual strategic objectives metric was capped at 100% achievement if the NEO’s business did not achieve its EBITDA as a percentage of sales target.</w:t>
      </w:r>
    </w:p>
    <w:p>
      <w:pPr>
        <w:spacing w:after="0" w:line="204" w:lineRule="exact"/>
        <w:rPr>
          <w:sz w:val="20"/>
          <w:szCs w:val="20"/>
          <w:color w:val="auto"/>
        </w:rPr>
      </w:pPr>
    </w:p>
    <w:p>
      <w:pPr>
        <w:ind w:left="220" w:right="100"/>
        <w:spacing w:after="0" w:line="253" w:lineRule="auto"/>
        <w:rPr>
          <w:sz w:val="20"/>
          <w:szCs w:val="20"/>
          <w:color w:val="auto"/>
        </w:rPr>
      </w:pPr>
      <w:r>
        <w:rPr>
          <w:rFonts w:ascii="Arial" w:cs="Arial" w:eastAsia="Arial" w:hAnsi="Arial"/>
          <w:sz w:val="16"/>
          <w:szCs w:val="16"/>
          <w:color w:val="auto"/>
        </w:rPr>
        <w:t>Executives can achieve anywhere between 0% and 200% of their target bonus. However, above target payout is only earned for performance that is significantly above the targeted performance. Dover believes that balancing the measurement of performance for the AIP between financial and strategic objectives is an important factor in mitigating risk and in reinforcing the execution of Dover’s long-term strategy to create value for our shareholders.</w:t>
      </w:r>
    </w:p>
    <w:p>
      <w:pPr>
        <w:spacing w:after="0" w:line="185" w:lineRule="exact"/>
        <w:rPr>
          <w:sz w:val="20"/>
          <w:szCs w:val="20"/>
          <w:color w:val="auto"/>
        </w:rPr>
      </w:pPr>
    </w:p>
    <w:p>
      <w:pPr>
        <w:ind w:left="220"/>
        <w:spacing w:after="0"/>
        <w:rPr>
          <w:sz w:val="20"/>
          <w:szCs w:val="20"/>
          <w:color w:val="auto"/>
        </w:rPr>
      </w:pPr>
      <w:r>
        <w:rPr>
          <w:rFonts w:ascii="Arial" w:cs="Arial" w:eastAsia="Arial" w:hAnsi="Arial"/>
          <w:sz w:val="16"/>
          <w:szCs w:val="16"/>
          <w:i w:val="1"/>
          <w:iCs w:val="1"/>
          <w:color w:val="32406B"/>
        </w:rPr>
        <w:t>2017 AIP Funding</w:t>
      </w:r>
    </w:p>
    <w:p>
      <w:pPr>
        <w:spacing w:after="0" w:line="88" w:lineRule="exact"/>
        <w:rPr>
          <w:sz w:val="20"/>
          <w:szCs w:val="20"/>
          <w:color w:val="auto"/>
        </w:rPr>
      </w:pPr>
    </w:p>
    <w:p>
      <w:pPr>
        <w:ind w:left="220" w:right="20"/>
        <w:spacing w:after="0" w:line="249" w:lineRule="auto"/>
        <w:rPr>
          <w:sz w:val="20"/>
          <w:szCs w:val="20"/>
          <w:color w:val="auto"/>
        </w:rPr>
      </w:pPr>
      <w:r>
        <w:rPr>
          <w:rFonts w:ascii="Arial" w:cs="Arial" w:eastAsia="Arial" w:hAnsi="Arial"/>
          <w:sz w:val="16"/>
          <w:szCs w:val="16"/>
          <w:color w:val="auto"/>
        </w:rPr>
        <w:t>AIP is designed to reward our NEOs for the achievement of financial and strategic objectives that are linked to Dover’s longer term goals. The AIP was funded for Section 162(m) of the Internal Revenue Code purposes by the achievement of an EPS goal, as determined under the plan. Achievement of our EPS target allows maximum bonuses to be paid, subject to the negative discretion of the Compensation Committee in determining the final bonuses. Achievement below the target reduces the bonus pool by 1% for every 1% below target; achievement above target does not increase the bonus pool. Taking into account the impact of businesses acquired during 2017, our 2017 EPS target was $3.50. We achieved adjusted EPS of $4.03 so bonuses were available to be paid at the maximum level.</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44</w:t>
      </w:r>
    </w:p>
    <w:p>
      <w:pPr>
        <w:sectPr>
          <w:pgSz w:w="11900" w:h="16838" w:orient="portrait"/>
          <w:cols w:equalWidth="0" w:num="1">
            <w:col w:w="11220"/>
          </w:cols>
          <w:pgMar w:left="24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COMPENSATION DISCUSSION AND ANALYSIS</w:t>
      </w:r>
    </w:p>
    <w:p>
      <w:pPr>
        <w:spacing w:after="0" w:line="157" w:lineRule="exact"/>
        <w:rPr>
          <w:sz w:val="20"/>
          <w:szCs w:val="20"/>
          <w:color w:val="auto"/>
        </w:rPr>
      </w:pPr>
    </w:p>
    <w:p>
      <w:pPr>
        <w:ind w:left="220"/>
        <w:spacing w:after="0"/>
        <w:rPr>
          <w:sz w:val="20"/>
          <w:szCs w:val="20"/>
          <w:color w:val="auto"/>
        </w:rPr>
      </w:pPr>
      <w:r>
        <w:rPr>
          <w:rFonts w:ascii="Arial" w:cs="Arial" w:eastAsia="Arial" w:hAnsi="Arial"/>
          <w:sz w:val="16"/>
          <w:szCs w:val="16"/>
          <w:i w:val="1"/>
          <w:iCs w:val="1"/>
          <w:color w:val="32406B"/>
        </w:rPr>
        <w:t>2017 AIP Financial Results Performance</w:t>
      </w:r>
    </w:p>
    <w:p>
      <w:pPr>
        <w:spacing w:after="0" w:line="102" w:lineRule="exact"/>
        <w:rPr>
          <w:sz w:val="20"/>
          <w:szCs w:val="20"/>
          <w:color w:val="auto"/>
        </w:rPr>
      </w:pPr>
    </w:p>
    <w:p>
      <w:pPr>
        <w:ind w:left="220" w:right="160"/>
        <w:spacing w:after="0" w:line="250" w:lineRule="auto"/>
        <w:rPr>
          <w:sz w:val="20"/>
          <w:szCs w:val="20"/>
          <w:color w:val="auto"/>
        </w:rPr>
      </w:pPr>
      <w:r>
        <w:rPr>
          <w:rFonts w:ascii="Arial" w:cs="Arial" w:eastAsia="Arial" w:hAnsi="Arial"/>
          <w:sz w:val="16"/>
          <w:szCs w:val="16"/>
          <w:color w:val="auto"/>
        </w:rPr>
        <w:t>The actual bonuses paid for the year were generally above target based on business results, reflecting our pay-for-performance focus. Under the AIP, 60% of each NEO’s target annual incentive is tied to the achievement of financial results and 40% is tied to the achievement of individual strategic objectives. Targets are set at the overall corporate level for corporate NEOs (Livingston, Cerepak) and at the segment level for segment NEOs (Fincher, Somasundaram, Spurgeon). The financial targets listed below were utilized to determine the 60% of each NEO’s bonus tied to financial results.</w:t>
      </w:r>
    </w:p>
    <w:p>
      <w:pPr>
        <w:spacing w:after="0" w:line="230" w:lineRule="exact"/>
        <w:rPr>
          <w:sz w:val="20"/>
          <w:szCs w:val="20"/>
          <w:color w:val="auto"/>
        </w:rPr>
      </w:pPr>
    </w:p>
    <w:tbl>
      <w:tblPr>
        <w:tblLayout w:type="fixed"/>
        <w:tblInd w:w="220" w:type="dxa"/>
        <w:tblCellMar>
          <w:top w:w="0" w:type="dxa"/>
          <w:left w:w="0" w:type="dxa"/>
          <w:bottom w:w="0" w:type="dxa"/>
          <w:right w:w="0" w:type="dxa"/>
        </w:tblCellMar>
      </w:tblPr>
      <w:tr>
        <w:trPr>
          <w:trHeight w:val="237"/>
        </w:trPr>
        <w:tc>
          <w:tcPr>
            <w:tcW w:w="440" w:type="dxa"/>
            <w:vAlign w:val="bottom"/>
            <w:shd w:val="clear" w:color="auto" w:fill="32406B"/>
          </w:tcPr>
          <w:p>
            <w:pPr>
              <w:spacing w:after="0"/>
              <w:rPr>
                <w:sz w:val="20"/>
                <w:szCs w:val="20"/>
                <w:color w:val="auto"/>
              </w:rPr>
            </w:pPr>
          </w:p>
        </w:tc>
        <w:tc>
          <w:tcPr>
            <w:tcW w:w="3140" w:type="dxa"/>
            <w:vAlign w:val="bottom"/>
            <w:shd w:val="clear" w:color="auto" w:fill="32406B"/>
          </w:tcPr>
          <w:p>
            <w:pPr>
              <w:spacing w:after="0"/>
              <w:rPr>
                <w:sz w:val="20"/>
                <w:szCs w:val="20"/>
                <w:color w:val="auto"/>
              </w:rPr>
            </w:pPr>
          </w:p>
        </w:tc>
        <w:tc>
          <w:tcPr>
            <w:tcW w:w="240" w:type="dxa"/>
            <w:vAlign w:val="bottom"/>
            <w:shd w:val="clear" w:color="auto" w:fill="32406B"/>
          </w:tcPr>
          <w:p>
            <w:pPr>
              <w:spacing w:after="0"/>
              <w:rPr>
                <w:sz w:val="20"/>
                <w:szCs w:val="20"/>
                <w:color w:val="auto"/>
              </w:rPr>
            </w:pPr>
          </w:p>
        </w:tc>
        <w:tc>
          <w:tcPr>
            <w:tcW w:w="1240" w:type="dxa"/>
            <w:vAlign w:val="bottom"/>
            <w:shd w:val="clear" w:color="auto" w:fill="32406B"/>
          </w:tcPr>
          <w:p>
            <w:pPr>
              <w:spacing w:after="0"/>
              <w:rPr>
                <w:sz w:val="20"/>
                <w:szCs w:val="20"/>
                <w:color w:val="auto"/>
              </w:rPr>
            </w:pPr>
          </w:p>
        </w:tc>
        <w:tc>
          <w:tcPr>
            <w:tcW w:w="1140" w:type="dxa"/>
            <w:vAlign w:val="bottom"/>
            <w:shd w:val="clear" w:color="auto" w:fill="32406B"/>
          </w:tcPr>
          <w:p>
            <w:pPr>
              <w:jc w:val="right"/>
              <w:ind w:right="79"/>
              <w:spacing w:after="0"/>
              <w:rPr>
                <w:sz w:val="20"/>
                <w:szCs w:val="20"/>
                <w:color w:val="auto"/>
              </w:rPr>
            </w:pPr>
            <w:r>
              <w:rPr>
                <w:rFonts w:ascii="Arial" w:cs="Arial" w:eastAsia="Arial" w:hAnsi="Arial"/>
                <w:sz w:val="16"/>
                <w:szCs w:val="16"/>
                <w:b w:val="1"/>
                <w:bCs w:val="1"/>
                <w:color w:val="FFFFFF"/>
                <w:w w:val="98"/>
              </w:rPr>
              <w:t>2017 Targets</w:t>
            </w:r>
          </w:p>
        </w:tc>
        <w:tc>
          <w:tcPr>
            <w:tcW w:w="1200" w:type="dxa"/>
            <w:vAlign w:val="bottom"/>
            <w:shd w:val="clear" w:color="auto" w:fill="32406B"/>
          </w:tcPr>
          <w:p>
            <w:pPr>
              <w:spacing w:after="0"/>
              <w:rPr>
                <w:sz w:val="20"/>
                <w:szCs w:val="20"/>
                <w:color w:val="auto"/>
              </w:rPr>
            </w:pPr>
          </w:p>
        </w:tc>
        <w:tc>
          <w:tcPr>
            <w:tcW w:w="1360" w:type="dxa"/>
            <w:vAlign w:val="bottom"/>
            <w:shd w:val="clear" w:color="auto" w:fill="32406B"/>
          </w:tcPr>
          <w:p>
            <w:pPr>
              <w:spacing w:after="0"/>
              <w:rPr>
                <w:sz w:val="20"/>
                <w:szCs w:val="20"/>
                <w:color w:val="auto"/>
              </w:rPr>
            </w:pPr>
          </w:p>
        </w:tc>
        <w:tc>
          <w:tcPr>
            <w:tcW w:w="1140" w:type="dxa"/>
            <w:vAlign w:val="bottom"/>
            <w:shd w:val="clear" w:color="auto" w:fill="32406B"/>
          </w:tcPr>
          <w:p>
            <w:pPr>
              <w:jc w:val="right"/>
              <w:ind w:right="59"/>
              <w:spacing w:after="0"/>
              <w:rPr>
                <w:sz w:val="20"/>
                <w:szCs w:val="20"/>
                <w:color w:val="auto"/>
              </w:rPr>
            </w:pPr>
            <w:r>
              <w:rPr>
                <w:rFonts w:ascii="Arial" w:cs="Arial" w:eastAsia="Arial" w:hAnsi="Arial"/>
                <w:sz w:val="16"/>
                <w:szCs w:val="16"/>
                <w:b w:val="1"/>
                <w:bCs w:val="1"/>
                <w:color w:val="FFFFFF"/>
              </w:rPr>
              <w:t>2017 Results</w:t>
            </w:r>
          </w:p>
        </w:tc>
        <w:tc>
          <w:tcPr>
            <w:tcW w:w="1100" w:type="dxa"/>
            <w:vAlign w:val="bottom"/>
            <w:shd w:val="clear" w:color="auto" w:fill="32406B"/>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40" w:type="dxa"/>
            <w:vAlign w:val="bottom"/>
            <w:shd w:val="clear" w:color="auto" w:fill="32406B"/>
          </w:tcPr>
          <w:p>
            <w:pPr>
              <w:spacing w:after="0"/>
              <w:rPr>
                <w:sz w:val="22"/>
                <w:szCs w:val="22"/>
                <w:color w:val="auto"/>
              </w:rPr>
            </w:pPr>
          </w:p>
        </w:tc>
        <w:tc>
          <w:tcPr>
            <w:tcW w:w="3140" w:type="dxa"/>
            <w:vAlign w:val="bottom"/>
            <w:shd w:val="clear" w:color="auto" w:fill="32406B"/>
          </w:tcPr>
          <w:p>
            <w:pPr>
              <w:spacing w:after="0"/>
              <w:rPr>
                <w:sz w:val="22"/>
                <w:szCs w:val="22"/>
                <w:color w:val="auto"/>
              </w:rPr>
            </w:pPr>
          </w:p>
        </w:tc>
        <w:tc>
          <w:tcPr>
            <w:tcW w:w="240" w:type="dxa"/>
            <w:vAlign w:val="bottom"/>
            <w:shd w:val="clear" w:color="auto" w:fill="32406B"/>
          </w:tcPr>
          <w:p>
            <w:pPr>
              <w:spacing w:after="0"/>
              <w:rPr>
                <w:sz w:val="22"/>
                <w:szCs w:val="22"/>
                <w:color w:val="auto"/>
              </w:rPr>
            </w:pPr>
          </w:p>
        </w:tc>
        <w:tc>
          <w:tcPr>
            <w:tcW w:w="1240" w:type="dxa"/>
            <w:vAlign w:val="bottom"/>
            <w:shd w:val="clear" w:color="auto" w:fill="32406B"/>
          </w:tcPr>
          <w:p>
            <w:pPr>
              <w:spacing w:after="0"/>
              <w:rPr>
                <w:sz w:val="22"/>
                <w:szCs w:val="22"/>
                <w:color w:val="auto"/>
              </w:rPr>
            </w:pPr>
          </w:p>
        </w:tc>
        <w:tc>
          <w:tcPr>
            <w:tcW w:w="1140" w:type="dxa"/>
            <w:vAlign w:val="bottom"/>
            <w:shd w:val="clear" w:color="auto" w:fill="32406B"/>
          </w:tcPr>
          <w:p>
            <w:pPr>
              <w:spacing w:after="0"/>
              <w:rPr>
                <w:sz w:val="22"/>
                <w:szCs w:val="22"/>
                <w:color w:val="auto"/>
              </w:rPr>
            </w:pPr>
          </w:p>
        </w:tc>
        <w:tc>
          <w:tcPr>
            <w:tcW w:w="2560" w:type="dxa"/>
            <w:vAlign w:val="bottom"/>
            <w:gridSpan w:val="2"/>
            <w:shd w:val="clear" w:color="auto" w:fill="32406B"/>
          </w:tcPr>
          <w:p>
            <w:pPr>
              <w:jc w:val="right"/>
              <w:ind w:right="819"/>
              <w:spacing w:after="0"/>
              <w:rPr>
                <w:sz w:val="20"/>
                <w:szCs w:val="20"/>
                <w:color w:val="auto"/>
              </w:rPr>
            </w:pPr>
            <w:r>
              <w:rPr>
                <w:rFonts w:ascii="Arial" w:cs="Arial" w:eastAsia="Arial" w:hAnsi="Arial"/>
                <w:sz w:val="16"/>
                <w:szCs w:val="16"/>
                <w:b w:val="1"/>
                <w:bCs w:val="1"/>
                <w:color w:val="FFFFFF"/>
              </w:rPr>
              <w:t>In $millions</w:t>
            </w:r>
          </w:p>
        </w:tc>
        <w:tc>
          <w:tcPr>
            <w:tcW w:w="1140" w:type="dxa"/>
            <w:vAlign w:val="bottom"/>
            <w:shd w:val="clear" w:color="auto" w:fill="32406B"/>
          </w:tcPr>
          <w:p>
            <w:pPr>
              <w:spacing w:after="0"/>
              <w:rPr>
                <w:sz w:val="22"/>
                <w:szCs w:val="22"/>
                <w:color w:val="auto"/>
              </w:rPr>
            </w:pPr>
          </w:p>
        </w:tc>
        <w:tc>
          <w:tcPr>
            <w:tcW w:w="1100" w:type="dxa"/>
            <w:vAlign w:val="bottom"/>
            <w:shd w:val="clear" w:color="auto" w:fill="32406B"/>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440" w:type="dxa"/>
            <w:vAlign w:val="bottom"/>
            <w:tcBorders>
              <w:bottom w:val="single" w:sz="8" w:color="32406B"/>
            </w:tcBorders>
            <w:shd w:val="clear" w:color="auto" w:fill="32406B"/>
          </w:tcPr>
          <w:p>
            <w:pPr>
              <w:ind w:left="80"/>
              <w:spacing w:after="0"/>
              <w:rPr>
                <w:sz w:val="20"/>
                <w:szCs w:val="20"/>
                <w:color w:val="auto"/>
              </w:rPr>
            </w:pPr>
            <w:r>
              <w:rPr>
                <w:rFonts w:ascii="Arial" w:cs="Arial" w:eastAsia="Arial" w:hAnsi="Arial"/>
                <w:sz w:val="16"/>
                <w:szCs w:val="16"/>
                <w:b w:val="1"/>
                <w:bCs w:val="1"/>
                <w:color w:val="FFFFFF"/>
                <w:w w:val="97"/>
              </w:rPr>
              <w:t>NEO</w:t>
            </w:r>
          </w:p>
        </w:tc>
        <w:tc>
          <w:tcPr>
            <w:tcW w:w="3140" w:type="dxa"/>
            <w:vAlign w:val="bottom"/>
            <w:tcBorders>
              <w:bottom w:val="single" w:sz="8" w:color="32406B"/>
            </w:tcBorders>
            <w:shd w:val="clear" w:color="auto" w:fill="32406B"/>
          </w:tcPr>
          <w:p>
            <w:pPr>
              <w:spacing w:after="0"/>
              <w:rPr>
                <w:sz w:val="24"/>
                <w:szCs w:val="24"/>
                <w:color w:val="auto"/>
              </w:rPr>
            </w:pPr>
          </w:p>
        </w:tc>
        <w:tc>
          <w:tcPr>
            <w:tcW w:w="240" w:type="dxa"/>
            <w:vAlign w:val="bottom"/>
            <w:tcBorders>
              <w:bottom w:val="single" w:sz="8" w:color="32406B"/>
            </w:tcBorders>
            <w:shd w:val="clear" w:color="auto" w:fill="32406B"/>
          </w:tcPr>
          <w:p>
            <w:pPr>
              <w:spacing w:after="0"/>
              <w:rPr>
                <w:sz w:val="24"/>
                <w:szCs w:val="24"/>
                <w:color w:val="auto"/>
              </w:rPr>
            </w:pPr>
          </w:p>
        </w:tc>
        <w:tc>
          <w:tcPr>
            <w:tcW w:w="1240" w:type="dxa"/>
            <w:vAlign w:val="bottom"/>
            <w:tcBorders>
              <w:bottom w:val="single" w:sz="8" w:color="32406B"/>
            </w:tcBorders>
            <w:shd w:val="clear" w:color="auto" w:fill="32406B"/>
          </w:tcPr>
          <w:p>
            <w:pPr>
              <w:jc w:val="right"/>
              <w:spacing w:after="0"/>
              <w:rPr>
                <w:sz w:val="20"/>
                <w:szCs w:val="20"/>
                <w:color w:val="auto"/>
              </w:rPr>
            </w:pPr>
            <w:r>
              <w:rPr>
                <w:rFonts w:ascii="Arial" w:cs="Arial" w:eastAsia="Arial" w:hAnsi="Arial"/>
                <w:sz w:val="16"/>
                <w:szCs w:val="16"/>
                <w:b w:val="1"/>
                <w:bCs w:val="1"/>
                <w:color w:val="FFFFFF"/>
              </w:rPr>
              <w:t>Net Income(1)</w:t>
            </w:r>
          </w:p>
        </w:tc>
        <w:tc>
          <w:tcPr>
            <w:tcW w:w="1140" w:type="dxa"/>
            <w:vAlign w:val="bottom"/>
            <w:tcBorders>
              <w:bottom w:val="single" w:sz="8" w:color="32406B"/>
            </w:tcBorders>
            <w:shd w:val="clear" w:color="auto" w:fill="32406B"/>
          </w:tcPr>
          <w:p>
            <w:pPr>
              <w:jc w:val="right"/>
              <w:ind w:right="219"/>
              <w:spacing w:after="0"/>
              <w:rPr>
                <w:sz w:val="20"/>
                <w:szCs w:val="20"/>
                <w:color w:val="auto"/>
              </w:rPr>
            </w:pPr>
            <w:r>
              <w:rPr>
                <w:rFonts w:ascii="Arial" w:cs="Arial" w:eastAsia="Arial" w:hAnsi="Arial"/>
                <w:sz w:val="16"/>
                <w:szCs w:val="16"/>
                <w:b w:val="1"/>
                <w:bCs w:val="1"/>
                <w:color w:val="FFFFFF"/>
              </w:rPr>
              <w:t>Sales</w:t>
            </w:r>
          </w:p>
        </w:tc>
        <w:tc>
          <w:tcPr>
            <w:tcW w:w="1200" w:type="dxa"/>
            <w:vAlign w:val="bottom"/>
            <w:tcBorders>
              <w:bottom w:val="single" w:sz="8" w:color="32406B"/>
            </w:tcBorders>
            <w:shd w:val="clear" w:color="auto" w:fill="32406B"/>
          </w:tcPr>
          <w:p>
            <w:pPr>
              <w:jc w:val="right"/>
              <w:ind w:right="179"/>
              <w:spacing w:after="0"/>
              <w:rPr>
                <w:sz w:val="20"/>
                <w:szCs w:val="20"/>
                <w:color w:val="auto"/>
              </w:rPr>
            </w:pPr>
            <w:r>
              <w:rPr>
                <w:rFonts w:ascii="Arial" w:cs="Arial" w:eastAsia="Arial" w:hAnsi="Arial"/>
                <w:sz w:val="16"/>
                <w:szCs w:val="16"/>
                <w:b w:val="1"/>
                <w:bCs w:val="1"/>
                <w:color w:val="FFFFFF"/>
              </w:rPr>
              <w:t>EBITDA(2)</w:t>
            </w:r>
          </w:p>
        </w:tc>
        <w:tc>
          <w:tcPr>
            <w:tcW w:w="1360" w:type="dxa"/>
            <w:vAlign w:val="bottom"/>
            <w:tcBorders>
              <w:bottom w:val="single" w:sz="8" w:color="32406B"/>
            </w:tcBorders>
            <w:shd w:val="clear" w:color="auto" w:fill="32406B"/>
          </w:tcPr>
          <w:p>
            <w:pPr>
              <w:jc w:val="right"/>
              <w:spacing w:after="0"/>
              <w:rPr>
                <w:sz w:val="20"/>
                <w:szCs w:val="20"/>
                <w:color w:val="auto"/>
              </w:rPr>
            </w:pPr>
            <w:r>
              <w:rPr>
                <w:rFonts w:ascii="Arial" w:cs="Arial" w:eastAsia="Arial" w:hAnsi="Arial"/>
                <w:sz w:val="16"/>
                <w:szCs w:val="16"/>
                <w:b w:val="1"/>
                <w:bCs w:val="1"/>
                <w:color w:val="FFFFFF"/>
              </w:rPr>
              <w:t>Net Income(1)</w:t>
            </w:r>
          </w:p>
        </w:tc>
        <w:tc>
          <w:tcPr>
            <w:tcW w:w="1140" w:type="dxa"/>
            <w:vAlign w:val="bottom"/>
            <w:tcBorders>
              <w:bottom w:val="single" w:sz="8" w:color="32406B"/>
            </w:tcBorders>
            <w:shd w:val="clear" w:color="auto" w:fill="32406B"/>
          </w:tcPr>
          <w:p>
            <w:pPr>
              <w:jc w:val="right"/>
              <w:ind w:right="199"/>
              <w:spacing w:after="0"/>
              <w:rPr>
                <w:sz w:val="20"/>
                <w:szCs w:val="20"/>
                <w:color w:val="auto"/>
              </w:rPr>
            </w:pPr>
            <w:r>
              <w:rPr>
                <w:rFonts w:ascii="Arial" w:cs="Arial" w:eastAsia="Arial" w:hAnsi="Arial"/>
                <w:sz w:val="16"/>
                <w:szCs w:val="16"/>
                <w:b w:val="1"/>
                <w:bCs w:val="1"/>
                <w:color w:val="FFFFFF"/>
              </w:rPr>
              <w:t>Sales</w:t>
            </w:r>
          </w:p>
        </w:tc>
        <w:tc>
          <w:tcPr>
            <w:tcW w:w="1100" w:type="dxa"/>
            <w:vAlign w:val="bottom"/>
            <w:tcBorders>
              <w:bottom w:val="single" w:sz="8" w:color="32406B"/>
            </w:tcBorders>
            <w:shd w:val="clear" w:color="auto" w:fill="32406B"/>
          </w:tcPr>
          <w:p>
            <w:pPr>
              <w:jc w:val="right"/>
              <w:ind w:right="59"/>
              <w:spacing w:after="0"/>
              <w:rPr>
                <w:sz w:val="20"/>
                <w:szCs w:val="20"/>
                <w:color w:val="auto"/>
              </w:rPr>
            </w:pPr>
            <w:r>
              <w:rPr>
                <w:rFonts w:ascii="Arial" w:cs="Arial" w:eastAsia="Arial" w:hAnsi="Arial"/>
                <w:sz w:val="16"/>
                <w:szCs w:val="16"/>
                <w:b w:val="1"/>
                <w:bCs w:val="1"/>
                <w:color w:val="FFFFFF"/>
              </w:rPr>
              <w:t>EBITDA(2)</w:t>
            </w:r>
          </w:p>
        </w:tc>
        <w:tc>
          <w:tcPr>
            <w:tcW w:w="0" w:type="dxa"/>
            <w:vAlign w:val="bottom"/>
          </w:tcPr>
          <w:p>
            <w:pPr>
              <w:spacing w:after="0"/>
              <w:rPr>
                <w:sz w:val="1"/>
                <w:szCs w:val="1"/>
                <w:color w:val="auto"/>
              </w:rPr>
            </w:pPr>
          </w:p>
        </w:tc>
      </w:tr>
      <w:tr>
        <w:trPr>
          <w:trHeight w:val="211"/>
        </w:trPr>
        <w:tc>
          <w:tcPr>
            <w:tcW w:w="3580" w:type="dxa"/>
            <w:vAlign w:val="bottom"/>
            <w:gridSpan w:val="2"/>
          </w:tcPr>
          <w:p>
            <w:pPr>
              <w:ind w:left="80"/>
              <w:spacing w:after="0"/>
              <w:rPr>
                <w:sz w:val="20"/>
                <w:szCs w:val="20"/>
                <w:color w:val="auto"/>
              </w:rPr>
            </w:pPr>
            <w:r>
              <w:rPr>
                <w:rFonts w:ascii="Arial" w:cs="Arial" w:eastAsia="Arial" w:hAnsi="Arial"/>
                <w:sz w:val="16"/>
                <w:szCs w:val="16"/>
                <w:b w:val="1"/>
                <w:bCs w:val="1"/>
                <w:color w:val="auto"/>
              </w:rPr>
              <w:t>DOVER CORPORATION</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40" w:type="dxa"/>
            <w:vAlign w:val="bottom"/>
          </w:tcPr>
          <w:p>
            <w:pPr>
              <w:ind w:left="320"/>
              <w:spacing w:after="0"/>
              <w:rPr>
                <w:sz w:val="20"/>
                <w:szCs w:val="20"/>
                <w:color w:val="auto"/>
              </w:rPr>
            </w:pPr>
            <w:r>
              <w:rPr>
                <w:rFonts w:ascii="Arial" w:cs="Arial" w:eastAsia="Arial" w:hAnsi="Arial"/>
                <w:sz w:val="16"/>
                <w:szCs w:val="16"/>
                <w:b w:val="1"/>
                <w:bCs w:val="1"/>
                <w:color w:val="auto"/>
              </w:rPr>
              <w:t>•</w:t>
            </w:r>
          </w:p>
        </w:tc>
        <w:tc>
          <w:tcPr>
            <w:tcW w:w="3140" w:type="dxa"/>
            <w:vAlign w:val="bottom"/>
          </w:tcPr>
          <w:p>
            <w:pPr>
              <w:ind w:left="20"/>
              <w:spacing w:after="0"/>
              <w:rPr>
                <w:sz w:val="20"/>
                <w:szCs w:val="20"/>
                <w:color w:val="auto"/>
              </w:rPr>
            </w:pPr>
            <w:r>
              <w:rPr>
                <w:rFonts w:ascii="Arial" w:cs="Arial" w:eastAsia="Arial" w:hAnsi="Arial"/>
                <w:sz w:val="16"/>
                <w:szCs w:val="16"/>
                <w:b w:val="1"/>
                <w:bCs w:val="1"/>
                <w:color w:val="auto"/>
              </w:rPr>
              <w:t>Robert A. Livingston</w:t>
            </w:r>
          </w:p>
        </w:tc>
        <w:tc>
          <w:tcPr>
            <w:tcW w:w="1480" w:type="dxa"/>
            <w:vAlign w:val="bottom"/>
            <w:gridSpan w:val="2"/>
          </w:tcPr>
          <w:p>
            <w:pPr>
              <w:jc w:val="right"/>
              <w:ind w:right="299"/>
              <w:spacing w:after="0"/>
              <w:rPr>
                <w:sz w:val="20"/>
                <w:szCs w:val="20"/>
                <w:color w:val="auto"/>
              </w:rPr>
            </w:pPr>
            <w:r>
              <w:rPr>
                <w:rFonts w:ascii="Arial" w:cs="Arial" w:eastAsia="Arial" w:hAnsi="Arial"/>
                <w:sz w:val="16"/>
                <w:szCs w:val="16"/>
                <w:color w:val="auto"/>
              </w:rPr>
              <w:t>538</w:t>
            </w:r>
          </w:p>
        </w:tc>
        <w:tc>
          <w:tcPr>
            <w:tcW w:w="1140" w:type="dxa"/>
            <w:vAlign w:val="bottom"/>
          </w:tcPr>
          <w:p>
            <w:pPr>
              <w:jc w:val="right"/>
              <w:ind w:right="159"/>
              <w:spacing w:after="0"/>
              <w:rPr>
                <w:sz w:val="20"/>
                <w:szCs w:val="20"/>
                <w:color w:val="auto"/>
              </w:rPr>
            </w:pPr>
            <w:r>
              <w:rPr>
                <w:rFonts w:ascii="Arial" w:cs="Arial" w:eastAsia="Arial" w:hAnsi="Arial"/>
                <w:sz w:val="16"/>
                <w:szCs w:val="16"/>
                <w:color w:val="auto"/>
              </w:rPr>
              <w:t>7,492</w:t>
            </w:r>
          </w:p>
        </w:tc>
        <w:tc>
          <w:tcPr>
            <w:tcW w:w="1200" w:type="dxa"/>
            <w:vAlign w:val="bottom"/>
          </w:tcPr>
          <w:p>
            <w:pPr>
              <w:jc w:val="right"/>
              <w:ind w:right="399"/>
              <w:spacing w:after="0"/>
              <w:rPr>
                <w:sz w:val="20"/>
                <w:szCs w:val="20"/>
                <w:color w:val="auto"/>
              </w:rPr>
            </w:pPr>
            <w:r>
              <w:rPr>
                <w:rFonts w:ascii="Arial" w:cs="Arial" w:eastAsia="Arial" w:hAnsi="Arial"/>
                <w:sz w:val="16"/>
                <w:szCs w:val="16"/>
                <w:color w:val="auto"/>
              </w:rPr>
              <w:t>NA</w:t>
            </w:r>
          </w:p>
        </w:tc>
        <w:tc>
          <w:tcPr>
            <w:tcW w:w="1360" w:type="dxa"/>
            <w:vAlign w:val="bottom"/>
          </w:tcPr>
          <w:p>
            <w:pPr>
              <w:jc w:val="right"/>
              <w:ind w:right="299"/>
              <w:spacing w:after="0"/>
              <w:rPr>
                <w:sz w:val="20"/>
                <w:szCs w:val="20"/>
                <w:color w:val="auto"/>
              </w:rPr>
            </w:pPr>
            <w:r>
              <w:rPr>
                <w:rFonts w:ascii="Arial" w:cs="Arial" w:eastAsia="Arial" w:hAnsi="Arial"/>
                <w:sz w:val="16"/>
                <w:szCs w:val="16"/>
                <w:color w:val="auto"/>
              </w:rPr>
              <w:t>614</w:t>
            </w:r>
          </w:p>
        </w:tc>
        <w:tc>
          <w:tcPr>
            <w:tcW w:w="1140" w:type="dxa"/>
            <w:vAlign w:val="bottom"/>
          </w:tcPr>
          <w:p>
            <w:pPr>
              <w:jc w:val="right"/>
              <w:ind w:right="159"/>
              <w:spacing w:after="0"/>
              <w:rPr>
                <w:sz w:val="20"/>
                <w:szCs w:val="20"/>
                <w:color w:val="auto"/>
              </w:rPr>
            </w:pPr>
            <w:r>
              <w:rPr>
                <w:rFonts w:ascii="Arial" w:cs="Arial" w:eastAsia="Arial" w:hAnsi="Arial"/>
                <w:sz w:val="16"/>
                <w:szCs w:val="16"/>
                <w:color w:val="auto"/>
              </w:rPr>
              <w:t>7,830</w:t>
            </w:r>
          </w:p>
        </w:tc>
        <w:tc>
          <w:tcPr>
            <w:tcW w:w="1100" w:type="dxa"/>
            <w:vAlign w:val="bottom"/>
          </w:tcPr>
          <w:p>
            <w:pPr>
              <w:jc w:val="right"/>
              <w:ind w:right="299"/>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14"/>
        </w:trPr>
        <w:tc>
          <w:tcPr>
            <w:tcW w:w="3580" w:type="dxa"/>
            <w:vAlign w:val="bottom"/>
            <w:gridSpan w:val="2"/>
          </w:tcPr>
          <w:p>
            <w:pPr>
              <w:ind w:left="320"/>
              <w:spacing w:after="0"/>
              <w:rPr>
                <w:sz w:val="20"/>
                <w:szCs w:val="20"/>
                <w:color w:val="auto"/>
              </w:rPr>
            </w:pPr>
            <w:r>
              <w:rPr>
                <w:rFonts w:ascii="Arial" w:cs="Arial" w:eastAsia="Arial" w:hAnsi="Arial"/>
                <w:sz w:val="16"/>
                <w:szCs w:val="16"/>
                <w:b w:val="1"/>
                <w:bCs w:val="1"/>
                <w:color w:val="auto"/>
              </w:rPr>
              <w:t>• Brad M. Cerepak</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3580" w:type="dxa"/>
            <w:vAlign w:val="bottom"/>
            <w:gridSpan w:val="2"/>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3580" w:type="dxa"/>
            <w:vAlign w:val="bottom"/>
            <w:gridSpan w:val="2"/>
            <w:shd w:val="clear" w:color="auto" w:fill="D8D8D8"/>
          </w:tcPr>
          <w:p>
            <w:pPr>
              <w:ind w:left="80"/>
              <w:spacing w:after="0"/>
              <w:rPr>
                <w:sz w:val="20"/>
                <w:szCs w:val="20"/>
                <w:color w:val="auto"/>
              </w:rPr>
            </w:pPr>
            <w:r>
              <w:rPr>
                <w:rFonts w:ascii="Arial" w:cs="Arial" w:eastAsia="Arial" w:hAnsi="Arial"/>
                <w:sz w:val="16"/>
                <w:szCs w:val="16"/>
                <w:b w:val="1"/>
                <w:bCs w:val="1"/>
                <w:color w:val="auto"/>
              </w:rPr>
              <w:t>DOVER ENGINEERED SYSTEMS</w:t>
            </w:r>
          </w:p>
        </w:tc>
        <w:tc>
          <w:tcPr>
            <w:tcW w:w="240" w:type="dxa"/>
            <w:vAlign w:val="bottom"/>
            <w:shd w:val="clear" w:color="auto" w:fill="D8D8D8"/>
          </w:tcPr>
          <w:p>
            <w:pPr>
              <w:spacing w:after="0"/>
              <w:rPr>
                <w:sz w:val="16"/>
                <w:szCs w:val="16"/>
                <w:color w:val="auto"/>
              </w:rPr>
            </w:pPr>
          </w:p>
        </w:tc>
        <w:tc>
          <w:tcPr>
            <w:tcW w:w="1240" w:type="dxa"/>
            <w:vAlign w:val="bottom"/>
            <w:vMerge w:val="restart"/>
            <w:shd w:val="clear" w:color="auto" w:fill="D8D8D8"/>
          </w:tcPr>
          <w:p>
            <w:pPr>
              <w:jc w:val="right"/>
              <w:ind w:right="299"/>
              <w:spacing w:after="0"/>
              <w:rPr>
                <w:sz w:val="20"/>
                <w:szCs w:val="20"/>
                <w:color w:val="auto"/>
              </w:rPr>
            </w:pPr>
            <w:r>
              <w:rPr>
                <w:rFonts w:ascii="Arial" w:cs="Arial" w:eastAsia="Arial" w:hAnsi="Arial"/>
                <w:sz w:val="16"/>
                <w:szCs w:val="16"/>
                <w:color w:val="auto"/>
              </w:rPr>
              <w:t>NA</w:t>
            </w:r>
          </w:p>
        </w:tc>
        <w:tc>
          <w:tcPr>
            <w:tcW w:w="1140" w:type="dxa"/>
            <w:vAlign w:val="bottom"/>
            <w:vMerge w:val="restart"/>
            <w:shd w:val="clear" w:color="auto" w:fill="D8D8D8"/>
          </w:tcPr>
          <w:p>
            <w:pPr>
              <w:jc w:val="right"/>
              <w:ind w:right="159"/>
              <w:spacing w:after="0"/>
              <w:rPr>
                <w:sz w:val="20"/>
                <w:szCs w:val="20"/>
                <w:color w:val="auto"/>
              </w:rPr>
            </w:pPr>
            <w:r>
              <w:rPr>
                <w:rFonts w:ascii="Arial" w:cs="Arial" w:eastAsia="Arial" w:hAnsi="Arial"/>
                <w:sz w:val="16"/>
                <w:szCs w:val="16"/>
                <w:color w:val="auto"/>
              </w:rPr>
              <w:t>2,448</w:t>
            </w:r>
          </w:p>
        </w:tc>
        <w:tc>
          <w:tcPr>
            <w:tcW w:w="1200" w:type="dxa"/>
            <w:vAlign w:val="bottom"/>
            <w:vMerge w:val="restart"/>
            <w:shd w:val="clear" w:color="auto" w:fill="D8D8D8"/>
          </w:tcPr>
          <w:p>
            <w:pPr>
              <w:jc w:val="right"/>
              <w:ind w:right="399"/>
              <w:spacing w:after="0"/>
              <w:rPr>
                <w:sz w:val="20"/>
                <w:szCs w:val="20"/>
                <w:color w:val="auto"/>
              </w:rPr>
            </w:pPr>
            <w:r>
              <w:rPr>
                <w:rFonts w:ascii="Arial" w:cs="Arial" w:eastAsia="Arial" w:hAnsi="Arial"/>
                <w:sz w:val="16"/>
                <w:szCs w:val="16"/>
                <w:color w:val="auto"/>
              </w:rPr>
              <w:t>474</w:t>
            </w:r>
          </w:p>
        </w:tc>
        <w:tc>
          <w:tcPr>
            <w:tcW w:w="1360" w:type="dxa"/>
            <w:vAlign w:val="bottom"/>
            <w:vMerge w:val="restart"/>
            <w:shd w:val="clear" w:color="auto" w:fill="D8D8D8"/>
          </w:tcPr>
          <w:p>
            <w:pPr>
              <w:jc w:val="right"/>
              <w:ind w:right="299"/>
              <w:spacing w:after="0"/>
              <w:rPr>
                <w:sz w:val="20"/>
                <w:szCs w:val="20"/>
                <w:color w:val="auto"/>
              </w:rPr>
            </w:pPr>
            <w:r>
              <w:rPr>
                <w:rFonts w:ascii="Arial" w:cs="Arial" w:eastAsia="Arial" w:hAnsi="Arial"/>
                <w:sz w:val="16"/>
                <w:szCs w:val="16"/>
                <w:color w:val="auto"/>
              </w:rPr>
              <w:t>NA</w:t>
            </w:r>
          </w:p>
        </w:tc>
        <w:tc>
          <w:tcPr>
            <w:tcW w:w="1140" w:type="dxa"/>
            <w:vAlign w:val="bottom"/>
            <w:vMerge w:val="restart"/>
            <w:shd w:val="clear" w:color="auto" w:fill="D8D8D8"/>
          </w:tcPr>
          <w:p>
            <w:pPr>
              <w:jc w:val="right"/>
              <w:ind w:right="159"/>
              <w:spacing w:after="0"/>
              <w:rPr>
                <w:sz w:val="20"/>
                <w:szCs w:val="20"/>
                <w:color w:val="auto"/>
              </w:rPr>
            </w:pPr>
            <w:r>
              <w:rPr>
                <w:rFonts w:ascii="Arial" w:cs="Arial" w:eastAsia="Arial" w:hAnsi="Arial"/>
                <w:sz w:val="16"/>
                <w:szCs w:val="16"/>
                <w:color w:val="auto"/>
              </w:rPr>
              <w:t>2,576</w:t>
            </w:r>
          </w:p>
        </w:tc>
        <w:tc>
          <w:tcPr>
            <w:tcW w:w="1100" w:type="dxa"/>
            <w:vAlign w:val="bottom"/>
            <w:vMerge w:val="restart"/>
            <w:shd w:val="clear" w:color="auto" w:fill="D8D8D8"/>
          </w:tcPr>
          <w:p>
            <w:pPr>
              <w:jc w:val="right"/>
              <w:ind w:right="299"/>
              <w:spacing w:after="0"/>
              <w:rPr>
                <w:sz w:val="20"/>
                <w:szCs w:val="20"/>
                <w:color w:val="auto"/>
              </w:rPr>
            </w:pPr>
            <w:r>
              <w:rPr>
                <w:rFonts w:ascii="Arial" w:cs="Arial" w:eastAsia="Arial" w:hAnsi="Arial"/>
                <w:sz w:val="16"/>
                <w:szCs w:val="16"/>
                <w:color w:val="auto"/>
              </w:rPr>
              <w:t>481</w:t>
            </w:r>
          </w:p>
        </w:tc>
        <w:tc>
          <w:tcPr>
            <w:tcW w:w="0" w:type="dxa"/>
            <w:vAlign w:val="bottom"/>
          </w:tcPr>
          <w:p>
            <w:pPr>
              <w:spacing w:after="0"/>
              <w:rPr>
                <w:sz w:val="1"/>
                <w:szCs w:val="1"/>
                <w:color w:val="auto"/>
              </w:rPr>
            </w:pPr>
          </w:p>
        </w:tc>
      </w:tr>
      <w:tr>
        <w:trPr>
          <w:trHeight w:val="134"/>
        </w:trPr>
        <w:tc>
          <w:tcPr>
            <w:tcW w:w="3580" w:type="dxa"/>
            <w:vAlign w:val="bottom"/>
            <w:gridSpan w:val="2"/>
            <w:vMerge w:val="restart"/>
            <w:shd w:val="clear" w:color="auto" w:fill="D8D8D8"/>
          </w:tcPr>
          <w:p>
            <w:pPr>
              <w:ind w:left="320"/>
              <w:spacing w:after="0"/>
              <w:rPr>
                <w:sz w:val="20"/>
                <w:szCs w:val="20"/>
                <w:color w:val="auto"/>
              </w:rPr>
            </w:pPr>
            <w:r>
              <w:rPr>
                <w:rFonts w:ascii="Arial" w:cs="Arial" w:eastAsia="Arial" w:hAnsi="Arial"/>
                <w:sz w:val="16"/>
                <w:szCs w:val="16"/>
                <w:b w:val="1"/>
                <w:bCs w:val="1"/>
                <w:color w:val="auto"/>
              </w:rPr>
              <w:t>• C. Anderson Fincher</w:t>
            </w:r>
          </w:p>
        </w:tc>
        <w:tc>
          <w:tcPr>
            <w:tcW w:w="240" w:type="dxa"/>
            <w:vAlign w:val="bottom"/>
            <w:shd w:val="clear" w:color="auto" w:fill="D8D8D8"/>
          </w:tcPr>
          <w:p>
            <w:pPr>
              <w:spacing w:after="0"/>
              <w:rPr>
                <w:sz w:val="11"/>
                <w:szCs w:val="11"/>
                <w:color w:val="auto"/>
              </w:rPr>
            </w:pPr>
          </w:p>
        </w:tc>
        <w:tc>
          <w:tcPr>
            <w:tcW w:w="1240" w:type="dxa"/>
            <w:vAlign w:val="bottom"/>
            <w:vMerge w:val="continue"/>
            <w:shd w:val="clear" w:color="auto" w:fill="D8D8D8"/>
          </w:tcPr>
          <w:p>
            <w:pPr>
              <w:spacing w:after="0"/>
              <w:rPr>
                <w:sz w:val="11"/>
                <w:szCs w:val="11"/>
                <w:color w:val="auto"/>
              </w:rPr>
            </w:pPr>
          </w:p>
        </w:tc>
        <w:tc>
          <w:tcPr>
            <w:tcW w:w="1140" w:type="dxa"/>
            <w:vAlign w:val="bottom"/>
            <w:vMerge w:val="continue"/>
            <w:shd w:val="clear" w:color="auto" w:fill="D8D8D8"/>
          </w:tcPr>
          <w:p>
            <w:pPr>
              <w:spacing w:after="0"/>
              <w:rPr>
                <w:sz w:val="11"/>
                <w:szCs w:val="11"/>
                <w:color w:val="auto"/>
              </w:rPr>
            </w:pPr>
          </w:p>
        </w:tc>
        <w:tc>
          <w:tcPr>
            <w:tcW w:w="1200" w:type="dxa"/>
            <w:vAlign w:val="bottom"/>
            <w:vMerge w:val="continue"/>
            <w:shd w:val="clear" w:color="auto" w:fill="D8D8D8"/>
          </w:tcPr>
          <w:p>
            <w:pPr>
              <w:spacing w:after="0"/>
              <w:rPr>
                <w:sz w:val="11"/>
                <w:szCs w:val="11"/>
                <w:color w:val="auto"/>
              </w:rPr>
            </w:pPr>
          </w:p>
        </w:tc>
        <w:tc>
          <w:tcPr>
            <w:tcW w:w="1360" w:type="dxa"/>
            <w:vAlign w:val="bottom"/>
            <w:vMerge w:val="continue"/>
            <w:shd w:val="clear" w:color="auto" w:fill="D8D8D8"/>
          </w:tcPr>
          <w:p>
            <w:pPr>
              <w:spacing w:after="0"/>
              <w:rPr>
                <w:sz w:val="11"/>
                <w:szCs w:val="11"/>
                <w:color w:val="auto"/>
              </w:rPr>
            </w:pPr>
          </w:p>
        </w:tc>
        <w:tc>
          <w:tcPr>
            <w:tcW w:w="1140" w:type="dxa"/>
            <w:vAlign w:val="bottom"/>
            <w:vMerge w:val="continue"/>
            <w:shd w:val="clear" w:color="auto" w:fill="D8D8D8"/>
          </w:tcPr>
          <w:p>
            <w:pPr>
              <w:spacing w:after="0"/>
              <w:rPr>
                <w:sz w:val="11"/>
                <w:szCs w:val="11"/>
                <w:color w:val="auto"/>
              </w:rPr>
            </w:pPr>
          </w:p>
        </w:tc>
        <w:tc>
          <w:tcPr>
            <w:tcW w:w="1100" w:type="dxa"/>
            <w:vAlign w:val="bottom"/>
            <w:vMerge w:val="continue"/>
            <w:shd w:val="clear" w:color="auto" w:fill="D8D8D8"/>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3580" w:type="dxa"/>
            <w:vAlign w:val="bottom"/>
            <w:tcBorders>
              <w:bottom w:val="single" w:sz="8" w:color="D8D8D8"/>
            </w:tcBorders>
            <w:gridSpan w:val="2"/>
            <w:vMerge w:val="continue"/>
            <w:shd w:val="clear" w:color="auto" w:fill="D8D8D8"/>
          </w:tcPr>
          <w:p>
            <w:pPr>
              <w:spacing w:after="0"/>
              <w:rPr>
                <w:sz w:val="9"/>
                <w:szCs w:val="9"/>
                <w:color w:val="auto"/>
              </w:rPr>
            </w:pPr>
          </w:p>
        </w:tc>
        <w:tc>
          <w:tcPr>
            <w:tcW w:w="240" w:type="dxa"/>
            <w:vAlign w:val="bottom"/>
            <w:tcBorders>
              <w:bottom w:val="single" w:sz="8" w:color="D8D8D8"/>
            </w:tcBorders>
            <w:shd w:val="clear" w:color="auto" w:fill="D8D8D8"/>
          </w:tcPr>
          <w:p>
            <w:pPr>
              <w:spacing w:after="0"/>
              <w:rPr>
                <w:sz w:val="9"/>
                <w:szCs w:val="9"/>
                <w:color w:val="auto"/>
              </w:rPr>
            </w:pPr>
          </w:p>
        </w:tc>
        <w:tc>
          <w:tcPr>
            <w:tcW w:w="1240" w:type="dxa"/>
            <w:vAlign w:val="bottom"/>
            <w:tcBorders>
              <w:bottom w:val="single" w:sz="8" w:color="D8D8D8"/>
            </w:tcBorders>
            <w:shd w:val="clear" w:color="auto" w:fill="D8D8D8"/>
          </w:tcPr>
          <w:p>
            <w:pPr>
              <w:spacing w:after="0"/>
              <w:rPr>
                <w:sz w:val="9"/>
                <w:szCs w:val="9"/>
                <w:color w:val="auto"/>
              </w:rPr>
            </w:pPr>
          </w:p>
        </w:tc>
        <w:tc>
          <w:tcPr>
            <w:tcW w:w="1140" w:type="dxa"/>
            <w:vAlign w:val="bottom"/>
            <w:tcBorders>
              <w:bottom w:val="single" w:sz="8" w:color="D8D8D8"/>
            </w:tcBorders>
            <w:shd w:val="clear" w:color="auto" w:fill="D8D8D8"/>
          </w:tcPr>
          <w:p>
            <w:pPr>
              <w:spacing w:after="0"/>
              <w:rPr>
                <w:sz w:val="9"/>
                <w:szCs w:val="9"/>
                <w:color w:val="auto"/>
              </w:rPr>
            </w:pPr>
          </w:p>
        </w:tc>
        <w:tc>
          <w:tcPr>
            <w:tcW w:w="1200" w:type="dxa"/>
            <w:vAlign w:val="bottom"/>
            <w:tcBorders>
              <w:bottom w:val="single" w:sz="8" w:color="D8D8D8"/>
            </w:tcBorders>
            <w:shd w:val="clear" w:color="auto" w:fill="D8D8D8"/>
          </w:tcPr>
          <w:p>
            <w:pPr>
              <w:spacing w:after="0"/>
              <w:rPr>
                <w:sz w:val="9"/>
                <w:szCs w:val="9"/>
                <w:color w:val="auto"/>
              </w:rPr>
            </w:pPr>
          </w:p>
        </w:tc>
        <w:tc>
          <w:tcPr>
            <w:tcW w:w="1360" w:type="dxa"/>
            <w:vAlign w:val="bottom"/>
            <w:tcBorders>
              <w:bottom w:val="single" w:sz="8" w:color="D8D8D8"/>
            </w:tcBorders>
            <w:shd w:val="clear" w:color="auto" w:fill="D8D8D8"/>
          </w:tcPr>
          <w:p>
            <w:pPr>
              <w:spacing w:after="0"/>
              <w:rPr>
                <w:sz w:val="9"/>
                <w:szCs w:val="9"/>
                <w:color w:val="auto"/>
              </w:rPr>
            </w:pPr>
          </w:p>
        </w:tc>
        <w:tc>
          <w:tcPr>
            <w:tcW w:w="1140" w:type="dxa"/>
            <w:vAlign w:val="bottom"/>
            <w:tcBorders>
              <w:bottom w:val="single" w:sz="8" w:color="D8D8D8"/>
            </w:tcBorders>
            <w:shd w:val="clear" w:color="auto" w:fill="D8D8D8"/>
          </w:tcPr>
          <w:p>
            <w:pPr>
              <w:spacing w:after="0"/>
              <w:rPr>
                <w:sz w:val="9"/>
                <w:szCs w:val="9"/>
                <w:color w:val="auto"/>
              </w:rPr>
            </w:pPr>
          </w:p>
        </w:tc>
        <w:tc>
          <w:tcPr>
            <w:tcW w:w="1100" w:type="dxa"/>
            <w:vAlign w:val="bottom"/>
            <w:tcBorders>
              <w:bottom w:val="single" w:sz="8" w:color="D8D8D8"/>
            </w:tcBorders>
            <w:shd w:val="clear" w:color="auto" w:fill="D8D8D8"/>
          </w:tcPr>
          <w:p>
            <w:pPr>
              <w:spacing w:after="0"/>
              <w:rPr>
                <w:sz w:val="9"/>
                <w:szCs w:val="9"/>
                <w:color w:val="auto"/>
              </w:rPr>
            </w:pPr>
          </w:p>
        </w:tc>
        <w:tc>
          <w:tcPr>
            <w:tcW w:w="0" w:type="dxa"/>
            <w:vAlign w:val="bottom"/>
          </w:tcPr>
          <w:p>
            <w:pPr>
              <w:spacing w:after="0"/>
              <w:rPr>
                <w:sz w:val="1"/>
                <w:szCs w:val="1"/>
                <w:color w:val="auto"/>
              </w:rPr>
            </w:pPr>
          </w:p>
        </w:tc>
      </w:tr>
      <w:tr>
        <w:trPr>
          <w:trHeight w:val="184"/>
        </w:trPr>
        <w:tc>
          <w:tcPr>
            <w:tcW w:w="3580" w:type="dxa"/>
            <w:vAlign w:val="bottom"/>
            <w:gridSpan w:val="2"/>
          </w:tcPr>
          <w:p>
            <w:pPr>
              <w:ind w:left="80"/>
              <w:spacing w:after="0"/>
              <w:rPr>
                <w:sz w:val="20"/>
                <w:szCs w:val="20"/>
                <w:color w:val="auto"/>
              </w:rPr>
            </w:pPr>
            <w:r>
              <w:rPr>
                <w:rFonts w:ascii="Arial" w:cs="Arial" w:eastAsia="Arial" w:hAnsi="Arial"/>
                <w:sz w:val="16"/>
                <w:szCs w:val="16"/>
                <w:b w:val="1"/>
                <w:bCs w:val="1"/>
                <w:color w:val="auto"/>
              </w:rPr>
              <w:t>DOVER ENERGY</w:t>
            </w:r>
          </w:p>
        </w:tc>
        <w:tc>
          <w:tcPr>
            <w:tcW w:w="240" w:type="dxa"/>
            <w:vAlign w:val="bottom"/>
          </w:tcPr>
          <w:p>
            <w:pPr>
              <w:spacing w:after="0"/>
              <w:rPr>
                <w:sz w:val="16"/>
                <w:szCs w:val="16"/>
                <w:color w:val="auto"/>
              </w:rPr>
            </w:pPr>
          </w:p>
        </w:tc>
        <w:tc>
          <w:tcPr>
            <w:tcW w:w="1240" w:type="dxa"/>
            <w:vAlign w:val="bottom"/>
            <w:vMerge w:val="restart"/>
          </w:tcPr>
          <w:p>
            <w:pPr>
              <w:jc w:val="right"/>
              <w:ind w:right="299"/>
              <w:spacing w:after="0"/>
              <w:rPr>
                <w:sz w:val="20"/>
                <w:szCs w:val="20"/>
                <w:color w:val="auto"/>
              </w:rPr>
            </w:pPr>
            <w:r>
              <w:rPr>
                <w:rFonts w:ascii="Arial" w:cs="Arial" w:eastAsia="Arial" w:hAnsi="Arial"/>
                <w:sz w:val="16"/>
                <w:szCs w:val="16"/>
                <w:color w:val="auto"/>
              </w:rPr>
              <w:t>NA</w:t>
            </w:r>
          </w:p>
        </w:tc>
        <w:tc>
          <w:tcPr>
            <w:tcW w:w="1140" w:type="dxa"/>
            <w:vAlign w:val="bottom"/>
            <w:vMerge w:val="restart"/>
          </w:tcPr>
          <w:p>
            <w:pPr>
              <w:jc w:val="right"/>
              <w:ind w:right="159"/>
              <w:spacing w:after="0"/>
              <w:rPr>
                <w:sz w:val="20"/>
                <w:szCs w:val="20"/>
                <w:color w:val="auto"/>
              </w:rPr>
            </w:pPr>
            <w:r>
              <w:rPr>
                <w:rFonts w:ascii="Arial" w:cs="Arial" w:eastAsia="Arial" w:hAnsi="Arial"/>
                <w:sz w:val="16"/>
                <w:szCs w:val="16"/>
                <w:color w:val="auto"/>
              </w:rPr>
              <w:t>1,270</w:t>
            </w:r>
          </w:p>
        </w:tc>
        <w:tc>
          <w:tcPr>
            <w:tcW w:w="1200" w:type="dxa"/>
            <w:vAlign w:val="bottom"/>
            <w:vMerge w:val="restart"/>
          </w:tcPr>
          <w:p>
            <w:pPr>
              <w:jc w:val="right"/>
              <w:ind w:right="399"/>
              <w:spacing w:after="0"/>
              <w:rPr>
                <w:sz w:val="20"/>
                <w:szCs w:val="20"/>
                <w:color w:val="auto"/>
              </w:rPr>
            </w:pPr>
            <w:r>
              <w:rPr>
                <w:rFonts w:ascii="Arial" w:cs="Arial" w:eastAsia="Arial" w:hAnsi="Arial"/>
                <w:sz w:val="16"/>
                <w:szCs w:val="16"/>
                <w:color w:val="auto"/>
              </w:rPr>
              <w:t>276</w:t>
            </w:r>
          </w:p>
        </w:tc>
        <w:tc>
          <w:tcPr>
            <w:tcW w:w="1360" w:type="dxa"/>
            <w:vAlign w:val="bottom"/>
            <w:vMerge w:val="restart"/>
          </w:tcPr>
          <w:p>
            <w:pPr>
              <w:jc w:val="right"/>
              <w:ind w:right="299"/>
              <w:spacing w:after="0"/>
              <w:rPr>
                <w:sz w:val="20"/>
                <w:szCs w:val="20"/>
                <w:color w:val="auto"/>
              </w:rPr>
            </w:pPr>
            <w:r>
              <w:rPr>
                <w:rFonts w:ascii="Arial" w:cs="Arial" w:eastAsia="Arial" w:hAnsi="Arial"/>
                <w:sz w:val="16"/>
                <w:szCs w:val="16"/>
                <w:color w:val="auto"/>
              </w:rPr>
              <w:t>NA</w:t>
            </w:r>
          </w:p>
        </w:tc>
        <w:tc>
          <w:tcPr>
            <w:tcW w:w="1140" w:type="dxa"/>
            <w:vAlign w:val="bottom"/>
            <w:vMerge w:val="restart"/>
          </w:tcPr>
          <w:p>
            <w:pPr>
              <w:jc w:val="right"/>
              <w:ind w:right="159"/>
              <w:spacing w:after="0"/>
              <w:rPr>
                <w:sz w:val="20"/>
                <w:szCs w:val="20"/>
                <w:color w:val="auto"/>
              </w:rPr>
            </w:pPr>
            <w:r>
              <w:rPr>
                <w:rFonts w:ascii="Arial" w:cs="Arial" w:eastAsia="Arial" w:hAnsi="Arial"/>
                <w:sz w:val="16"/>
                <w:szCs w:val="16"/>
                <w:color w:val="auto"/>
              </w:rPr>
              <w:t>1,406</w:t>
            </w:r>
          </w:p>
        </w:tc>
        <w:tc>
          <w:tcPr>
            <w:tcW w:w="1100" w:type="dxa"/>
            <w:vAlign w:val="bottom"/>
            <w:vMerge w:val="restart"/>
          </w:tcPr>
          <w:p>
            <w:pPr>
              <w:jc w:val="right"/>
              <w:ind w:right="299"/>
              <w:spacing w:after="0"/>
              <w:rPr>
                <w:sz w:val="20"/>
                <w:szCs w:val="20"/>
                <w:color w:val="auto"/>
              </w:rPr>
            </w:pPr>
            <w:r>
              <w:rPr>
                <w:rFonts w:ascii="Arial" w:cs="Arial" w:eastAsia="Arial" w:hAnsi="Arial"/>
                <w:sz w:val="16"/>
                <w:szCs w:val="16"/>
                <w:color w:val="auto"/>
              </w:rPr>
              <w:t>327</w:t>
            </w:r>
          </w:p>
        </w:tc>
        <w:tc>
          <w:tcPr>
            <w:tcW w:w="0" w:type="dxa"/>
            <w:vAlign w:val="bottom"/>
          </w:tcPr>
          <w:p>
            <w:pPr>
              <w:spacing w:after="0"/>
              <w:rPr>
                <w:sz w:val="1"/>
                <w:szCs w:val="1"/>
                <w:color w:val="auto"/>
              </w:rPr>
            </w:pPr>
          </w:p>
        </w:tc>
      </w:tr>
      <w:tr>
        <w:trPr>
          <w:trHeight w:val="134"/>
        </w:trPr>
        <w:tc>
          <w:tcPr>
            <w:tcW w:w="3580" w:type="dxa"/>
            <w:vAlign w:val="bottom"/>
            <w:gridSpan w:val="2"/>
            <w:vMerge w:val="restart"/>
          </w:tcPr>
          <w:p>
            <w:pPr>
              <w:ind w:left="320"/>
              <w:spacing w:after="0"/>
              <w:rPr>
                <w:sz w:val="20"/>
                <w:szCs w:val="20"/>
                <w:color w:val="auto"/>
              </w:rPr>
            </w:pPr>
            <w:r>
              <w:rPr>
                <w:rFonts w:ascii="Arial" w:cs="Arial" w:eastAsia="Arial" w:hAnsi="Arial"/>
                <w:sz w:val="16"/>
                <w:szCs w:val="16"/>
                <w:b w:val="1"/>
                <w:bCs w:val="1"/>
                <w:color w:val="auto"/>
              </w:rPr>
              <w:t>• Sivasankaran Somasundaram</w:t>
            </w:r>
          </w:p>
        </w:tc>
        <w:tc>
          <w:tcPr>
            <w:tcW w:w="2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136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358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6"/>
        </w:trPr>
        <w:tc>
          <w:tcPr>
            <w:tcW w:w="3580" w:type="dxa"/>
            <w:vAlign w:val="bottom"/>
            <w:gridSpan w:val="2"/>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3580" w:type="dxa"/>
            <w:vAlign w:val="bottom"/>
            <w:gridSpan w:val="2"/>
            <w:shd w:val="clear" w:color="auto" w:fill="D8D8D8"/>
          </w:tcPr>
          <w:p>
            <w:pPr>
              <w:ind w:left="80"/>
              <w:spacing w:after="0"/>
              <w:rPr>
                <w:sz w:val="20"/>
                <w:szCs w:val="20"/>
                <w:color w:val="auto"/>
              </w:rPr>
            </w:pPr>
            <w:r>
              <w:rPr>
                <w:rFonts w:ascii="Arial" w:cs="Arial" w:eastAsia="Arial" w:hAnsi="Arial"/>
                <w:sz w:val="16"/>
                <w:szCs w:val="16"/>
                <w:b w:val="1"/>
                <w:bCs w:val="1"/>
                <w:color w:val="auto"/>
              </w:rPr>
              <w:t>DOVER FLUIDS</w:t>
            </w:r>
          </w:p>
        </w:tc>
        <w:tc>
          <w:tcPr>
            <w:tcW w:w="240" w:type="dxa"/>
            <w:vAlign w:val="bottom"/>
            <w:shd w:val="clear" w:color="auto" w:fill="D8D8D8"/>
          </w:tcPr>
          <w:p>
            <w:pPr>
              <w:spacing w:after="0"/>
              <w:rPr>
                <w:sz w:val="16"/>
                <w:szCs w:val="16"/>
                <w:color w:val="auto"/>
              </w:rPr>
            </w:pPr>
          </w:p>
        </w:tc>
        <w:tc>
          <w:tcPr>
            <w:tcW w:w="1240" w:type="dxa"/>
            <w:vAlign w:val="bottom"/>
            <w:vMerge w:val="restart"/>
            <w:shd w:val="clear" w:color="auto" w:fill="D8D8D8"/>
          </w:tcPr>
          <w:p>
            <w:pPr>
              <w:jc w:val="right"/>
              <w:ind w:right="299"/>
              <w:spacing w:after="0"/>
              <w:rPr>
                <w:sz w:val="20"/>
                <w:szCs w:val="20"/>
                <w:color w:val="auto"/>
              </w:rPr>
            </w:pPr>
            <w:r>
              <w:rPr>
                <w:rFonts w:ascii="Arial" w:cs="Arial" w:eastAsia="Arial" w:hAnsi="Arial"/>
                <w:sz w:val="16"/>
                <w:szCs w:val="16"/>
                <w:color w:val="auto"/>
              </w:rPr>
              <w:t>NA</w:t>
            </w:r>
          </w:p>
        </w:tc>
        <w:tc>
          <w:tcPr>
            <w:tcW w:w="1140" w:type="dxa"/>
            <w:vAlign w:val="bottom"/>
            <w:vMerge w:val="restart"/>
            <w:shd w:val="clear" w:color="auto" w:fill="D8D8D8"/>
          </w:tcPr>
          <w:p>
            <w:pPr>
              <w:jc w:val="right"/>
              <w:ind w:right="159"/>
              <w:spacing w:after="0"/>
              <w:rPr>
                <w:sz w:val="20"/>
                <w:szCs w:val="20"/>
                <w:color w:val="auto"/>
              </w:rPr>
            </w:pPr>
            <w:r>
              <w:rPr>
                <w:rFonts w:ascii="Arial" w:cs="Arial" w:eastAsia="Arial" w:hAnsi="Arial"/>
                <w:sz w:val="16"/>
                <w:szCs w:val="16"/>
                <w:color w:val="auto"/>
              </w:rPr>
              <w:t>2,220</w:t>
            </w:r>
          </w:p>
        </w:tc>
        <w:tc>
          <w:tcPr>
            <w:tcW w:w="1200" w:type="dxa"/>
            <w:vAlign w:val="bottom"/>
            <w:vMerge w:val="restart"/>
            <w:shd w:val="clear" w:color="auto" w:fill="D8D8D8"/>
          </w:tcPr>
          <w:p>
            <w:pPr>
              <w:jc w:val="right"/>
              <w:ind w:right="399"/>
              <w:spacing w:after="0"/>
              <w:rPr>
                <w:sz w:val="20"/>
                <w:szCs w:val="20"/>
                <w:color w:val="auto"/>
              </w:rPr>
            </w:pPr>
            <w:r>
              <w:rPr>
                <w:rFonts w:ascii="Arial" w:cs="Arial" w:eastAsia="Arial" w:hAnsi="Arial"/>
                <w:sz w:val="16"/>
                <w:szCs w:val="16"/>
                <w:color w:val="auto"/>
              </w:rPr>
              <w:t>442</w:t>
            </w:r>
          </w:p>
        </w:tc>
        <w:tc>
          <w:tcPr>
            <w:tcW w:w="1360" w:type="dxa"/>
            <w:vAlign w:val="bottom"/>
            <w:vMerge w:val="restart"/>
            <w:shd w:val="clear" w:color="auto" w:fill="D8D8D8"/>
          </w:tcPr>
          <w:p>
            <w:pPr>
              <w:jc w:val="right"/>
              <w:ind w:right="299"/>
              <w:spacing w:after="0"/>
              <w:rPr>
                <w:sz w:val="20"/>
                <w:szCs w:val="20"/>
                <w:color w:val="auto"/>
              </w:rPr>
            </w:pPr>
            <w:r>
              <w:rPr>
                <w:rFonts w:ascii="Arial" w:cs="Arial" w:eastAsia="Arial" w:hAnsi="Arial"/>
                <w:sz w:val="16"/>
                <w:szCs w:val="16"/>
                <w:color w:val="auto"/>
              </w:rPr>
              <w:t>NA</w:t>
            </w:r>
          </w:p>
        </w:tc>
        <w:tc>
          <w:tcPr>
            <w:tcW w:w="1140" w:type="dxa"/>
            <w:vAlign w:val="bottom"/>
            <w:vMerge w:val="restart"/>
            <w:shd w:val="clear" w:color="auto" w:fill="D8D8D8"/>
          </w:tcPr>
          <w:p>
            <w:pPr>
              <w:jc w:val="right"/>
              <w:ind w:right="159"/>
              <w:spacing w:after="0"/>
              <w:rPr>
                <w:sz w:val="20"/>
                <w:szCs w:val="20"/>
                <w:color w:val="auto"/>
              </w:rPr>
            </w:pPr>
            <w:r>
              <w:rPr>
                <w:rFonts w:ascii="Arial" w:cs="Arial" w:eastAsia="Arial" w:hAnsi="Arial"/>
                <w:sz w:val="16"/>
                <w:szCs w:val="16"/>
                <w:color w:val="auto"/>
              </w:rPr>
              <w:t>2,251</w:t>
            </w:r>
          </w:p>
        </w:tc>
        <w:tc>
          <w:tcPr>
            <w:tcW w:w="1100" w:type="dxa"/>
            <w:vAlign w:val="bottom"/>
            <w:vMerge w:val="restart"/>
            <w:shd w:val="clear" w:color="auto" w:fill="D8D8D8"/>
          </w:tcPr>
          <w:p>
            <w:pPr>
              <w:jc w:val="right"/>
              <w:ind w:right="299"/>
              <w:spacing w:after="0"/>
              <w:rPr>
                <w:sz w:val="20"/>
                <w:szCs w:val="20"/>
                <w:color w:val="auto"/>
              </w:rPr>
            </w:pPr>
            <w:r>
              <w:rPr>
                <w:rFonts w:ascii="Arial" w:cs="Arial" w:eastAsia="Arial" w:hAnsi="Arial"/>
                <w:sz w:val="16"/>
                <w:szCs w:val="16"/>
                <w:color w:val="auto"/>
              </w:rPr>
              <w:t>435</w:t>
            </w:r>
          </w:p>
        </w:tc>
        <w:tc>
          <w:tcPr>
            <w:tcW w:w="0" w:type="dxa"/>
            <w:vAlign w:val="bottom"/>
          </w:tcPr>
          <w:p>
            <w:pPr>
              <w:spacing w:after="0"/>
              <w:rPr>
                <w:sz w:val="1"/>
                <w:szCs w:val="1"/>
                <w:color w:val="auto"/>
              </w:rPr>
            </w:pPr>
          </w:p>
        </w:tc>
      </w:tr>
      <w:tr>
        <w:trPr>
          <w:trHeight w:val="134"/>
        </w:trPr>
        <w:tc>
          <w:tcPr>
            <w:tcW w:w="440" w:type="dxa"/>
            <w:vAlign w:val="bottom"/>
            <w:vMerge w:val="restart"/>
            <w:shd w:val="clear" w:color="auto" w:fill="D8D8D8"/>
          </w:tcPr>
          <w:p>
            <w:pPr>
              <w:ind w:left="320"/>
              <w:spacing w:after="0"/>
              <w:rPr>
                <w:sz w:val="20"/>
                <w:szCs w:val="20"/>
                <w:color w:val="auto"/>
              </w:rPr>
            </w:pPr>
            <w:r>
              <w:rPr>
                <w:rFonts w:ascii="Arial" w:cs="Arial" w:eastAsia="Arial" w:hAnsi="Arial"/>
                <w:sz w:val="16"/>
                <w:szCs w:val="16"/>
                <w:b w:val="1"/>
                <w:bCs w:val="1"/>
                <w:color w:val="auto"/>
              </w:rPr>
              <w:t>•</w:t>
            </w:r>
          </w:p>
        </w:tc>
        <w:tc>
          <w:tcPr>
            <w:tcW w:w="3140" w:type="dxa"/>
            <w:vAlign w:val="bottom"/>
            <w:vMerge w:val="restart"/>
            <w:shd w:val="clear" w:color="auto" w:fill="D8D8D8"/>
          </w:tcPr>
          <w:p>
            <w:pPr>
              <w:ind w:left="20"/>
              <w:spacing w:after="0"/>
              <w:rPr>
                <w:sz w:val="20"/>
                <w:szCs w:val="20"/>
                <w:color w:val="auto"/>
              </w:rPr>
            </w:pPr>
            <w:r>
              <w:rPr>
                <w:rFonts w:ascii="Arial" w:cs="Arial" w:eastAsia="Arial" w:hAnsi="Arial"/>
                <w:sz w:val="16"/>
                <w:szCs w:val="16"/>
                <w:b w:val="1"/>
                <w:bCs w:val="1"/>
                <w:color w:val="auto"/>
              </w:rPr>
              <w:t>William W. Spurgeon, Jr.</w:t>
            </w:r>
          </w:p>
        </w:tc>
        <w:tc>
          <w:tcPr>
            <w:tcW w:w="240" w:type="dxa"/>
            <w:vAlign w:val="bottom"/>
            <w:shd w:val="clear" w:color="auto" w:fill="D8D8D8"/>
          </w:tcPr>
          <w:p>
            <w:pPr>
              <w:spacing w:after="0"/>
              <w:rPr>
                <w:sz w:val="11"/>
                <w:szCs w:val="11"/>
                <w:color w:val="auto"/>
              </w:rPr>
            </w:pPr>
          </w:p>
        </w:tc>
        <w:tc>
          <w:tcPr>
            <w:tcW w:w="1240" w:type="dxa"/>
            <w:vAlign w:val="bottom"/>
            <w:vMerge w:val="continue"/>
            <w:shd w:val="clear" w:color="auto" w:fill="D8D8D8"/>
          </w:tcPr>
          <w:p>
            <w:pPr>
              <w:spacing w:after="0"/>
              <w:rPr>
                <w:sz w:val="11"/>
                <w:szCs w:val="11"/>
                <w:color w:val="auto"/>
              </w:rPr>
            </w:pPr>
          </w:p>
        </w:tc>
        <w:tc>
          <w:tcPr>
            <w:tcW w:w="1140" w:type="dxa"/>
            <w:vAlign w:val="bottom"/>
            <w:vMerge w:val="continue"/>
            <w:shd w:val="clear" w:color="auto" w:fill="D8D8D8"/>
          </w:tcPr>
          <w:p>
            <w:pPr>
              <w:spacing w:after="0"/>
              <w:rPr>
                <w:sz w:val="11"/>
                <w:szCs w:val="11"/>
                <w:color w:val="auto"/>
              </w:rPr>
            </w:pPr>
          </w:p>
        </w:tc>
        <w:tc>
          <w:tcPr>
            <w:tcW w:w="1200" w:type="dxa"/>
            <w:vAlign w:val="bottom"/>
            <w:vMerge w:val="continue"/>
            <w:shd w:val="clear" w:color="auto" w:fill="D8D8D8"/>
          </w:tcPr>
          <w:p>
            <w:pPr>
              <w:spacing w:after="0"/>
              <w:rPr>
                <w:sz w:val="11"/>
                <w:szCs w:val="11"/>
                <w:color w:val="auto"/>
              </w:rPr>
            </w:pPr>
          </w:p>
        </w:tc>
        <w:tc>
          <w:tcPr>
            <w:tcW w:w="1360" w:type="dxa"/>
            <w:vAlign w:val="bottom"/>
            <w:vMerge w:val="continue"/>
            <w:shd w:val="clear" w:color="auto" w:fill="D8D8D8"/>
          </w:tcPr>
          <w:p>
            <w:pPr>
              <w:spacing w:after="0"/>
              <w:rPr>
                <w:sz w:val="11"/>
                <w:szCs w:val="11"/>
                <w:color w:val="auto"/>
              </w:rPr>
            </w:pPr>
          </w:p>
        </w:tc>
        <w:tc>
          <w:tcPr>
            <w:tcW w:w="1140" w:type="dxa"/>
            <w:vAlign w:val="bottom"/>
            <w:vMerge w:val="continue"/>
            <w:shd w:val="clear" w:color="auto" w:fill="D8D8D8"/>
          </w:tcPr>
          <w:p>
            <w:pPr>
              <w:spacing w:after="0"/>
              <w:rPr>
                <w:sz w:val="11"/>
                <w:szCs w:val="11"/>
                <w:color w:val="auto"/>
              </w:rPr>
            </w:pPr>
          </w:p>
        </w:tc>
        <w:tc>
          <w:tcPr>
            <w:tcW w:w="1100" w:type="dxa"/>
            <w:vAlign w:val="bottom"/>
            <w:vMerge w:val="continue"/>
            <w:shd w:val="clear" w:color="auto" w:fill="D8D8D8"/>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440" w:type="dxa"/>
            <w:vAlign w:val="bottom"/>
            <w:vMerge w:val="continue"/>
            <w:shd w:val="clear" w:color="auto" w:fill="D8D8D8"/>
          </w:tcPr>
          <w:p>
            <w:pPr>
              <w:spacing w:after="0"/>
              <w:rPr>
                <w:sz w:val="7"/>
                <w:szCs w:val="7"/>
                <w:color w:val="auto"/>
              </w:rPr>
            </w:pPr>
          </w:p>
        </w:tc>
        <w:tc>
          <w:tcPr>
            <w:tcW w:w="3140" w:type="dxa"/>
            <w:vAlign w:val="bottom"/>
            <w:vMerge w:val="continue"/>
            <w:shd w:val="clear" w:color="auto" w:fill="D8D8D8"/>
          </w:tcPr>
          <w:p>
            <w:pPr>
              <w:spacing w:after="0"/>
              <w:rPr>
                <w:sz w:val="7"/>
                <w:szCs w:val="7"/>
                <w:color w:val="auto"/>
              </w:rPr>
            </w:pPr>
          </w:p>
        </w:tc>
        <w:tc>
          <w:tcPr>
            <w:tcW w:w="240" w:type="dxa"/>
            <w:vAlign w:val="bottom"/>
            <w:shd w:val="clear" w:color="auto" w:fill="D8D8D8"/>
          </w:tcPr>
          <w:p>
            <w:pPr>
              <w:spacing w:after="0"/>
              <w:rPr>
                <w:sz w:val="7"/>
                <w:szCs w:val="7"/>
                <w:color w:val="auto"/>
              </w:rPr>
            </w:pPr>
          </w:p>
        </w:tc>
        <w:tc>
          <w:tcPr>
            <w:tcW w:w="1240" w:type="dxa"/>
            <w:vAlign w:val="bottom"/>
            <w:shd w:val="clear" w:color="auto" w:fill="D8D8D8"/>
          </w:tcPr>
          <w:p>
            <w:pPr>
              <w:spacing w:after="0"/>
              <w:rPr>
                <w:sz w:val="7"/>
                <w:szCs w:val="7"/>
                <w:color w:val="auto"/>
              </w:rPr>
            </w:pPr>
          </w:p>
        </w:tc>
        <w:tc>
          <w:tcPr>
            <w:tcW w:w="1140" w:type="dxa"/>
            <w:vAlign w:val="bottom"/>
            <w:shd w:val="clear" w:color="auto" w:fill="D8D8D8"/>
          </w:tcPr>
          <w:p>
            <w:pPr>
              <w:spacing w:after="0"/>
              <w:rPr>
                <w:sz w:val="7"/>
                <w:szCs w:val="7"/>
                <w:color w:val="auto"/>
              </w:rPr>
            </w:pPr>
          </w:p>
        </w:tc>
        <w:tc>
          <w:tcPr>
            <w:tcW w:w="1200" w:type="dxa"/>
            <w:vAlign w:val="bottom"/>
            <w:shd w:val="clear" w:color="auto" w:fill="D8D8D8"/>
          </w:tcPr>
          <w:p>
            <w:pPr>
              <w:spacing w:after="0"/>
              <w:rPr>
                <w:sz w:val="7"/>
                <w:szCs w:val="7"/>
                <w:color w:val="auto"/>
              </w:rPr>
            </w:pPr>
          </w:p>
        </w:tc>
        <w:tc>
          <w:tcPr>
            <w:tcW w:w="1360" w:type="dxa"/>
            <w:vAlign w:val="bottom"/>
            <w:shd w:val="clear" w:color="auto" w:fill="D8D8D8"/>
          </w:tcPr>
          <w:p>
            <w:pPr>
              <w:spacing w:after="0"/>
              <w:rPr>
                <w:sz w:val="7"/>
                <w:szCs w:val="7"/>
                <w:color w:val="auto"/>
              </w:rPr>
            </w:pPr>
          </w:p>
        </w:tc>
        <w:tc>
          <w:tcPr>
            <w:tcW w:w="1140" w:type="dxa"/>
            <w:vAlign w:val="bottom"/>
            <w:shd w:val="clear" w:color="auto" w:fill="D8D8D8"/>
          </w:tcPr>
          <w:p>
            <w:pPr>
              <w:spacing w:after="0"/>
              <w:rPr>
                <w:sz w:val="7"/>
                <w:szCs w:val="7"/>
                <w:color w:val="auto"/>
              </w:rPr>
            </w:pPr>
          </w:p>
        </w:tc>
        <w:tc>
          <w:tcPr>
            <w:tcW w:w="1100" w:type="dxa"/>
            <w:vAlign w:val="bottom"/>
            <w:shd w:val="clear" w:color="auto" w:fill="D8D8D8"/>
          </w:tcPr>
          <w:p>
            <w:pPr>
              <w:spacing w:after="0"/>
              <w:rPr>
                <w:sz w:val="7"/>
                <w:szCs w:val="7"/>
                <w:color w:val="auto"/>
              </w:rPr>
            </w:pPr>
          </w:p>
        </w:tc>
        <w:tc>
          <w:tcPr>
            <w:tcW w:w="0" w:type="dxa"/>
            <w:vAlign w:val="bottom"/>
          </w:tcPr>
          <w:p>
            <w:pPr>
              <w:spacing w:after="0"/>
              <w:rPr>
                <w:sz w:val="1"/>
                <w:szCs w:val="1"/>
                <w:color w:val="auto"/>
              </w:rPr>
            </w:pPr>
          </w:p>
        </w:tc>
      </w:tr>
      <w:tr>
        <w:trPr>
          <w:trHeight w:val="46"/>
        </w:trPr>
        <w:tc>
          <w:tcPr>
            <w:tcW w:w="440" w:type="dxa"/>
            <w:vAlign w:val="bottom"/>
            <w:shd w:val="clear" w:color="auto" w:fill="D8D8D8"/>
          </w:tcPr>
          <w:p>
            <w:pPr>
              <w:spacing w:after="0"/>
              <w:rPr>
                <w:sz w:val="4"/>
                <w:szCs w:val="4"/>
                <w:color w:val="auto"/>
              </w:rPr>
            </w:pPr>
          </w:p>
        </w:tc>
        <w:tc>
          <w:tcPr>
            <w:tcW w:w="3140" w:type="dxa"/>
            <w:vAlign w:val="bottom"/>
            <w:shd w:val="clear" w:color="auto" w:fill="D8D8D8"/>
          </w:tcPr>
          <w:p>
            <w:pPr>
              <w:spacing w:after="0"/>
              <w:rPr>
                <w:sz w:val="4"/>
                <w:szCs w:val="4"/>
                <w:color w:val="auto"/>
              </w:rPr>
            </w:pPr>
          </w:p>
        </w:tc>
        <w:tc>
          <w:tcPr>
            <w:tcW w:w="240" w:type="dxa"/>
            <w:vAlign w:val="bottom"/>
            <w:shd w:val="clear" w:color="auto" w:fill="D8D8D8"/>
          </w:tcPr>
          <w:p>
            <w:pPr>
              <w:spacing w:after="0"/>
              <w:rPr>
                <w:sz w:val="4"/>
                <w:szCs w:val="4"/>
                <w:color w:val="auto"/>
              </w:rPr>
            </w:pPr>
          </w:p>
        </w:tc>
        <w:tc>
          <w:tcPr>
            <w:tcW w:w="1240" w:type="dxa"/>
            <w:vAlign w:val="bottom"/>
            <w:shd w:val="clear" w:color="auto" w:fill="D8D8D8"/>
          </w:tcPr>
          <w:p>
            <w:pPr>
              <w:spacing w:after="0"/>
              <w:rPr>
                <w:sz w:val="4"/>
                <w:szCs w:val="4"/>
                <w:color w:val="auto"/>
              </w:rPr>
            </w:pPr>
          </w:p>
        </w:tc>
        <w:tc>
          <w:tcPr>
            <w:tcW w:w="1140" w:type="dxa"/>
            <w:vAlign w:val="bottom"/>
            <w:shd w:val="clear" w:color="auto" w:fill="D8D8D8"/>
          </w:tcPr>
          <w:p>
            <w:pPr>
              <w:spacing w:after="0"/>
              <w:rPr>
                <w:sz w:val="4"/>
                <w:szCs w:val="4"/>
                <w:color w:val="auto"/>
              </w:rPr>
            </w:pPr>
          </w:p>
        </w:tc>
        <w:tc>
          <w:tcPr>
            <w:tcW w:w="1200" w:type="dxa"/>
            <w:vAlign w:val="bottom"/>
            <w:shd w:val="clear" w:color="auto" w:fill="D8D8D8"/>
          </w:tcPr>
          <w:p>
            <w:pPr>
              <w:spacing w:after="0"/>
              <w:rPr>
                <w:sz w:val="4"/>
                <w:szCs w:val="4"/>
                <w:color w:val="auto"/>
              </w:rPr>
            </w:pPr>
          </w:p>
        </w:tc>
        <w:tc>
          <w:tcPr>
            <w:tcW w:w="1360" w:type="dxa"/>
            <w:vAlign w:val="bottom"/>
            <w:shd w:val="clear" w:color="auto" w:fill="D8D8D8"/>
          </w:tcPr>
          <w:p>
            <w:pPr>
              <w:spacing w:after="0"/>
              <w:rPr>
                <w:sz w:val="4"/>
                <w:szCs w:val="4"/>
                <w:color w:val="auto"/>
              </w:rPr>
            </w:pPr>
          </w:p>
        </w:tc>
        <w:tc>
          <w:tcPr>
            <w:tcW w:w="1140" w:type="dxa"/>
            <w:vAlign w:val="bottom"/>
            <w:shd w:val="clear" w:color="auto" w:fill="D8D8D8"/>
          </w:tcPr>
          <w:p>
            <w:pPr>
              <w:spacing w:after="0"/>
              <w:rPr>
                <w:sz w:val="4"/>
                <w:szCs w:val="4"/>
                <w:color w:val="auto"/>
              </w:rPr>
            </w:pPr>
          </w:p>
        </w:tc>
        <w:tc>
          <w:tcPr>
            <w:tcW w:w="1100" w:type="dxa"/>
            <w:vAlign w:val="bottom"/>
            <w:shd w:val="clear" w:color="auto" w:fill="D8D8D8"/>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2566035</wp:posOffset>
            </wp:positionH>
            <wp:positionV relativeFrom="paragraph">
              <wp:posOffset>-1455420</wp:posOffset>
            </wp:positionV>
            <wp:extent cx="455676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556760" cy="8255"/>
                    </a:xfrm>
                    <a:prstGeom prst="rect">
                      <a:avLst/>
                    </a:prstGeom>
                    <a:noFill/>
                  </pic:spPr>
                </pic:pic>
              </a:graphicData>
            </a:graphic>
          </wp:anchor>
        </w:drawing>
        <w:drawing>
          <wp:anchor simplePos="0" relativeHeight="251657728" behindDoc="1" locked="0" layoutInCell="0" allowOverlap="1">
            <wp:simplePos x="0" y="0"/>
            <wp:positionH relativeFrom="column">
              <wp:posOffset>2566035</wp:posOffset>
            </wp:positionH>
            <wp:positionV relativeFrom="paragraph">
              <wp:posOffset>-1618615</wp:posOffset>
            </wp:positionV>
            <wp:extent cx="455676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556760" cy="8255"/>
                    </a:xfrm>
                    <a:prstGeom prst="rect">
                      <a:avLst/>
                    </a:prstGeom>
                    <a:noFill/>
                  </pic:spPr>
                </pic:pic>
              </a:graphicData>
            </a:graphic>
          </wp:anchor>
        </w:drawing>
      </w:r>
    </w:p>
    <w:p>
      <w:pPr>
        <w:spacing w:after="0" w:line="6" w:lineRule="exact"/>
        <w:rPr>
          <w:sz w:val="20"/>
          <w:szCs w:val="20"/>
          <w:color w:val="auto"/>
        </w:rPr>
      </w:pPr>
    </w:p>
    <w:p>
      <w:pPr>
        <w:ind w:left="540" w:right="240" w:hanging="330"/>
        <w:spacing w:after="0" w:line="256" w:lineRule="auto"/>
        <w:tabs>
          <w:tab w:leader="none" w:pos="540" w:val="left"/>
        </w:tabs>
        <w:numPr>
          <w:ilvl w:val="0"/>
          <w:numId w:val="41"/>
        </w:numPr>
        <w:rPr>
          <w:rFonts w:ascii="Arial" w:cs="Arial" w:eastAsia="Arial" w:hAnsi="Arial"/>
          <w:sz w:val="16"/>
          <w:szCs w:val="16"/>
          <w:i w:val="1"/>
          <w:iCs w:val="1"/>
          <w:color w:val="auto"/>
        </w:rPr>
      </w:pPr>
      <w:r>
        <w:rPr>
          <w:rFonts w:ascii="Arial" w:cs="Arial" w:eastAsia="Arial" w:hAnsi="Arial"/>
          <w:sz w:val="16"/>
          <w:szCs w:val="16"/>
          <w:i w:val="1"/>
          <w:iCs w:val="1"/>
          <w:color w:val="auto"/>
        </w:rPr>
        <w:t>Net Income target and results include the impact of any acquisitions during 2017. The Net Income results exclude gains/losses on sale of divested business lines, costs associated with the separation of Apergy, benefits of the Tax Cuts and Jobs Act and rightsizing and other costs.</w:t>
      </w:r>
    </w:p>
    <w:p>
      <w:pPr>
        <w:spacing w:after="0" w:line="1" w:lineRule="exact"/>
        <w:rPr>
          <w:rFonts w:ascii="Arial" w:cs="Arial" w:eastAsia="Arial" w:hAnsi="Arial"/>
          <w:sz w:val="16"/>
          <w:szCs w:val="16"/>
          <w:i w:val="1"/>
          <w:iCs w:val="1"/>
          <w:color w:val="auto"/>
        </w:rPr>
      </w:pPr>
    </w:p>
    <w:p>
      <w:pPr>
        <w:ind w:left="540" w:right="580" w:hanging="330"/>
        <w:spacing w:after="0" w:line="260" w:lineRule="auto"/>
        <w:tabs>
          <w:tab w:leader="none" w:pos="540" w:val="left"/>
        </w:tabs>
        <w:numPr>
          <w:ilvl w:val="0"/>
          <w:numId w:val="41"/>
        </w:numPr>
        <w:rPr>
          <w:rFonts w:ascii="Arial" w:cs="Arial" w:eastAsia="Arial" w:hAnsi="Arial"/>
          <w:sz w:val="16"/>
          <w:szCs w:val="16"/>
          <w:i w:val="1"/>
          <w:iCs w:val="1"/>
          <w:color w:val="auto"/>
        </w:rPr>
      </w:pPr>
      <w:r>
        <w:rPr>
          <w:rFonts w:ascii="Arial" w:cs="Arial" w:eastAsia="Arial" w:hAnsi="Arial"/>
          <w:sz w:val="16"/>
          <w:szCs w:val="16"/>
          <w:i w:val="1"/>
          <w:iCs w:val="1"/>
          <w:color w:val="auto"/>
        </w:rPr>
        <w:t>EBITDA refers to earnings before interest, taxes, depreciation and amortization. The EBITDA results exclude gains/losses on sale of divested business lines and rightsizing and other costs.</w:t>
      </w:r>
    </w:p>
    <w:p>
      <w:pPr>
        <w:spacing w:after="0" w:line="10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45</w:t>
      </w:r>
    </w:p>
    <w:p>
      <w:pPr>
        <w:sectPr>
          <w:pgSz w:w="11900" w:h="16838" w:orient="portrait"/>
          <w:cols w:equalWidth="0" w:num="1">
            <w:col w:w="11220"/>
          </w:cols>
          <w:pgMar w:left="240" w:top="459" w:right="4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COMPENSATION DISCUSSION AND ANALYSIS</w:t>
      </w:r>
    </w:p>
    <w:p>
      <w:pPr>
        <w:spacing w:after="0" w:line="157" w:lineRule="exact"/>
        <w:rPr>
          <w:sz w:val="20"/>
          <w:szCs w:val="20"/>
          <w:color w:val="auto"/>
        </w:rPr>
      </w:pPr>
    </w:p>
    <w:p>
      <w:pPr>
        <w:ind w:left="220"/>
        <w:spacing w:after="0"/>
        <w:rPr>
          <w:sz w:val="20"/>
          <w:szCs w:val="20"/>
          <w:color w:val="auto"/>
        </w:rPr>
      </w:pPr>
      <w:r>
        <w:rPr>
          <w:rFonts w:ascii="Arial" w:cs="Arial" w:eastAsia="Arial" w:hAnsi="Arial"/>
          <w:sz w:val="16"/>
          <w:szCs w:val="16"/>
          <w:i w:val="1"/>
          <w:iCs w:val="1"/>
          <w:color w:val="32406B"/>
        </w:rPr>
        <w:t>2017 AIP Individual Strategic Objective Performance</w:t>
      </w:r>
    </w:p>
    <w:p>
      <w:pPr>
        <w:spacing w:after="0" w:line="102" w:lineRule="exact"/>
        <w:rPr>
          <w:sz w:val="20"/>
          <w:szCs w:val="20"/>
          <w:color w:val="auto"/>
        </w:rPr>
      </w:pPr>
    </w:p>
    <w:p>
      <w:pPr>
        <w:ind w:left="220" w:right="80"/>
        <w:spacing w:after="0" w:line="248" w:lineRule="auto"/>
        <w:rPr>
          <w:sz w:val="20"/>
          <w:szCs w:val="20"/>
          <w:color w:val="auto"/>
        </w:rPr>
      </w:pPr>
      <w:r>
        <w:rPr>
          <w:rFonts w:ascii="Arial" w:cs="Arial" w:eastAsia="Arial" w:hAnsi="Arial"/>
          <w:sz w:val="16"/>
          <w:szCs w:val="16"/>
          <w:color w:val="auto"/>
        </w:rPr>
        <w:t>Each of the NEOs had unique strategic objectives that were utilized to determine the remaining 40% of their annual incentive. The individual NEO strategic goals were linked to the overall success of Dover as it continues to move forward on its strategic pathway to achieve consistent long-term success. The strategic goals for the CEO were developed by the Compensation Committee at the beginning of the year, approved by the Board and communicated to the CEO in February. They are intended to focus on a limited and measurable set of goals which, if accomplished, will benefit the shareholders of Dover over the long term. The CEO in turn develops strategic goals for his direct reports which focus on measurable accomplishments in their individual areas of responsibility that will also benefit our shareholders over the long term. In 2017, the individual strategic objectives metric was capped at 100% achievement if the NEO’s business did not achieve its EBITDA as a percentage of sales target.</w:t>
      </w:r>
    </w:p>
    <w:p>
      <w:pPr>
        <w:spacing w:after="0" w:line="214" w:lineRule="exact"/>
        <w:rPr>
          <w:sz w:val="20"/>
          <w:szCs w:val="20"/>
          <w:color w:val="auto"/>
        </w:rPr>
      </w:pPr>
    </w:p>
    <w:p>
      <w:pPr>
        <w:jc w:val="center"/>
        <w:ind w:right="-199"/>
        <w:spacing w:after="0"/>
        <w:rPr>
          <w:sz w:val="20"/>
          <w:szCs w:val="20"/>
          <w:color w:val="auto"/>
        </w:rPr>
      </w:pPr>
      <w:r>
        <w:rPr>
          <w:rFonts w:ascii="Arial" w:cs="Arial" w:eastAsia="Arial" w:hAnsi="Arial"/>
          <w:sz w:val="16"/>
          <w:szCs w:val="16"/>
          <w:b w:val="1"/>
          <w:bCs w:val="1"/>
          <w:color w:val="FFFFFF"/>
        </w:rPr>
        <w:t>2017 NEO INDIVIDUAL STRATEGIC OBJECTIVE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-104775</wp:posOffset>
            </wp:positionV>
            <wp:extent cx="6989445" cy="6337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89445" cy="633730"/>
                    </a:xfrm>
                    <a:prstGeom prst="rect">
                      <a:avLst/>
                    </a:prstGeom>
                    <a:noFill/>
                  </pic:spPr>
                </pic:pic>
              </a:graphicData>
            </a:graphic>
          </wp:anchor>
        </w:drawing>
      </w:r>
    </w:p>
    <w:p>
      <w:pPr>
        <w:spacing w:after="0" w:line="5" w:lineRule="exact"/>
        <w:rPr>
          <w:sz w:val="20"/>
          <w:szCs w:val="20"/>
          <w:color w:val="auto"/>
        </w:rPr>
      </w:pPr>
    </w:p>
    <w:p>
      <w:pPr>
        <w:ind w:left="300"/>
        <w:spacing w:after="0" w:line="250" w:lineRule="auto"/>
        <w:rPr>
          <w:sz w:val="20"/>
          <w:szCs w:val="20"/>
          <w:color w:val="auto"/>
        </w:rPr>
      </w:pPr>
      <w:r>
        <w:rPr>
          <w:rFonts w:ascii="Arial" w:cs="Arial" w:eastAsia="Arial" w:hAnsi="Arial"/>
          <w:sz w:val="16"/>
          <w:szCs w:val="16"/>
          <w:b w:val="1"/>
          <w:bCs w:val="1"/>
          <w:color w:val="auto"/>
        </w:rPr>
        <w:t xml:space="preserve">Mr. Livingston (President &amp; CEO) </w:t>
      </w:r>
      <w:r>
        <w:rPr>
          <w:rFonts w:ascii="Arial" w:cs="Arial" w:eastAsia="Arial" w:hAnsi="Arial"/>
          <w:sz w:val="16"/>
          <w:szCs w:val="16"/>
          <w:color w:val="auto"/>
        </w:rPr>
        <w:t>continued to advance our strategy and portfolio shaping activities in 2017, with the expansion of platforms in key</w:t>
      </w:r>
      <w:r>
        <w:rPr>
          <w:rFonts w:ascii="Arial" w:cs="Arial" w:eastAsia="Arial" w:hAnsi="Arial"/>
          <w:sz w:val="16"/>
          <w:szCs w:val="16"/>
          <w:b w:val="1"/>
          <w:bCs w:val="1"/>
          <w:color w:val="auto"/>
        </w:rPr>
        <w:t xml:space="preserve"> </w:t>
      </w:r>
      <w:r>
        <w:rPr>
          <w:rFonts w:ascii="Arial" w:cs="Arial" w:eastAsia="Arial" w:hAnsi="Arial"/>
          <w:sz w:val="16"/>
          <w:szCs w:val="16"/>
          <w:color w:val="auto"/>
        </w:rPr>
        <w:t>markets and the planned separation of the Apergy business. In addition, we enhanced our acquisition integration process improving our ability to capture synergies. Mr. Livingston also continued to develop a slate of internal candidates for the Board to consider as candidates for the CEO role in the event of his retirement.</w:t>
      </w:r>
    </w:p>
    <w:p>
      <w:pPr>
        <w:spacing w:after="0" w:line="63" w:lineRule="exact"/>
        <w:rPr>
          <w:sz w:val="20"/>
          <w:szCs w:val="20"/>
          <w:color w:val="auto"/>
        </w:rPr>
      </w:pPr>
    </w:p>
    <w:p>
      <w:pPr>
        <w:ind w:left="300" w:right="160"/>
        <w:spacing w:after="0" w:line="266" w:lineRule="auto"/>
        <w:rPr>
          <w:sz w:val="20"/>
          <w:szCs w:val="20"/>
          <w:color w:val="auto"/>
        </w:rPr>
      </w:pPr>
      <w:r>
        <w:rPr>
          <w:rFonts w:ascii="Arial" w:cs="Arial" w:eastAsia="Arial" w:hAnsi="Arial"/>
          <w:sz w:val="16"/>
          <w:szCs w:val="16"/>
          <w:b w:val="1"/>
          <w:bCs w:val="1"/>
          <w:color w:val="auto"/>
        </w:rPr>
        <w:t xml:space="preserve">Mr. Cerepak (Senior Vice President &amp; Chief Financial Officer) </w:t>
      </w:r>
      <w:r>
        <w:rPr>
          <w:rFonts w:ascii="Arial" w:cs="Arial" w:eastAsia="Arial" w:hAnsi="Arial"/>
          <w:sz w:val="16"/>
          <w:szCs w:val="16"/>
          <w:color w:val="auto"/>
        </w:rPr>
        <w:t>continued to advance progress on strategy and portfolio shaping in 2017. In addition,</w:t>
      </w:r>
      <w:r>
        <w:rPr>
          <w:rFonts w:ascii="Arial" w:cs="Arial" w:eastAsia="Arial" w:hAnsi="Arial"/>
          <w:sz w:val="16"/>
          <w:szCs w:val="16"/>
          <w:b w:val="1"/>
          <w:bCs w:val="1"/>
          <w:color w:val="auto"/>
        </w:rPr>
        <w:t xml:space="preserve"> </w:t>
      </w:r>
      <w:r>
        <w:rPr>
          <w:rFonts w:ascii="Arial" w:cs="Arial" w:eastAsia="Arial" w:hAnsi="Arial"/>
          <w:sz w:val="16"/>
          <w:szCs w:val="16"/>
          <w:color w:val="auto"/>
        </w:rPr>
        <w:t>he made significant improvements to our acquisition and due diligence processes. He also oversaw our expanding effort in data and information technology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17145</wp:posOffset>
            </wp:positionV>
            <wp:extent cx="6989445" cy="4451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89445" cy="445135"/>
                    </a:xfrm>
                    <a:prstGeom prst="rect">
                      <a:avLst/>
                    </a:prstGeom>
                    <a:noFill/>
                  </pic:spPr>
                </pic:pic>
              </a:graphicData>
            </a:graphic>
          </wp:anchor>
        </w:drawing>
      </w:r>
    </w:p>
    <w:p>
      <w:pPr>
        <w:spacing w:after="0" w:line="29" w:lineRule="exact"/>
        <w:rPr>
          <w:sz w:val="20"/>
          <w:szCs w:val="20"/>
          <w:color w:val="auto"/>
        </w:rPr>
      </w:pPr>
    </w:p>
    <w:p>
      <w:pPr>
        <w:ind w:left="300" w:right="340"/>
        <w:spacing w:after="0" w:line="266" w:lineRule="auto"/>
        <w:rPr>
          <w:sz w:val="20"/>
          <w:szCs w:val="20"/>
          <w:color w:val="auto"/>
        </w:rPr>
      </w:pPr>
      <w:r>
        <w:rPr>
          <w:rFonts w:ascii="Arial" w:cs="Arial" w:eastAsia="Arial" w:hAnsi="Arial"/>
          <w:sz w:val="16"/>
          <w:szCs w:val="16"/>
          <w:b w:val="1"/>
          <w:bCs w:val="1"/>
          <w:color w:val="auto"/>
        </w:rPr>
        <w:t xml:space="preserve">Mr. Fincher (President &amp; CEO of Engineered Systems) </w:t>
      </w:r>
      <w:r>
        <w:rPr>
          <w:rFonts w:ascii="Arial" w:cs="Arial" w:eastAsia="Arial" w:hAnsi="Arial"/>
          <w:sz w:val="16"/>
          <w:szCs w:val="16"/>
          <w:color w:val="auto"/>
        </w:rPr>
        <w:t>effectively led the expansion of the Engineered Systems portfolio in growth markets,</w:t>
      </w:r>
      <w:r>
        <w:rPr>
          <w:rFonts w:ascii="Arial" w:cs="Arial" w:eastAsia="Arial" w:hAnsi="Arial"/>
          <w:sz w:val="16"/>
          <w:szCs w:val="16"/>
          <w:b w:val="1"/>
          <w:bCs w:val="1"/>
          <w:color w:val="auto"/>
        </w:rPr>
        <w:t xml:space="preserve"> </w:t>
      </w:r>
      <w:r>
        <w:rPr>
          <w:rFonts w:ascii="Arial" w:cs="Arial" w:eastAsia="Arial" w:hAnsi="Arial"/>
          <w:sz w:val="16"/>
          <w:szCs w:val="16"/>
          <w:color w:val="auto"/>
        </w:rPr>
        <w:t>exceeding his organic growth target and expanding into new markets, particularly in the digital printing space. He also oversaw the integration of the Ravaglioli and AWTI acquisitions.</w:t>
      </w:r>
    </w:p>
    <w:p>
      <w:pPr>
        <w:spacing w:after="0" w:line="90" w:lineRule="exact"/>
        <w:rPr>
          <w:sz w:val="20"/>
          <w:szCs w:val="20"/>
          <w:color w:val="auto"/>
        </w:rPr>
      </w:pPr>
    </w:p>
    <w:p>
      <w:pPr>
        <w:ind w:left="300" w:right="120"/>
        <w:spacing w:after="0" w:line="266" w:lineRule="auto"/>
        <w:rPr>
          <w:sz w:val="20"/>
          <w:szCs w:val="20"/>
          <w:color w:val="auto"/>
        </w:rPr>
      </w:pPr>
      <w:r>
        <w:rPr>
          <w:rFonts w:ascii="Arial" w:cs="Arial" w:eastAsia="Arial" w:hAnsi="Arial"/>
          <w:sz w:val="16"/>
          <w:szCs w:val="16"/>
          <w:b w:val="1"/>
          <w:bCs w:val="1"/>
          <w:color w:val="auto"/>
        </w:rPr>
        <w:t xml:space="preserve">Mr. Somasundaram (President &amp; CEO of Energy) </w:t>
      </w:r>
      <w:r>
        <w:rPr>
          <w:rFonts w:ascii="Arial" w:cs="Arial" w:eastAsia="Arial" w:hAnsi="Arial"/>
          <w:sz w:val="16"/>
          <w:szCs w:val="16"/>
          <w:color w:val="auto"/>
        </w:rPr>
        <w:t>led the preparation of Apergy to become a separate publicly traded company. In addition, he</w:t>
      </w:r>
      <w:r>
        <w:rPr>
          <w:rFonts w:ascii="Arial" w:cs="Arial" w:eastAsia="Arial" w:hAnsi="Arial"/>
          <w:sz w:val="16"/>
          <w:szCs w:val="16"/>
          <w:b w:val="1"/>
          <w:bCs w:val="1"/>
          <w:color w:val="auto"/>
        </w:rPr>
        <w:t xml:space="preserve"> </w:t>
      </w:r>
      <w:r>
        <w:rPr>
          <w:rFonts w:ascii="Arial" w:cs="Arial" w:eastAsia="Arial" w:hAnsi="Arial"/>
          <w:sz w:val="16"/>
          <w:szCs w:val="16"/>
          <w:color w:val="auto"/>
        </w:rPr>
        <w:t>effectively managed the energy market rebound exceeding his organic growth, productivity and working capital targets. The safety record of the Energy business did not improve as much as expected.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42545</wp:posOffset>
            </wp:positionV>
            <wp:extent cx="6989445" cy="3257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89445" cy="325755"/>
                    </a:xfrm>
                    <a:prstGeom prst="rect">
                      <a:avLst/>
                    </a:prstGeom>
                    <a:noFill/>
                  </pic:spPr>
                </pic:pic>
              </a:graphicData>
            </a:graphic>
          </wp:anchor>
        </w:drawing>
      </w:r>
    </w:p>
    <w:p>
      <w:pPr>
        <w:spacing w:after="0" w:line="70" w:lineRule="exact"/>
        <w:rPr>
          <w:sz w:val="20"/>
          <w:szCs w:val="20"/>
          <w:color w:val="auto"/>
        </w:rPr>
      </w:pPr>
    </w:p>
    <w:p>
      <w:pPr>
        <w:ind w:left="300" w:right="220"/>
        <w:spacing w:after="0" w:line="286" w:lineRule="auto"/>
        <w:rPr>
          <w:sz w:val="20"/>
          <w:szCs w:val="20"/>
          <w:color w:val="auto"/>
        </w:rPr>
      </w:pPr>
      <w:r>
        <w:rPr>
          <w:rFonts w:ascii="Arial" w:cs="Arial" w:eastAsia="Arial" w:hAnsi="Arial"/>
          <w:sz w:val="16"/>
          <w:szCs w:val="16"/>
          <w:b w:val="1"/>
          <w:bCs w:val="1"/>
          <w:color w:val="auto"/>
        </w:rPr>
        <w:t xml:space="preserve">Mr. Spurgeon (President &amp; CEO of Dover Fluids) </w:t>
      </w:r>
      <w:r>
        <w:rPr>
          <w:rFonts w:ascii="Arial" w:cs="Arial" w:eastAsia="Arial" w:hAnsi="Arial"/>
          <w:sz w:val="16"/>
          <w:szCs w:val="16"/>
          <w:color w:val="auto"/>
        </w:rPr>
        <w:t>continued to effectively lead our Fluids segment, exceeding his organic growth target. In addition,</w:t>
      </w:r>
      <w:r>
        <w:rPr>
          <w:rFonts w:ascii="Arial" w:cs="Arial" w:eastAsia="Arial" w:hAnsi="Arial"/>
          <w:sz w:val="16"/>
          <w:szCs w:val="16"/>
          <w:b w:val="1"/>
          <w:bCs w:val="1"/>
          <w:color w:val="auto"/>
        </w:rPr>
        <w:t xml:space="preserve"> </w:t>
      </w:r>
      <w:r>
        <w:rPr>
          <w:rFonts w:ascii="Arial" w:cs="Arial" w:eastAsia="Arial" w:hAnsi="Arial"/>
          <w:sz w:val="16"/>
          <w:szCs w:val="16"/>
          <w:color w:val="auto"/>
        </w:rPr>
        <w:t>he oversaw the integration of the Wayne and Tokheim acquisitions into the newly created Dover Fueling Solutions business.</w:t>
      </w:r>
    </w:p>
    <w:p>
      <w:pPr>
        <w:spacing w:after="0" w:line="253" w:lineRule="exact"/>
        <w:rPr>
          <w:sz w:val="20"/>
          <w:szCs w:val="20"/>
          <w:color w:val="auto"/>
        </w:rPr>
      </w:pPr>
    </w:p>
    <w:p>
      <w:pPr>
        <w:ind w:left="220"/>
        <w:spacing w:after="0"/>
        <w:rPr>
          <w:sz w:val="20"/>
          <w:szCs w:val="20"/>
          <w:color w:val="auto"/>
        </w:rPr>
      </w:pPr>
      <w:r>
        <w:rPr>
          <w:rFonts w:ascii="Arial" w:cs="Arial" w:eastAsia="Arial" w:hAnsi="Arial"/>
          <w:sz w:val="16"/>
          <w:szCs w:val="16"/>
          <w:i w:val="1"/>
          <w:iCs w:val="1"/>
          <w:color w:val="32406B"/>
        </w:rPr>
        <w:t>2017 AIP Target Performance and Payout</w:t>
      </w:r>
    </w:p>
    <w:p>
      <w:pPr>
        <w:spacing w:after="0" w:line="88" w:lineRule="exact"/>
        <w:rPr>
          <w:sz w:val="20"/>
          <w:szCs w:val="20"/>
          <w:color w:val="auto"/>
        </w:rPr>
      </w:pPr>
    </w:p>
    <w:p>
      <w:pPr>
        <w:ind w:left="220"/>
        <w:spacing w:after="0"/>
        <w:rPr>
          <w:sz w:val="20"/>
          <w:szCs w:val="20"/>
          <w:color w:val="auto"/>
        </w:rPr>
      </w:pPr>
      <w:r>
        <w:rPr>
          <w:rFonts w:ascii="Arial" w:cs="Arial" w:eastAsia="Arial" w:hAnsi="Arial"/>
          <w:sz w:val="16"/>
          <w:szCs w:val="16"/>
          <w:color w:val="auto"/>
        </w:rPr>
        <w:t>Overall, we performed above our financial targets in 2017 and made progress on our strategic objectives, including key acquisitions and divestures.</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Actual compensation varies widely based on the individual’s business unit and performance against specific strategic objectives.</w:t>
      </w:r>
    </w:p>
    <w:p>
      <w:pPr>
        <w:spacing w:after="0" w:line="246" w:lineRule="exact"/>
        <w:rPr>
          <w:sz w:val="20"/>
          <w:szCs w:val="20"/>
          <w:color w:val="auto"/>
        </w:rPr>
      </w:pPr>
    </w:p>
    <w:tbl>
      <w:tblPr>
        <w:tblLayout w:type="fixed"/>
        <w:tblInd w:w="220" w:type="dxa"/>
        <w:tblCellMar>
          <w:top w:w="0" w:type="dxa"/>
          <w:left w:w="0" w:type="dxa"/>
          <w:bottom w:w="0" w:type="dxa"/>
          <w:right w:w="0" w:type="dxa"/>
        </w:tblCellMar>
      </w:tblPr>
      <w:tr>
        <w:trPr>
          <w:trHeight w:val="189"/>
        </w:trPr>
        <w:tc>
          <w:tcPr>
            <w:tcW w:w="5000" w:type="dxa"/>
            <w:vAlign w:val="bottom"/>
            <w:tcBorders>
              <w:right w:val="single" w:sz="8" w:color="999999"/>
            </w:tcBorders>
            <w:shd w:val="clear" w:color="auto" w:fill="32406B"/>
          </w:tcPr>
          <w:p>
            <w:pPr>
              <w:spacing w:after="0"/>
              <w:rPr>
                <w:sz w:val="16"/>
                <w:szCs w:val="16"/>
                <w:color w:val="auto"/>
              </w:rPr>
            </w:pPr>
          </w:p>
        </w:tc>
        <w:tc>
          <w:tcPr>
            <w:tcW w:w="940" w:type="dxa"/>
            <w:vAlign w:val="bottom"/>
            <w:shd w:val="clear" w:color="auto" w:fill="32406B"/>
          </w:tcPr>
          <w:p>
            <w:pPr>
              <w:spacing w:after="0"/>
              <w:rPr>
                <w:sz w:val="16"/>
                <w:szCs w:val="16"/>
                <w:color w:val="auto"/>
              </w:rPr>
            </w:pPr>
          </w:p>
        </w:tc>
        <w:tc>
          <w:tcPr>
            <w:tcW w:w="2320" w:type="dxa"/>
            <w:vAlign w:val="bottom"/>
            <w:gridSpan w:val="2"/>
            <w:shd w:val="clear" w:color="auto" w:fill="32406B"/>
          </w:tcPr>
          <w:p>
            <w:pPr>
              <w:jc w:val="right"/>
              <w:ind w:right="799"/>
              <w:spacing w:after="0"/>
              <w:rPr>
                <w:sz w:val="20"/>
                <w:szCs w:val="20"/>
                <w:color w:val="auto"/>
              </w:rPr>
            </w:pPr>
            <w:r>
              <w:rPr>
                <w:rFonts w:ascii="Arial" w:cs="Arial" w:eastAsia="Arial" w:hAnsi="Arial"/>
                <w:sz w:val="16"/>
                <w:szCs w:val="16"/>
                <w:b w:val="1"/>
                <w:bCs w:val="1"/>
                <w:color w:val="FFFFFF"/>
              </w:rPr>
              <w:t>Annual Bonus in $</w:t>
            </w:r>
          </w:p>
        </w:tc>
        <w:tc>
          <w:tcPr>
            <w:tcW w:w="2740" w:type="dxa"/>
            <w:vAlign w:val="bottom"/>
            <w:gridSpan w:val="3"/>
            <w:shd w:val="clear" w:color="auto" w:fill="32406B"/>
          </w:tcPr>
          <w:p>
            <w:pPr>
              <w:jc w:val="right"/>
              <w:ind w:right="319"/>
              <w:spacing w:after="0"/>
              <w:rPr>
                <w:sz w:val="20"/>
                <w:szCs w:val="20"/>
                <w:color w:val="auto"/>
              </w:rPr>
            </w:pPr>
            <w:r>
              <w:rPr>
                <w:rFonts w:ascii="Arial" w:cs="Arial" w:eastAsia="Arial" w:hAnsi="Arial"/>
                <w:sz w:val="16"/>
                <w:szCs w:val="16"/>
                <w:b w:val="1"/>
                <w:bCs w:val="1"/>
                <w:color w:val="FFFFFF"/>
              </w:rPr>
              <w:t>Annual Bonus % of Target</w:t>
            </w:r>
          </w:p>
        </w:tc>
      </w:tr>
      <w:tr>
        <w:trPr>
          <w:trHeight w:val="202"/>
        </w:trPr>
        <w:tc>
          <w:tcPr>
            <w:tcW w:w="5000" w:type="dxa"/>
            <w:vAlign w:val="bottom"/>
            <w:tcBorders>
              <w:right w:val="single" w:sz="8" w:color="999999"/>
            </w:tcBorders>
            <w:shd w:val="clear" w:color="auto" w:fill="32406B"/>
          </w:tcPr>
          <w:p>
            <w:pPr>
              <w:ind w:left="140"/>
              <w:spacing w:after="0"/>
              <w:rPr>
                <w:sz w:val="20"/>
                <w:szCs w:val="20"/>
                <w:color w:val="auto"/>
              </w:rPr>
            </w:pPr>
            <w:r>
              <w:rPr>
                <w:rFonts w:ascii="Arial" w:cs="Arial" w:eastAsia="Arial" w:hAnsi="Arial"/>
                <w:sz w:val="16"/>
                <w:szCs w:val="16"/>
                <w:b w:val="1"/>
                <w:bCs w:val="1"/>
                <w:color w:val="FFFFFF"/>
              </w:rPr>
              <w:t>NEO</w:t>
            </w:r>
          </w:p>
        </w:tc>
        <w:tc>
          <w:tcPr>
            <w:tcW w:w="940" w:type="dxa"/>
            <w:vAlign w:val="bottom"/>
            <w:shd w:val="clear" w:color="auto" w:fill="32406B"/>
          </w:tcPr>
          <w:p>
            <w:pPr>
              <w:jc w:val="right"/>
              <w:ind w:right="79"/>
              <w:spacing w:after="0"/>
              <w:rPr>
                <w:sz w:val="20"/>
                <w:szCs w:val="20"/>
                <w:color w:val="auto"/>
              </w:rPr>
            </w:pPr>
            <w:r>
              <w:rPr>
                <w:rFonts w:ascii="Arial" w:cs="Arial" w:eastAsia="Arial" w:hAnsi="Arial"/>
                <w:sz w:val="16"/>
                <w:szCs w:val="16"/>
                <w:b w:val="1"/>
                <w:bCs w:val="1"/>
                <w:color w:val="FFFFFF"/>
              </w:rPr>
              <w:t>2015</w:t>
            </w:r>
          </w:p>
        </w:tc>
        <w:tc>
          <w:tcPr>
            <w:tcW w:w="1200" w:type="dxa"/>
            <w:vAlign w:val="bottom"/>
            <w:shd w:val="clear" w:color="auto" w:fill="32406B"/>
          </w:tcPr>
          <w:p>
            <w:pPr>
              <w:jc w:val="right"/>
              <w:ind w:right="279"/>
              <w:spacing w:after="0"/>
              <w:rPr>
                <w:sz w:val="20"/>
                <w:szCs w:val="20"/>
                <w:color w:val="auto"/>
              </w:rPr>
            </w:pPr>
            <w:r>
              <w:rPr>
                <w:rFonts w:ascii="Arial" w:cs="Arial" w:eastAsia="Arial" w:hAnsi="Arial"/>
                <w:sz w:val="16"/>
                <w:szCs w:val="16"/>
                <w:b w:val="1"/>
                <w:bCs w:val="1"/>
                <w:color w:val="FFFFFF"/>
              </w:rPr>
              <w:t>2016</w:t>
            </w:r>
          </w:p>
        </w:tc>
        <w:tc>
          <w:tcPr>
            <w:tcW w:w="1120" w:type="dxa"/>
            <w:vAlign w:val="bottom"/>
            <w:shd w:val="clear" w:color="auto" w:fill="32406B"/>
          </w:tcPr>
          <w:p>
            <w:pPr>
              <w:jc w:val="right"/>
              <w:ind w:right="339"/>
              <w:spacing w:after="0"/>
              <w:rPr>
                <w:sz w:val="20"/>
                <w:szCs w:val="20"/>
                <w:color w:val="auto"/>
              </w:rPr>
            </w:pPr>
            <w:r>
              <w:rPr>
                <w:rFonts w:ascii="Arial" w:cs="Arial" w:eastAsia="Arial" w:hAnsi="Arial"/>
                <w:sz w:val="16"/>
                <w:szCs w:val="16"/>
                <w:b w:val="1"/>
                <w:bCs w:val="1"/>
                <w:color w:val="FFFFFF"/>
              </w:rPr>
              <w:t>2017</w:t>
            </w:r>
          </w:p>
        </w:tc>
        <w:tc>
          <w:tcPr>
            <w:tcW w:w="960" w:type="dxa"/>
            <w:vAlign w:val="bottom"/>
            <w:shd w:val="clear" w:color="auto" w:fill="32406B"/>
          </w:tcPr>
          <w:p>
            <w:pPr>
              <w:jc w:val="right"/>
              <w:ind w:right="319"/>
              <w:spacing w:after="0"/>
              <w:rPr>
                <w:sz w:val="20"/>
                <w:szCs w:val="20"/>
                <w:color w:val="auto"/>
              </w:rPr>
            </w:pPr>
            <w:r>
              <w:rPr>
                <w:rFonts w:ascii="Arial" w:cs="Arial" w:eastAsia="Arial" w:hAnsi="Arial"/>
                <w:sz w:val="16"/>
                <w:szCs w:val="16"/>
                <w:b w:val="1"/>
                <w:bCs w:val="1"/>
                <w:color w:val="FFFFFF"/>
              </w:rPr>
              <w:t>2015</w:t>
            </w:r>
          </w:p>
        </w:tc>
        <w:tc>
          <w:tcPr>
            <w:tcW w:w="960" w:type="dxa"/>
            <w:vAlign w:val="bottom"/>
            <w:shd w:val="clear" w:color="auto" w:fill="32406B"/>
          </w:tcPr>
          <w:p>
            <w:pPr>
              <w:jc w:val="right"/>
              <w:ind w:right="299"/>
              <w:spacing w:after="0"/>
              <w:rPr>
                <w:sz w:val="20"/>
                <w:szCs w:val="20"/>
                <w:color w:val="auto"/>
              </w:rPr>
            </w:pPr>
            <w:r>
              <w:rPr>
                <w:rFonts w:ascii="Arial" w:cs="Arial" w:eastAsia="Arial" w:hAnsi="Arial"/>
                <w:sz w:val="16"/>
                <w:szCs w:val="16"/>
                <w:b w:val="1"/>
                <w:bCs w:val="1"/>
                <w:color w:val="FFFFFF"/>
              </w:rPr>
              <w:t>2016</w:t>
            </w:r>
          </w:p>
        </w:tc>
        <w:tc>
          <w:tcPr>
            <w:tcW w:w="820" w:type="dxa"/>
            <w:vAlign w:val="bottom"/>
            <w:shd w:val="clear" w:color="auto" w:fill="32406B"/>
          </w:tcPr>
          <w:p>
            <w:pPr>
              <w:jc w:val="right"/>
              <w:ind w:right="179"/>
              <w:spacing w:after="0"/>
              <w:rPr>
                <w:sz w:val="20"/>
                <w:szCs w:val="20"/>
                <w:color w:val="auto"/>
              </w:rPr>
            </w:pPr>
            <w:r>
              <w:rPr>
                <w:rFonts w:ascii="Arial" w:cs="Arial" w:eastAsia="Arial" w:hAnsi="Arial"/>
                <w:sz w:val="16"/>
                <w:szCs w:val="16"/>
                <w:b w:val="1"/>
                <w:bCs w:val="1"/>
                <w:color w:val="FFFFFF"/>
              </w:rPr>
              <w:t>2017</w:t>
            </w:r>
          </w:p>
        </w:tc>
      </w:tr>
      <w:tr>
        <w:trPr>
          <w:trHeight w:val="189"/>
        </w:trPr>
        <w:tc>
          <w:tcPr>
            <w:tcW w:w="5000" w:type="dxa"/>
            <w:vAlign w:val="bottom"/>
            <w:tcBorders>
              <w:right w:val="single" w:sz="8" w:color="999999"/>
            </w:tcBorders>
            <w:shd w:val="clear" w:color="auto" w:fill="D8D8D8"/>
          </w:tcPr>
          <w:p>
            <w:pPr>
              <w:ind w:left="140"/>
              <w:spacing w:after="0"/>
              <w:rPr>
                <w:sz w:val="20"/>
                <w:szCs w:val="20"/>
                <w:color w:val="auto"/>
              </w:rPr>
            </w:pPr>
            <w:r>
              <w:rPr>
                <w:rFonts w:ascii="Arial" w:cs="Arial" w:eastAsia="Arial" w:hAnsi="Arial"/>
                <w:sz w:val="16"/>
                <w:szCs w:val="16"/>
                <w:b w:val="1"/>
                <w:bCs w:val="1"/>
                <w:color w:val="auto"/>
              </w:rPr>
              <w:t>Robert A. Livingston</w:t>
            </w:r>
          </w:p>
        </w:tc>
        <w:tc>
          <w:tcPr>
            <w:tcW w:w="940" w:type="dxa"/>
            <w:vAlign w:val="bottom"/>
            <w:shd w:val="clear" w:color="auto" w:fill="D8D8D8"/>
          </w:tcPr>
          <w:p>
            <w:pPr>
              <w:jc w:val="right"/>
              <w:spacing w:after="0"/>
              <w:rPr>
                <w:sz w:val="20"/>
                <w:szCs w:val="20"/>
                <w:color w:val="auto"/>
              </w:rPr>
            </w:pPr>
            <w:r>
              <w:rPr>
                <w:rFonts w:ascii="Arial" w:cs="Arial" w:eastAsia="Arial" w:hAnsi="Arial"/>
                <w:sz w:val="16"/>
                <w:szCs w:val="16"/>
                <w:color w:val="auto"/>
              </w:rPr>
              <w:t>988,125</w:t>
            </w:r>
          </w:p>
        </w:tc>
        <w:tc>
          <w:tcPr>
            <w:tcW w:w="1200" w:type="dxa"/>
            <w:vAlign w:val="bottom"/>
            <w:shd w:val="clear" w:color="auto" w:fill="D8D8D8"/>
          </w:tcPr>
          <w:p>
            <w:pPr>
              <w:jc w:val="right"/>
              <w:ind w:right="139"/>
              <w:spacing w:after="0"/>
              <w:rPr>
                <w:sz w:val="20"/>
                <w:szCs w:val="20"/>
                <w:color w:val="auto"/>
              </w:rPr>
            </w:pPr>
            <w:r>
              <w:rPr>
                <w:rFonts w:ascii="Arial" w:cs="Arial" w:eastAsia="Arial" w:hAnsi="Arial"/>
                <w:sz w:val="16"/>
                <w:szCs w:val="16"/>
                <w:color w:val="auto"/>
              </w:rPr>
              <w:t>880,000</w:t>
            </w:r>
          </w:p>
        </w:tc>
        <w:tc>
          <w:tcPr>
            <w:tcW w:w="1120" w:type="dxa"/>
            <w:vAlign w:val="bottom"/>
            <w:shd w:val="clear" w:color="auto" w:fill="D8D8D8"/>
          </w:tcPr>
          <w:p>
            <w:pPr>
              <w:jc w:val="right"/>
              <w:ind w:right="119"/>
              <w:spacing w:after="0"/>
              <w:rPr>
                <w:sz w:val="20"/>
                <w:szCs w:val="20"/>
                <w:color w:val="auto"/>
              </w:rPr>
            </w:pPr>
            <w:r>
              <w:rPr>
                <w:rFonts w:ascii="Arial" w:cs="Arial" w:eastAsia="Arial" w:hAnsi="Arial"/>
                <w:sz w:val="16"/>
                <w:szCs w:val="16"/>
                <w:color w:val="auto"/>
              </w:rPr>
              <w:t>1,725,000</w:t>
            </w:r>
          </w:p>
        </w:tc>
        <w:tc>
          <w:tcPr>
            <w:tcW w:w="960" w:type="dxa"/>
            <w:vAlign w:val="bottom"/>
            <w:shd w:val="clear" w:color="auto" w:fill="D8D8D8"/>
          </w:tcPr>
          <w:p>
            <w:pPr>
              <w:jc w:val="right"/>
              <w:ind w:right="139"/>
              <w:spacing w:after="0"/>
              <w:rPr>
                <w:sz w:val="20"/>
                <w:szCs w:val="20"/>
                <w:color w:val="auto"/>
              </w:rPr>
            </w:pPr>
            <w:r>
              <w:rPr>
                <w:rFonts w:ascii="Arial" w:cs="Arial" w:eastAsia="Arial" w:hAnsi="Arial"/>
                <w:sz w:val="16"/>
                <w:szCs w:val="16"/>
                <w:color w:val="auto"/>
              </w:rPr>
              <w:t>79%</w:t>
            </w:r>
          </w:p>
        </w:tc>
        <w:tc>
          <w:tcPr>
            <w:tcW w:w="960" w:type="dxa"/>
            <w:vAlign w:val="bottom"/>
            <w:shd w:val="clear" w:color="auto" w:fill="D8D8D8"/>
          </w:tcPr>
          <w:p>
            <w:pPr>
              <w:jc w:val="right"/>
              <w:ind w:right="99"/>
              <w:spacing w:after="0"/>
              <w:rPr>
                <w:sz w:val="20"/>
                <w:szCs w:val="20"/>
                <w:color w:val="auto"/>
              </w:rPr>
            </w:pPr>
            <w:r>
              <w:rPr>
                <w:rFonts w:ascii="Arial" w:cs="Arial" w:eastAsia="Arial" w:hAnsi="Arial"/>
                <w:sz w:val="16"/>
                <w:szCs w:val="16"/>
                <w:color w:val="auto"/>
              </w:rPr>
              <w:t>68%</w:t>
            </w:r>
          </w:p>
        </w:tc>
        <w:tc>
          <w:tcPr>
            <w:tcW w:w="820" w:type="dxa"/>
            <w:vAlign w:val="bottom"/>
            <w:shd w:val="clear" w:color="auto" w:fill="D8D8D8"/>
          </w:tcPr>
          <w:p>
            <w:pPr>
              <w:jc w:val="right"/>
              <w:spacing w:after="0"/>
              <w:rPr>
                <w:sz w:val="20"/>
                <w:szCs w:val="20"/>
                <w:color w:val="auto"/>
              </w:rPr>
            </w:pPr>
            <w:r>
              <w:rPr>
                <w:rFonts w:ascii="Arial" w:cs="Arial" w:eastAsia="Arial" w:hAnsi="Arial"/>
                <w:sz w:val="16"/>
                <w:szCs w:val="16"/>
                <w:color w:val="auto"/>
              </w:rPr>
              <w:t>130%</w:t>
            </w:r>
          </w:p>
        </w:tc>
      </w:tr>
      <w:tr>
        <w:trPr>
          <w:trHeight w:val="189"/>
        </w:trPr>
        <w:tc>
          <w:tcPr>
            <w:tcW w:w="5000" w:type="dxa"/>
            <w:vAlign w:val="bottom"/>
            <w:tcBorders>
              <w:right w:val="single" w:sz="8" w:color="999999"/>
            </w:tcBorders>
          </w:tcPr>
          <w:p>
            <w:pPr>
              <w:ind w:left="140"/>
              <w:spacing w:after="0"/>
              <w:rPr>
                <w:sz w:val="20"/>
                <w:szCs w:val="20"/>
                <w:color w:val="auto"/>
              </w:rPr>
            </w:pPr>
            <w:r>
              <w:rPr>
                <w:rFonts w:ascii="Arial" w:cs="Arial" w:eastAsia="Arial" w:hAnsi="Arial"/>
                <w:sz w:val="16"/>
                <w:szCs w:val="16"/>
                <w:b w:val="1"/>
                <w:bCs w:val="1"/>
                <w:color w:val="auto"/>
              </w:rPr>
              <w:t>Brad M. Cerepak</w:t>
            </w:r>
          </w:p>
        </w:tc>
        <w:tc>
          <w:tcPr>
            <w:tcW w:w="940" w:type="dxa"/>
            <w:vAlign w:val="bottom"/>
          </w:tcPr>
          <w:p>
            <w:pPr>
              <w:jc w:val="right"/>
              <w:spacing w:after="0"/>
              <w:rPr>
                <w:sz w:val="20"/>
                <w:szCs w:val="20"/>
                <w:color w:val="auto"/>
              </w:rPr>
            </w:pPr>
            <w:r>
              <w:rPr>
                <w:rFonts w:ascii="Arial" w:cs="Arial" w:eastAsia="Arial" w:hAnsi="Arial"/>
                <w:sz w:val="16"/>
                <w:szCs w:val="16"/>
                <w:color w:val="auto"/>
              </w:rPr>
              <w:t>530,000</w:t>
            </w:r>
          </w:p>
        </w:tc>
        <w:tc>
          <w:tcPr>
            <w:tcW w:w="1200" w:type="dxa"/>
            <w:vAlign w:val="bottom"/>
          </w:tcPr>
          <w:p>
            <w:pPr>
              <w:jc w:val="right"/>
              <w:ind w:right="139"/>
              <w:spacing w:after="0"/>
              <w:rPr>
                <w:sz w:val="20"/>
                <w:szCs w:val="20"/>
                <w:color w:val="auto"/>
              </w:rPr>
            </w:pPr>
            <w:r>
              <w:rPr>
                <w:rFonts w:ascii="Arial" w:cs="Arial" w:eastAsia="Arial" w:hAnsi="Arial"/>
                <w:sz w:val="16"/>
                <w:szCs w:val="16"/>
                <w:color w:val="auto"/>
              </w:rPr>
              <w:t>530,000</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970,000</w:t>
            </w: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84%</w:t>
            </w: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79%</w:t>
            </w:r>
          </w:p>
        </w:tc>
        <w:tc>
          <w:tcPr>
            <w:tcW w:w="820" w:type="dxa"/>
            <w:vAlign w:val="bottom"/>
          </w:tcPr>
          <w:p>
            <w:pPr>
              <w:jc w:val="right"/>
              <w:spacing w:after="0"/>
              <w:rPr>
                <w:sz w:val="20"/>
                <w:szCs w:val="20"/>
                <w:color w:val="auto"/>
              </w:rPr>
            </w:pPr>
            <w:r>
              <w:rPr>
                <w:rFonts w:ascii="Arial" w:cs="Arial" w:eastAsia="Arial" w:hAnsi="Arial"/>
                <w:sz w:val="16"/>
                <w:szCs w:val="16"/>
                <w:color w:val="auto"/>
              </w:rPr>
              <w:t>142%</w:t>
            </w:r>
          </w:p>
        </w:tc>
      </w:tr>
      <w:tr>
        <w:trPr>
          <w:trHeight w:val="189"/>
        </w:trPr>
        <w:tc>
          <w:tcPr>
            <w:tcW w:w="5000" w:type="dxa"/>
            <w:vAlign w:val="bottom"/>
            <w:tcBorders>
              <w:right w:val="single" w:sz="8" w:color="999999"/>
            </w:tcBorders>
            <w:shd w:val="clear" w:color="auto" w:fill="D8D8D8"/>
          </w:tcPr>
          <w:p>
            <w:pPr>
              <w:ind w:left="140"/>
              <w:spacing w:after="0"/>
              <w:rPr>
                <w:sz w:val="20"/>
                <w:szCs w:val="20"/>
                <w:color w:val="auto"/>
              </w:rPr>
            </w:pPr>
            <w:r>
              <w:rPr>
                <w:rFonts w:ascii="Arial" w:cs="Arial" w:eastAsia="Arial" w:hAnsi="Arial"/>
                <w:sz w:val="16"/>
                <w:szCs w:val="16"/>
                <w:b w:val="1"/>
                <w:bCs w:val="1"/>
                <w:color w:val="auto"/>
              </w:rPr>
              <w:t>C. Anderson Fincher</w:t>
            </w:r>
          </w:p>
        </w:tc>
        <w:tc>
          <w:tcPr>
            <w:tcW w:w="940" w:type="dxa"/>
            <w:vAlign w:val="bottom"/>
            <w:shd w:val="clear" w:color="auto" w:fill="D8D8D8"/>
          </w:tcPr>
          <w:p>
            <w:pPr>
              <w:jc w:val="right"/>
              <w:spacing w:after="0"/>
              <w:rPr>
                <w:sz w:val="20"/>
                <w:szCs w:val="20"/>
                <w:color w:val="auto"/>
              </w:rPr>
            </w:pPr>
            <w:r>
              <w:rPr>
                <w:rFonts w:ascii="Arial" w:cs="Arial" w:eastAsia="Arial" w:hAnsi="Arial"/>
                <w:sz w:val="16"/>
                <w:szCs w:val="16"/>
                <w:color w:val="auto"/>
              </w:rPr>
              <w:t>450,000</w:t>
            </w:r>
          </w:p>
        </w:tc>
        <w:tc>
          <w:tcPr>
            <w:tcW w:w="1200" w:type="dxa"/>
            <w:vAlign w:val="bottom"/>
            <w:shd w:val="clear" w:color="auto" w:fill="D8D8D8"/>
          </w:tcPr>
          <w:p>
            <w:pPr>
              <w:jc w:val="right"/>
              <w:ind w:right="139"/>
              <w:spacing w:after="0"/>
              <w:rPr>
                <w:sz w:val="20"/>
                <w:szCs w:val="20"/>
                <w:color w:val="auto"/>
              </w:rPr>
            </w:pPr>
            <w:r>
              <w:rPr>
                <w:rFonts w:ascii="Arial" w:cs="Arial" w:eastAsia="Arial" w:hAnsi="Arial"/>
                <w:sz w:val="16"/>
                <w:szCs w:val="16"/>
                <w:color w:val="auto"/>
              </w:rPr>
              <w:t>500,000</w:t>
            </w:r>
          </w:p>
        </w:tc>
        <w:tc>
          <w:tcPr>
            <w:tcW w:w="1120" w:type="dxa"/>
            <w:vAlign w:val="bottom"/>
            <w:shd w:val="clear" w:color="auto" w:fill="D8D8D8"/>
          </w:tcPr>
          <w:p>
            <w:pPr>
              <w:jc w:val="right"/>
              <w:ind w:right="119"/>
              <w:spacing w:after="0"/>
              <w:rPr>
                <w:sz w:val="20"/>
                <w:szCs w:val="20"/>
                <w:color w:val="auto"/>
              </w:rPr>
            </w:pPr>
            <w:r>
              <w:rPr>
                <w:rFonts w:ascii="Arial" w:cs="Arial" w:eastAsia="Arial" w:hAnsi="Arial"/>
                <w:sz w:val="16"/>
                <w:szCs w:val="16"/>
                <w:color w:val="auto"/>
              </w:rPr>
              <w:t>580,000</w:t>
            </w:r>
          </w:p>
        </w:tc>
        <w:tc>
          <w:tcPr>
            <w:tcW w:w="960" w:type="dxa"/>
            <w:vAlign w:val="bottom"/>
            <w:shd w:val="clear" w:color="auto" w:fill="D8D8D8"/>
          </w:tcPr>
          <w:p>
            <w:pPr>
              <w:jc w:val="right"/>
              <w:ind w:right="139"/>
              <w:spacing w:after="0"/>
              <w:rPr>
                <w:sz w:val="20"/>
                <w:szCs w:val="20"/>
                <w:color w:val="auto"/>
              </w:rPr>
            </w:pPr>
            <w:r>
              <w:rPr>
                <w:rFonts w:ascii="Arial" w:cs="Arial" w:eastAsia="Arial" w:hAnsi="Arial"/>
                <w:sz w:val="16"/>
                <w:szCs w:val="16"/>
                <w:color w:val="auto"/>
              </w:rPr>
              <w:t>87%</w:t>
            </w:r>
          </w:p>
        </w:tc>
        <w:tc>
          <w:tcPr>
            <w:tcW w:w="960" w:type="dxa"/>
            <w:vAlign w:val="bottom"/>
            <w:shd w:val="clear" w:color="auto" w:fill="D8D8D8"/>
          </w:tcPr>
          <w:p>
            <w:pPr>
              <w:jc w:val="right"/>
              <w:ind w:right="99"/>
              <w:spacing w:after="0"/>
              <w:rPr>
                <w:sz w:val="20"/>
                <w:szCs w:val="20"/>
                <w:color w:val="auto"/>
              </w:rPr>
            </w:pPr>
            <w:r>
              <w:rPr>
                <w:rFonts w:ascii="Arial" w:cs="Arial" w:eastAsia="Arial" w:hAnsi="Arial"/>
                <w:sz w:val="16"/>
                <w:szCs w:val="16"/>
                <w:color w:val="auto"/>
              </w:rPr>
              <w:t>94%</w:t>
            </w:r>
          </w:p>
        </w:tc>
        <w:tc>
          <w:tcPr>
            <w:tcW w:w="820" w:type="dxa"/>
            <w:vAlign w:val="bottom"/>
            <w:shd w:val="clear" w:color="auto" w:fill="D8D8D8"/>
          </w:tcPr>
          <w:p>
            <w:pPr>
              <w:jc w:val="right"/>
              <w:spacing w:after="0"/>
              <w:rPr>
                <w:sz w:val="20"/>
                <w:szCs w:val="20"/>
                <w:color w:val="auto"/>
              </w:rPr>
            </w:pPr>
            <w:r>
              <w:rPr>
                <w:rFonts w:ascii="Arial" w:cs="Arial" w:eastAsia="Arial" w:hAnsi="Arial"/>
                <w:sz w:val="16"/>
                <w:szCs w:val="16"/>
                <w:color w:val="auto"/>
              </w:rPr>
              <w:t>106%</w:t>
            </w:r>
          </w:p>
        </w:tc>
      </w:tr>
      <w:tr>
        <w:trPr>
          <w:trHeight w:val="189"/>
        </w:trPr>
        <w:tc>
          <w:tcPr>
            <w:tcW w:w="5000" w:type="dxa"/>
            <w:vAlign w:val="bottom"/>
            <w:tcBorders>
              <w:right w:val="single" w:sz="8" w:color="999999"/>
            </w:tcBorders>
          </w:tcPr>
          <w:p>
            <w:pPr>
              <w:ind w:left="140"/>
              <w:spacing w:after="0"/>
              <w:rPr>
                <w:sz w:val="20"/>
                <w:szCs w:val="20"/>
                <w:color w:val="auto"/>
              </w:rPr>
            </w:pPr>
            <w:r>
              <w:rPr>
                <w:rFonts w:ascii="Arial" w:cs="Arial" w:eastAsia="Arial" w:hAnsi="Arial"/>
                <w:sz w:val="16"/>
                <w:szCs w:val="16"/>
                <w:b w:val="1"/>
                <w:bCs w:val="1"/>
                <w:color w:val="auto"/>
              </w:rPr>
              <w:t>Sivasankaran Somasundaram</w:t>
            </w:r>
          </w:p>
        </w:tc>
        <w:tc>
          <w:tcPr>
            <w:tcW w:w="940" w:type="dxa"/>
            <w:vAlign w:val="bottom"/>
          </w:tcPr>
          <w:p>
            <w:pPr>
              <w:jc w:val="right"/>
              <w:spacing w:after="0"/>
              <w:rPr>
                <w:sz w:val="20"/>
                <w:szCs w:val="20"/>
                <w:color w:val="auto"/>
              </w:rPr>
            </w:pPr>
            <w:r>
              <w:rPr>
                <w:rFonts w:ascii="Arial" w:cs="Arial" w:eastAsia="Arial" w:hAnsi="Arial"/>
                <w:sz w:val="16"/>
                <w:szCs w:val="16"/>
                <w:color w:val="auto"/>
              </w:rPr>
              <w:t>385,000</w:t>
            </w:r>
          </w:p>
        </w:tc>
        <w:tc>
          <w:tcPr>
            <w:tcW w:w="1200" w:type="dxa"/>
            <w:vAlign w:val="bottom"/>
          </w:tcPr>
          <w:p>
            <w:pPr>
              <w:jc w:val="right"/>
              <w:ind w:right="139"/>
              <w:spacing w:after="0"/>
              <w:rPr>
                <w:sz w:val="20"/>
                <w:szCs w:val="20"/>
                <w:color w:val="auto"/>
              </w:rPr>
            </w:pPr>
            <w:r>
              <w:rPr>
                <w:rFonts w:ascii="Arial" w:cs="Arial" w:eastAsia="Arial" w:hAnsi="Arial"/>
                <w:sz w:val="16"/>
                <w:szCs w:val="16"/>
                <w:color w:val="auto"/>
              </w:rPr>
              <w:t>355,000</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970,000</w:t>
            </w: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77%</w:t>
            </w: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68%</w:t>
            </w:r>
          </w:p>
        </w:tc>
        <w:tc>
          <w:tcPr>
            <w:tcW w:w="820" w:type="dxa"/>
            <w:vAlign w:val="bottom"/>
          </w:tcPr>
          <w:p>
            <w:pPr>
              <w:jc w:val="right"/>
              <w:spacing w:after="0"/>
              <w:rPr>
                <w:sz w:val="20"/>
                <w:szCs w:val="20"/>
                <w:color w:val="auto"/>
              </w:rPr>
            </w:pPr>
            <w:r>
              <w:rPr>
                <w:rFonts w:ascii="Arial" w:cs="Arial" w:eastAsia="Arial" w:hAnsi="Arial"/>
                <w:sz w:val="16"/>
                <w:szCs w:val="16"/>
                <w:color w:val="auto"/>
              </w:rPr>
              <w:t>181%</w:t>
            </w:r>
          </w:p>
        </w:tc>
      </w:tr>
      <w:tr>
        <w:trPr>
          <w:trHeight w:val="189"/>
        </w:trPr>
        <w:tc>
          <w:tcPr>
            <w:tcW w:w="5000" w:type="dxa"/>
            <w:vAlign w:val="bottom"/>
            <w:tcBorders>
              <w:right w:val="single" w:sz="8" w:color="999999"/>
            </w:tcBorders>
            <w:shd w:val="clear" w:color="auto" w:fill="D8D8D8"/>
          </w:tcPr>
          <w:p>
            <w:pPr>
              <w:ind w:left="140"/>
              <w:spacing w:after="0"/>
              <w:rPr>
                <w:sz w:val="20"/>
                <w:szCs w:val="20"/>
                <w:color w:val="auto"/>
              </w:rPr>
            </w:pPr>
            <w:r>
              <w:rPr>
                <w:rFonts w:ascii="Arial" w:cs="Arial" w:eastAsia="Arial" w:hAnsi="Arial"/>
                <w:sz w:val="16"/>
                <w:szCs w:val="16"/>
                <w:b w:val="1"/>
                <w:bCs w:val="1"/>
                <w:color w:val="auto"/>
              </w:rPr>
              <w:t>William W. Spurgeon, Jr.</w:t>
            </w:r>
          </w:p>
        </w:tc>
        <w:tc>
          <w:tcPr>
            <w:tcW w:w="940" w:type="dxa"/>
            <w:vAlign w:val="bottom"/>
            <w:shd w:val="clear" w:color="auto" w:fill="D8D8D8"/>
          </w:tcPr>
          <w:p>
            <w:pPr>
              <w:jc w:val="right"/>
              <w:spacing w:after="0"/>
              <w:rPr>
                <w:sz w:val="20"/>
                <w:szCs w:val="20"/>
                <w:color w:val="auto"/>
              </w:rPr>
            </w:pPr>
            <w:r>
              <w:rPr>
                <w:rFonts w:ascii="Arial" w:cs="Arial" w:eastAsia="Arial" w:hAnsi="Arial"/>
                <w:sz w:val="16"/>
                <w:szCs w:val="16"/>
                <w:color w:val="auto"/>
              </w:rPr>
              <w:t>530,000</w:t>
            </w:r>
          </w:p>
        </w:tc>
        <w:tc>
          <w:tcPr>
            <w:tcW w:w="1200" w:type="dxa"/>
            <w:vAlign w:val="bottom"/>
            <w:shd w:val="clear" w:color="auto" w:fill="D8D8D8"/>
          </w:tcPr>
          <w:p>
            <w:pPr>
              <w:jc w:val="right"/>
              <w:ind w:right="139"/>
              <w:spacing w:after="0"/>
              <w:rPr>
                <w:sz w:val="20"/>
                <w:szCs w:val="20"/>
                <w:color w:val="auto"/>
              </w:rPr>
            </w:pPr>
            <w:r>
              <w:rPr>
                <w:rFonts w:ascii="Arial" w:cs="Arial" w:eastAsia="Arial" w:hAnsi="Arial"/>
                <w:sz w:val="16"/>
                <w:szCs w:val="16"/>
                <w:color w:val="auto"/>
              </w:rPr>
              <w:t>310,000</w:t>
            </w:r>
          </w:p>
        </w:tc>
        <w:tc>
          <w:tcPr>
            <w:tcW w:w="1120" w:type="dxa"/>
            <w:vAlign w:val="bottom"/>
            <w:shd w:val="clear" w:color="auto" w:fill="D8D8D8"/>
          </w:tcPr>
          <w:p>
            <w:pPr>
              <w:jc w:val="right"/>
              <w:ind w:right="119"/>
              <w:spacing w:after="0"/>
              <w:rPr>
                <w:sz w:val="20"/>
                <w:szCs w:val="20"/>
                <w:color w:val="auto"/>
              </w:rPr>
            </w:pPr>
            <w:r>
              <w:rPr>
                <w:rFonts w:ascii="Arial" w:cs="Arial" w:eastAsia="Arial" w:hAnsi="Arial"/>
                <w:sz w:val="16"/>
                <w:szCs w:val="16"/>
                <w:color w:val="auto"/>
              </w:rPr>
              <w:t>640,000</w:t>
            </w:r>
          </w:p>
        </w:tc>
        <w:tc>
          <w:tcPr>
            <w:tcW w:w="960" w:type="dxa"/>
            <w:vAlign w:val="bottom"/>
            <w:shd w:val="clear" w:color="auto" w:fill="D8D8D8"/>
          </w:tcPr>
          <w:p>
            <w:pPr>
              <w:jc w:val="right"/>
              <w:ind w:right="139"/>
              <w:spacing w:after="0"/>
              <w:rPr>
                <w:sz w:val="20"/>
                <w:szCs w:val="20"/>
                <w:color w:val="auto"/>
              </w:rPr>
            </w:pPr>
            <w:r>
              <w:rPr>
                <w:rFonts w:ascii="Arial" w:cs="Arial" w:eastAsia="Arial" w:hAnsi="Arial"/>
                <w:sz w:val="16"/>
                <w:szCs w:val="16"/>
                <w:color w:val="auto"/>
              </w:rPr>
              <w:t>82%</w:t>
            </w:r>
          </w:p>
        </w:tc>
        <w:tc>
          <w:tcPr>
            <w:tcW w:w="960" w:type="dxa"/>
            <w:vAlign w:val="bottom"/>
            <w:shd w:val="clear" w:color="auto" w:fill="D8D8D8"/>
          </w:tcPr>
          <w:p>
            <w:pPr>
              <w:jc w:val="right"/>
              <w:ind w:right="99"/>
              <w:spacing w:after="0"/>
              <w:rPr>
                <w:sz w:val="20"/>
                <w:szCs w:val="20"/>
                <w:color w:val="auto"/>
              </w:rPr>
            </w:pPr>
            <w:r>
              <w:rPr>
                <w:rFonts w:ascii="Arial" w:cs="Arial" w:eastAsia="Arial" w:hAnsi="Arial"/>
                <w:sz w:val="16"/>
                <w:szCs w:val="16"/>
                <w:color w:val="auto"/>
              </w:rPr>
              <w:t>48%</w:t>
            </w:r>
          </w:p>
        </w:tc>
        <w:tc>
          <w:tcPr>
            <w:tcW w:w="820" w:type="dxa"/>
            <w:vAlign w:val="bottom"/>
            <w:shd w:val="clear" w:color="auto" w:fill="D8D8D8"/>
          </w:tcPr>
          <w:p>
            <w:pPr>
              <w:jc w:val="right"/>
              <w:spacing w:after="0"/>
              <w:rPr>
                <w:sz w:val="20"/>
                <w:szCs w:val="20"/>
                <w:color w:val="auto"/>
              </w:rPr>
            </w:pPr>
            <w:r>
              <w:rPr>
                <w:rFonts w:ascii="Arial" w:cs="Arial" w:eastAsia="Arial" w:hAnsi="Arial"/>
                <w:sz w:val="16"/>
                <w:szCs w:val="16"/>
                <w:color w:val="auto"/>
              </w:rPr>
              <w:t>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3491230</wp:posOffset>
            </wp:positionH>
            <wp:positionV relativeFrom="paragraph">
              <wp:posOffset>-727710</wp:posOffset>
            </wp:positionV>
            <wp:extent cx="350329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503295" cy="8255"/>
                    </a:xfrm>
                    <a:prstGeom prst="rect">
                      <a:avLst/>
                    </a:prstGeom>
                    <a:noFill/>
                  </pic:spPr>
                </pic:pic>
              </a:graphicData>
            </a:graphic>
          </wp:anchor>
        </w:drawing>
      </w:r>
    </w:p>
    <w:p>
      <w:pPr>
        <w:spacing w:after="0" w:line="11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46</w:t>
      </w:r>
    </w:p>
    <w:p>
      <w:pPr>
        <w:sectPr>
          <w:pgSz w:w="11900" w:h="16838" w:orient="portrait"/>
          <w:cols w:equalWidth="0" w:num="1">
            <w:col w:w="11220"/>
          </w:cols>
          <w:pgMar w:left="240" w:top="459" w:right="4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COMPENSATION DISCUSSION AND ANALYSIS</w:t>
      </w:r>
    </w:p>
    <w:p>
      <w:pPr>
        <w:spacing w:after="0" w:line="157" w:lineRule="exact"/>
        <w:rPr>
          <w:sz w:val="20"/>
          <w:szCs w:val="20"/>
          <w:color w:val="auto"/>
        </w:rPr>
      </w:pPr>
    </w:p>
    <w:p>
      <w:pPr>
        <w:ind w:left="220"/>
        <w:spacing w:after="0"/>
        <w:rPr>
          <w:sz w:val="20"/>
          <w:szCs w:val="20"/>
          <w:color w:val="auto"/>
        </w:rPr>
      </w:pPr>
      <w:r>
        <w:rPr>
          <w:rFonts w:ascii="Arial" w:cs="Arial" w:eastAsia="Arial" w:hAnsi="Arial"/>
          <w:sz w:val="16"/>
          <w:szCs w:val="16"/>
          <w:i w:val="1"/>
          <w:iCs w:val="1"/>
          <w:color w:val="32406B"/>
        </w:rPr>
        <w:t>2017 Performance Shares</w:t>
      </w:r>
    </w:p>
    <w:p>
      <w:pPr>
        <w:spacing w:after="0" w:line="102" w:lineRule="exact"/>
        <w:rPr>
          <w:sz w:val="20"/>
          <w:szCs w:val="20"/>
          <w:color w:val="auto"/>
        </w:rPr>
      </w:pPr>
    </w:p>
    <w:p>
      <w:pPr>
        <w:jc w:val="both"/>
        <w:ind w:left="220" w:right="540"/>
        <w:spacing w:after="0" w:line="253" w:lineRule="auto"/>
        <w:rPr>
          <w:sz w:val="20"/>
          <w:szCs w:val="20"/>
          <w:color w:val="auto"/>
        </w:rPr>
      </w:pPr>
      <w:r>
        <w:rPr>
          <w:rFonts w:ascii="Arial" w:cs="Arial" w:eastAsia="Arial" w:hAnsi="Arial"/>
          <w:sz w:val="16"/>
          <w:szCs w:val="16"/>
          <w:color w:val="auto"/>
        </w:rPr>
        <w:t>The 2017 performance shares are based on the three-year performance period of 2015-2017, and the performance is measured on iTSR, which is described below. The Compensation Committee believes our iTSR measure focuses executives on key financial and strategic drivers of long-term shareholder value.</w:t>
      </w:r>
    </w:p>
    <w:p>
      <w:pPr>
        <w:spacing w:after="0" w:line="206" w:lineRule="exact"/>
        <w:rPr>
          <w:sz w:val="20"/>
          <w:szCs w:val="20"/>
          <w:color w:val="auto"/>
        </w:rPr>
      </w:pPr>
    </w:p>
    <w:tbl>
      <w:tblPr>
        <w:tblLayout w:type="fixed"/>
        <w:tblInd w:w="220" w:type="dxa"/>
        <w:tblCellMar>
          <w:top w:w="0" w:type="dxa"/>
          <w:left w:w="0" w:type="dxa"/>
          <w:bottom w:w="0" w:type="dxa"/>
          <w:right w:w="0" w:type="dxa"/>
        </w:tblCellMar>
      </w:tblPr>
      <w:tr>
        <w:trPr>
          <w:trHeight w:val="211"/>
        </w:trPr>
        <w:tc>
          <w:tcPr>
            <w:tcW w:w="7620" w:type="dxa"/>
            <w:vAlign w:val="bottom"/>
            <w:tcBorders>
              <w:top w:val="single" w:sz="8" w:color="auto"/>
              <w:right w:val="single" w:sz="8" w:color="999999"/>
            </w:tcBorders>
            <w:shd w:val="clear" w:color="auto" w:fill="32406B"/>
          </w:tcPr>
          <w:p>
            <w:pPr>
              <w:spacing w:after="0"/>
              <w:rPr>
                <w:sz w:val="18"/>
                <w:szCs w:val="18"/>
                <w:color w:val="auto"/>
              </w:rPr>
            </w:pPr>
          </w:p>
        </w:tc>
        <w:tc>
          <w:tcPr>
            <w:tcW w:w="420" w:type="dxa"/>
            <w:vAlign w:val="bottom"/>
            <w:tcBorders>
              <w:top w:val="single" w:sz="8" w:color="auto"/>
            </w:tcBorders>
            <w:shd w:val="clear" w:color="auto" w:fill="32406B"/>
          </w:tcPr>
          <w:p>
            <w:pPr>
              <w:spacing w:after="0"/>
              <w:rPr>
                <w:sz w:val="18"/>
                <w:szCs w:val="18"/>
                <w:color w:val="auto"/>
              </w:rPr>
            </w:pPr>
          </w:p>
        </w:tc>
        <w:tc>
          <w:tcPr>
            <w:tcW w:w="1100" w:type="dxa"/>
            <w:vAlign w:val="bottom"/>
            <w:tcBorders>
              <w:top w:val="single" w:sz="8" w:color="32406B"/>
            </w:tcBorders>
            <w:shd w:val="clear" w:color="auto" w:fill="32406B"/>
          </w:tcPr>
          <w:p>
            <w:pPr>
              <w:spacing w:after="0"/>
              <w:rPr>
                <w:sz w:val="20"/>
                <w:szCs w:val="20"/>
                <w:color w:val="auto"/>
              </w:rPr>
            </w:pPr>
            <w:r>
              <w:rPr>
                <w:rFonts w:ascii="Arial" w:cs="Arial" w:eastAsia="Arial" w:hAnsi="Arial"/>
                <w:sz w:val="16"/>
                <w:szCs w:val="16"/>
                <w:b w:val="1"/>
                <w:bCs w:val="1"/>
                <w:color w:val="FFFFFF"/>
              </w:rPr>
              <w:t>TARGET # OF</w:t>
            </w:r>
          </w:p>
        </w:tc>
        <w:tc>
          <w:tcPr>
            <w:tcW w:w="420" w:type="dxa"/>
            <w:vAlign w:val="bottom"/>
            <w:tcBorders>
              <w:top w:val="single" w:sz="8" w:color="auto"/>
            </w:tcBorders>
            <w:shd w:val="clear" w:color="auto" w:fill="32406B"/>
          </w:tcPr>
          <w:p>
            <w:pPr>
              <w:spacing w:after="0"/>
              <w:rPr>
                <w:sz w:val="18"/>
                <w:szCs w:val="18"/>
                <w:color w:val="auto"/>
              </w:rPr>
            </w:pPr>
          </w:p>
        </w:tc>
        <w:tc>
          <w:tcPr>
            <w:tcW w:w="1440" w:type="dxa"/>
            <w:vAlign w:val="bottom"/>
            <w:tcBorders>
              <w:top w:val="single" w:sz="8" w:color="32406B"/>
            </w:tcBorders>
            <w:shd w:val="clear" w:color="auto" w:fill="32406B"/>
          </w:tcPr>
          <w:p>
            <w:pPr>
              <w:spacing w:after="0"/>
              <w:rPr>
                <w:sz w:val="20"/>
                <w:szCs w:val="20"/>
                <w:color w:val="auto"/>
              </w:rPr>
            </w:pPr>
            <w:r>
              <w:rPr>
                <w:rFonts w:ascii="Arial" w:cs="Arial" w:eastAsia="Arial" w:hAnsi="Arial"/>
                <w:sz w:val="16"/>
                <w:szCs w:val="16"/>
                <w:b w:val="1"/>
                <w:bCs w:val="1"/>
                <w:color w:val="FFFFFF"/>
              </w:rPr>
              <w:t>ACTUAL SHARES</w:t>
            </w:r>
          </w:p>
        </w:tc>
      </w:tr>
      <w:tr>
        <w:trPr>
          <w:trHeight w:val="207"/>
        </w:trPr>
        <w:tc>
          <w:tcPr>
            <w:tcW w:w="7620" w:type="dxa"/>
            <w:vAlign w:val="bottom"/>
            <w:tcBorders>
              <w:right w:val="single" w:sz="8" w:color="999999"/>
            </w:tcBorders>
            <w:shd w:val="clear" w:color="auto" w:fill="32406B"/>
          </w:tcPr>
          <w:p>
            <w:pPr>
              <w:spacing w:after="0"/>
              <w:rPr>
                <w:sz w:val="17"/>
                <w:szCs w:val="17"/>
                <w:color w:val="auto"/>
              </w:rPr>
            </w:pPr>
          </w:p>
        </w:tc>
        <w:tc>
          <w:tcPr>
            <w:tcW w:w="420" w:type="dxa"/>
            <w:vAlign w:val="bottom"/>
            <w:shd w:val="clear" w:color="auto" w:fill="32406B"/>
          </w:tcPr>
          <w:p>
            <w:pPr>
              <w:spacing w:after="0"/>
              <w:rPr>
                <w:sz w:val="17"/>
                <w:szCs w:val="17"/>
                <w:color w:val="auto"/>
              </w:rPr>
            </w:pPr>
          </w:p>
        </w:tc>
        <w:tc>
          <w:tcPr>
            <w:tcW w:w="1100" w:type="dxa"/>
            <w:vAlign w:val="bottom"/>
            <w:shd w:val="clear" w:color="auto" w:fill="32406B"/>
          </w:tcPr>
          <w:p>
            <w:pPr>
              <w:spacing w:after="0"/>
              <w:rPr>
                <w:sz w:val="20"/>
                <w:szCs w:val="20"/>
                <w:color w:val="auto"/>
              </w:rPr>
            </w:pPr>
            <w:r>
              <w:rPr>
                <w:rFonts w:ascii="Arial" w:cs="Arial" w:eastAsia="Arial" w:hAnsi="Arial"/>
                <w:sz w:val="16"/>
                <w:szCs w:val="16"/>
                <w:b w:val="1"/>
                <w:bCs w:val="1"/>
                <w:color w:val="FFFFFF"/>
              </w:rPr>
              <w:t>SHARES</w:t>
            </w:r>
          </w:p>
        </w:tc>
        <w:tc>
          <w:tcPr>
            <w:tcW w:w="1860" w:type="dxa"/>
            <w:vAlign w:val="bottom"/>
            <w:gridSpan w:val="2"/>
            <w:shd w:val="clear" w:color="auto" w:fill="32406B"/>
          </w:tcPr>
          <w:p>
            <w:pPr>
              <w:ind w:left="420"/>
              <w:spacing w:after="0"/>
              <w:rPr>
                <w:sz w:val="20"/>
                <w:szCs w:val="20"/>
                <w:color w:val="auto"/>
              </w:rPr>
            </w:pPr>
            <w:r>
              <w:rPr>
                <w:rFonts w:ascii="Arial" w:cs="Arial" w:eastAsia="Arial" w:hAnsi="Arial"/>
                <w:sz w:val="16"/>
                <w:szCs w:val="16"/>
                <w:b w:val="1"/>
                <w:bCs w:val="1"/>
                <w:color w:val="FFFFFF"/>
              </w:rPr>
              <w:t>AWARDED</w:t>
            </w:r>
          </w:p>
        </w:tc>
      </w:tr>
      <w:tr>
        <w:trPr>
          <w:trHeight w:val="189"/>
        </w:trPr>
        <w:tc>
          <w:tcPr>
            <w:tcW w:w="7620" w:type="dxa"/>
            <w:vAlign w:val="bottom"/>
            <w:tcBorders>
              <w:right w:val="single" w:sz="8" w:color="999999"/>
            </w:tcBorders>
            <w:shd w:val="clear" w:color="auto" w:fill="32406B"/>
          </w:tcPr>
          <w:p>
            <w:pPr>
              <w:ind w:left="40"/>
              <w:spacing w:after="0"/>
              <w:rPr>
                <w:sz w:val="20"/>
                <w:szCs w:val="20"/>
                <w:color w:val="auto"/>
              </w:rPr>
            </w:pPr>
            <w:r>
              <w:rPr>
                <w:rFonts w:ascii="Arial" w:cs="Arial" w:eastAsia="Arial" w:hAnsi="Arial"/>
                <w:sz w:val="16"/>
                <w:szCs w:val="16"/>
                <w:b w:val="1"/>
                <w:bCs w:val="1"/>
                <w:color w:val="FFFFFF"/>
              </w:rPr>
              <w:t>NEO</w:t>
            </w:r>
          </w:p>
        </w:tc>
        <w:tc>
          <w:tcPr>
            <w:tcW w:w="420" w:type="dxa"/>
            <w:vAlign w:val="bottom"/>
            <w:shd w:val="clear" w:color="auto" w:fill="32406B"/>
          </w:tcPr>
          <w:p>
            <w:pPr>
              <w:spacing w:after="0"/>
              <w:rPr>
                <w:sz w:val="16"/>
                <w:szCs w:val="16"/>
                <w:color w:val="auto"/>
              </w:rPr>
            </w:pPr>
          </w:p>
        </w:tc>
        <w:tc>
          <w:tcPr>
            <w:tcW w:w="1100" w:type="dxa"/>
            <w:vAlign w:val="bottom"/>
            <w:shd w:val="clear" w:color="auto" w:fill="32406B"/>
          </w:tcPr>
          <w:p>
            <w:pPr>
              <w:jc w:val="right"/>
              <w:ind w:right="299"/>
              <w:spacing w:after="0"/>
              <w:rPr>
                <w:sz w:val="20"/>
                <w:szCs w:val="20"/>
                <w:color w:val="auto"/>
              </w:rPr>
            </w:pPr>
            <w:r>
              <w:rPr>
                <w:rFonts w:ascii="Arial" w:cs="Arial" w:eastAsia="Arial" w:hAnsi="Arial"/>
                <w:sz w:val="16"/>
                <w:szCs w:val="16"/>
                <w:b w:val="1"/>
                <w:bCs w:val="1"/>
                <w:color w:val="FFFFFF"/>
              </w:rPr>
              <w:t>2017</w:t>
            </w:r>
          </w:p>
        </w:tc>
        <w:tc>
          <w:tcPr>
            <w:tcW w:w="1860" w:type="dxa"/>
            <w:vAlign w:val="bottom"/>
            <w:gridSpan w:val="2"/>
            <w:shd w:val="clear" w:color="auto" w:fill="32406B"/>
          </w:tcPr>
          <w:p>
            <w:pPr>
              <w:jc w:val="right"/>
              <w:ind w:right="459"/>
              <w:spacing w:after="0"/>
              <w:rPr>
                <w:sz w:val="20"/>
                <w:szCs w:val="20"/>
                <w:color w:val="auto"/>
              </w:rPr>
            </w:pPr>
            <w:r>
              <w:rPr>
                <w:rFonts w:ascii="Arial" w:cs="Arial" w:eastAsia="Arial" w:hAnsi="Arial"/>
                <w:sz w:val="16"/>
                <w:szCs w:val="16"/>
                <w:b w:val="1"/>
                <w:bCs w:val="1"/>
                <w:color w:val="FFFFFF"/>
              </w:rPr>
              <w:t>2017</w:t>
            </w:r>
          </w:p>
        </w:tc>
      </w:tr>
      <w:tr>
        <w:trPr>
          <w:trHeight w:val="189"/>
        </w:trPr>
        <w:tc>
          <w:tcPr>
            <w:tcW w:w="7620" w:type="dxa"/>
            <w:vAlign w:val="bottom"/>
            <w:tcBorders>
              <w:right w:val="single" w:sz="8" w:color="999999"/>
            </w:tcBorders>
          </w:tcPr>
          <w:p>
            <w:pPr>
              <w:ind w:left="40"/>
              <w:spacing w:after="0"/>
              <w:rPr>
                <w:sz w:val="20"/>
                <w:szCs w:val="20"/>
                <w:color w:val="auto"/>
              </w:rPr>
            </w:pPr>
            <w:r>
              <w:rPr>
                <w:rFonts w:ascii="Arial" w:cs="Arial" w:eastAsia="Arial" w:hAnsi="Arial"/>
                <w:sz w:val="16"/>
                <w:szCs w:val="16"/>
                <w:b w:val="1"/>
                <w:bCs w:val="1"/>
                <w:color w:val="auto"/>
              </w:rPr>
              <w:t>Robert A. Livingston</w:t>
            </w:r>
          </w:p>
        </w:tc>
        <w:tc>
          <w:tcPr>
            <w:tcW w:w="1520" w:type="dxa"/>
            <w:vAlign w:val="bottom"/>
            <w:gridSpan w:val="2"/>
          </w:tcPr>
          <w:p>
            <w:pPr>
              <w:jc w:val="right"/>
              <w:ind w:right="59"/>
              <w:spacing w:after="0"/>
              <w:rPr>
                <w:sz w:val="20"/>
                <w:szCs w:val="20"/>
                <w:color w:val="auto"/>
              </w:rPr>
            </w:pPr>
            <w:r>
              <w:rPr>
                <w:rFonts w:ascii="Arial" w:cs="Arial" w:eastAsia="Arial" w:hAnsi="Arial"/>
                <w:sz w:val="16"/>
                <w:szCs w:val="16"/>
                <w:color w:val="auto"/>
              </w:rPr>
              <w:t>17,740</w:t>
            </w:r>
          </w:p>
        </w:tc>
        <w:tc>
          <w:tcPr>
            <w:tcW w:w="1860" w:type="dxa"/>
            <w:vAlign w:val="bottom"/>
            <w:gridSpan w:val="2"/>
          </w:tcPr>
          <w:p>
            <w:pPr>
              <w:jc w:val="right"/>
              <w:ind w:right="299"/>
              <w:spacing w:after="0"/>
              <w:rPr>
                <w:sz w:val="20"/>
                <w:szCs w:val="20"/>
                <w:color w:val="auto"/>
              </w:rPr>
            </w:pPr>
            <w:r>
              <w:rPr>
                <w:rFonts w:ascii="Arial" w:cs="Arial" w:eastAsia="Arial" w:hAnsi="Arial"/>
                <w:sz w:val="16"/>
                <w:szCs w:val="16"/>
                <w:color w:val="auto"/>
              </w:rPr>
              <w:t>0</w:t>
            </w:r>
          </w:p>
        </w:tc>
      </w:tr>
      <w:tr>
        <w:trPr>
          <w:trHeight w:val="189"/>
        </w:trPr>
        <w:tc>
          <w:tcPr>
            <w:tcW w:w="7620" w:type="dxa"/>
            <w:vAlign w:val="bottom"/>
            <w:tcBorders>
              <w:right w:val="single" w:sz="8" w:color="999999"/>
            </w:tcBorders>
            <w:shd w:val="clear" w:color="auto" w:fill="D8D8D8"/>
          </w:tcPr>
          <w:p>
            <w:pPr>
              <w:ind w:left="40"/>
              <w:spacing w:after="0"/>
              <w:rPr>
                <w:sz w:val="20"/>
                <w:szCs w:val="20"/>
                <w:color w:val="auto"/>
              </w:rPr>
            </w:pPr>
            <w:r>
              <w:rPr>
                <w:rFonts w:ascii="Arial" w:cs="Arial" w:eastAsia="Arial" w:hAnsi="Arial"/>
                <w:sz w:val="16"/>
                <w:szCs w:val="16"/>
                <w:b w:val="1"/>
                <w:bCs w:val="1"/>
                <w:color w:val="auto"/>
              </w:rPr>
              <w:t>Brad M. Cerepak</w:t>
            </w:r>
          </w:p>
        </w:tc>
        <w:tc>
          <w:tcPr>
            <w:tcW w:w="1520" w:type="dxa"/>
            <w:vAlign w:val="bottom"/>
            <w:gridSpan w:val="2"/>
            <w:shd w:val="clear" w:color="auto" w:fill="D8D8D8"/>
          </w:tcPr>
          <w:p>
            <w:pPr>
              <w:jc w:val="right"/>
              <w:ind w:right="59"/>
              <w:spacing w:after="0"/>
              <w:rPr>
                <w:sz w:val="20"/>
                <w:szCs w:val="20"/>
                <w:color w:val="auto"/>
              </w:rPr>
            </w:pPr>
            <w:r>
              <w:rPr>
                <w:rFonts w:ascii="Arial" w:cs="Arial" w:eastAsia="Arial" w:hAnsi="Arial"/>
                <w:sz w:val="16"/>
                <w:szCs w:val="16"/>
                <w:color w:val="auto"/>
              </w:rPr>
              <w:t>5,049</w:t>
            </w:r>
          </w:p>
        </w:tc>
        <w:tc>
          <w:tcPr>
            <w:tcW w:w="1860" w:type="dxa"/>
            <w:vAlign w:val="bottom"/>
            <w:gridSpan w:val="2"/>
            <w:shd w:val="clear" w:color="auto" w:fill="D8D8D8"/>
          </w:tcPr>
          <w:p>
            <w:pPr>
              <w:jc w:val="right"/>
              <w:ind w:right="299"/>
              <w:spacing w:after="0"/>
              <w:rPr>
                <w:sz w:val="20"/>
                <w:szCs w:val="20"/>
                <w:color w:val="auto"/>
              </w:rPr>
            </w:pPr>
            <w:r>
              <w:rPr>
                <w:rFonts w:ascii="Arial" w:cs="Arial" w:eastAsia="Arial" w:hAnsi="Arial"/>
                <w:sz w:val="16"/>
                <w:szCs w:val="16"/>
                <w:color w:val="auto"/>
              </w:rPr>
              <w:t>0</w:t>
            </w:r>
          </w:p>
        </w:tc>
      </w:tr>
      <w:tr>
        <w:trPr>
          <w:trHeight w:val="189"/>
        </w:trPr>
        <w:tc>
          <w:tcPr>
            <w:tcW w:w="7620" w:type="dxa"/>
            <w:vAlign w:val="bottom"/>
            <w:tcBorders>
              <w:right w:val="single" w:sz="8" w:color="999999"/>
            </w:tcBorders>
          </w:tcPr>
          <w:p>
            <w:pPr>
              <w:ind w:left="40"/>
              <w:spacing w:after="0"/>
              <w:rPr>
                <w:sz w:val="20"/>
                <w:szCs w:val="20"/>
                <w:color w:val="auto"/>
              </w:rPr>
            </w:pPr>
            <w:r>
              <w:rPr>
                <w:rFonts w:ascii="Arial" w:cs="Arial" w:eastAsia="Arial" w:hAnsi="Arial"/>
                <w:sz w:val="16"/>
                <w:szCs w:val="16"/>
                <w:b w:val="1"/>
                <w:bCs w:val="1"/>
                <w:color w:val="auto"/>
              </w:rPr>
              <w:t>C. Anderson Fincher</w:t>
            </w:r>
          </w:p>
        </w:tc>
        <w:tc>
          <w:tcPr>
            <w:tcW w:w="1520" w:type="dxa"/>
            <w:vAlign w:val="bottom"/>
            <w:gridSpan w:val="2"/>
          </w:tcPr>
          <w:p>
            <w:pPr>
              <w:jc w:val="right"/>
              <w:ind w:right="59"/>
              <w:spacing w:after="0"/>
              <w:rPr>
                <w:sz w:val="20"/>
                <w:szCs w:val="20"/>
                <w:color w:val="auto"/>
              </w:rPr>
            </w:pPr>
            <w:r>
              <w:rPr>
                <w:rFonts w:ascii="Arial" w:cs="Arial" w:eastAsia="Arial" w:hAnsi="Arial"/>
                <w:sz w:val="16"/>
                <w:szCs w:val="16"/>
                <w:color w:val="auto"/>
              </w:rPr>
              <w:t>4,503</w:t>
            </w:r>
          </w:p>
        </w:tc>
        <w:tc>
          <w:tcPr>
            <w:tcW w:w="1860" w:type="dxa"/>
            <w:vAlign w:val="bottom"/>
            <w:gridSpan w:val="2"/>
          </w:tcPr>
          <w:p>
            <w:pPr>
              <w:jc w:val="right"/>
              <w:ind w:right="299"/>
              <w:spacing w:after="0"/>
              <w:rPr>
                <w:sz w:val="20"/>
                <w:szCs w:val="20"/>
                <w:color w:val="auto"/>
              </w:rPr>
            </w:pPr>
            <w:r>
              <w:rPr>
                <w:rFonts w:ascii="Arial" w:cs="Arial" w:eastAsia="Arial" w:hAnsi="Arial"/>
                <w:sz w:val="16"/>
                <w:szCs w:val="16"/>
                <w:color w:val="auto"/>
              </w:rPr>
              <w:t>2,100</w:t>
            </w:r>
          </w:p>
        </w:tc>
      </w:tr>
      <w:tr>
        <w:trPr>
          <w:trHeight w:val="189"/>
        </w:trPr>
        <w:tc>
          <w:tcPr>
            <w:tcW w:w="7620" w:type="dxa"/>
            <w:vAlign w:val="bottom"/>
            <w:tcBorders>
              <w:right w:val="single" w:sz="8" w:color="999999"/>
            </w:tcBorders>
            <w:shd w:val="clear" w:color="auto" w:fill="D8D8D8"/>
          </w:tcPr>
          <w:p>
            <w:pPr>
              <w:ind w:left="40"/>
              <w:spacing w:after="0"/>
              <w:rPr>
                <w:sz w:val="20"/>
                <w:szCs w:val="20"/>
                <w:color w:val="auto"/>
              </w:rPr>
            </w:pPr>
            <w:r>
              <w:rPr>
                <w:rFonts w:ascii="Arial" w:cs="Arial" w:eastAsia="Arial" w:hAnsi="Arial"/>
                <w:sz w:val="16"/>
                <w:szCs w:val="16"/>
                <w:b w:val="1"/>
                <w:bCs w:val="1"/>
                <w:color w:val="auto"/>
              </w:rPr>
              <w:t>Sivasankaran Somasundaram</w:t>
            </w:r>
          </w:p>
        </w:tc>
        <w:tc>
          <w:tcPr>
            <w:tcW w:w="1520" w:type="dxa"/>
            <w:vAlign w:val="bottom"/>
            <w:gridSpan w:val="2"/>
            <w:shd w:val="clear" w:color="auto" w:fill="D8D8D8"/>
          </w:tcPr>
          <w:p>
            <w:pPr>
              <w:jc w:val="right"/>
              <w:ind w:right="59"/>
              <w:spacing w:after="0"/>
              <w:rPr>
                <w:sz w:val="20"/>
                <w:szCs w:val="20"/>
                <w:color w:val="auto"/>
              </w:rPr>
            </w:pPr>
            <w:r>
              <w:rPr>
                <w:rFonts w:ascii="Arial" w:cs="Arial" w:eastAsia="Arial" w:hAnsi="Arial"/>
                <w:sz w:val="16"/>
                <w:szCs w:val="16"/>
                <w:color w:val="auto"/>
              </w:rPr>
              <w:t>4,503</w:t>
            </w:r>
          </w:p>
        </w:tc>
        <w:tc>
          <w:tcPr>
            <w:tcW w:w="1860" w:type="dxa"/>
            <w:vAlign w:val="bottom"/>
            <w:gridSpan w:val="2"/>
            <w:shd w:val="clear" w:color="auto" w:fill="D8D8D8"/>
          </w:tcPr>
          <w:p>
            <w:pPr>
              <w:jc w:val="right"/>
              <w:ind w:right="299"/>
              <w:spacing w:after="0"/>
              <w:rPr>
                <w:sz w:val="20"/>
                <w:szCs w:val="20"/>
                <w:color w:val="auto"/>
              </w:rPr>
            </w:pPr>
            <w:r>
              <w:rPr>
                <w:rFonts w:ascii="Arial" w:cs="Arial" w:eastAsia="Arial" w:hAnsi="Arial"/>
                <w:sz w:val="16"/>
                <w:szCs w:val="16"/>
                <w:color w:val="auto"/>
              </w:rPr>
              <w:t>0</w:t>
            </w:r>
          </w:p>
        </w:tc>
      </w:tr>
      <w:tr>
        <w:trPr>
          <w:trHeight w:val="189"/>
        </w:trPr>
        <w:tc>
          <w:tcPr>
            <w:tcW w:w="7620" w:type="dxa"/>
            <w:vAlign w:val="bottom"/>
            <w:tcBorders>
              <w:right w:val="single" w:sz="8" w:color="999999"/>
            </w:tcBorders>
          </w:tcPr>
          <w:p>
            <w:pPr>
              <w:ind w:left="40"/>
              <w:spacing w:after="0"/>
              <w:rPr>
                <w:sz w:val="20"/>
                <w:szCs w:val="20"/>
                <w:color w:val="auto"/>
              </w:rPr>
            </w:pPr>
            <w:r>
              <w:rPr>
                <w:rFonts w:ascii="Arial" w:cs="Arial" w:eastAsia="Arial" w:hAnsi="Arial"/>
                <w:sz w:val="16"/>
                <w:szCs w:val="16"/>
                <w:b w:val="1"/>
                <w:bCs w:val="1"/>
                <w:color w:val="auto"/>
              </w:rPr>
              <w:t>William W. Spurgeon, Jr.</w:t>
            </w:r>
          </w:p>
        </w:tc>
        <w:tc>
          <w:tcPr>
            <w:tcW w:w="1520" w:type="dxa"/>
            <w:vAlign w:val="bottom"/>
            <w:gridSpan w:val="2"/>
          </w:tcPr>
          <w:p>
            <w:pPr>
              <w:jc w:val="right"/>
              <w:ind w:right="59"/>
              <w:spacing w:after="0"/>
              <w:rPr>
                <w:sz w:val="20"/>
                <w:szCs w:val="20"/>
                <w:color w:val="auto"/>
              </w:rPr>
            </w:pPr>
            <w:r>
              <w:rPr>
                <w:rFonts w:ascii="Arial" w:cs="Arial" w:eastAsia="Arial" w:hAnsi="Arial"/>
                <w:sz w:val="16"/>
                <w:szCs w:val="16"/>
                <w:color w:val="auto"/>
              </w:rPr>
              <w:t>4,503</w:t>
            </w:r>
          </w:p>
        </w:tc>
        <w:tc>
          <w:tcPr>
            <w:tcW w:w="1860" w:type="dxa"/>
            <w:vAlign w:val="bottom"/>
            <w:gridSpan w:val="2"/>
          </w:tcPr>
          <w:p>
            <w:pPr>
              <w:jc w:val="right"/>
              <w:ind w:right="299"/>
              <w:spacing w:after="0"/>
              <w:rPr>
                <w:sz w:val="20"/>
                <w:szCs w:val="20"/>
                <w:color w:val="auto"/>
              </w:rPr>
            </w:pPr>
            <w:r>
              <w:rPr>
                <w:rFonts w:ascii="Arial" w:cs="Arial" w:eastAsia="Arial" w:hAnsi="Arial"/>
                <w:sz w:val="16"/>
                <w:szCs w:val="16"/>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5238750</wp:posOffset>
            </wp:positionH>
            <wp:positionV relativeFrom="paragraph">
              <wp:posOffset>-838835</wp:posOffset>
            </wp:positionV>
            <wp:extent cx="1884680" cy="12827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884680" cy="128270"/>
                    </a:xfrm>
                    <a:prstGeom prst="rect">
                      <a:avLst/>
                    </a:prstGeom>
                    <a:noFill/>
                  </pic:spPr>
                </pic:pic>
              </a:graphicData>
            </a:graphic>
          </wp:anchor>
        </w:drawing>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32406B"/>
        </w:rPr>
        <w:t>Long-Term Incentive Compensation</w:t>
      </w:r>
    </w:p>
    <w:p>
      <w:pPr>
        <w:spacing w:after="0" w:line="92" w:lineRule="exact"/>
        <w:rPr>
          <w:sz w:val="20"/>
          <w:szCs w:val="20"/>
          <w:color w:val="auto"/>
        </w:rPr>
      </w:pPr>
    </w:p>
    <w:p>
      <w:pPr>
        <w:ind w:left="220" w:right="60"/>
        <w:spacing w:after="0" w:line="253" w:lineRule="auto"/>
        <w:rPr>
          <w:sz w:val="20"/>
          <w:szCs w:val="20"/>
          <w:color w:val="auto"/>
        </w:rPr>
      </w:pPr>
      <w:r>
        <w:rPr>
          <w:rFonts w:ascii="Arial" w:cs="Arial" w:eastAsia="Arial" w:hAnsi="Arial"/>
          <w:sz w:val="16"/>
          <w:szCs w:val="16"/>
          <w:color w:val="auto"/>
        </w:rPr>
        <w:t>The following table summarizes the components of awards under our Dover Corporation 2012 Equity and Cash Incentive Plan (“LTIP”) and the related performance criteria for awards granted in 2017. Note that all components are paid in stock rather than cash to encourage shareholder alignment through stock ownership.</w:t>
      </w:r>
    </w:p>
    <w:p>
      <w:pPr>
        <w:spacing w:after="0" w:line="226" w:lineRule="exact"/>
        <w:rPr>
          <w:sz w:val="20"/>
          <w:szCs w:val="20"/>
          <w:color w:val="auto"/>
        </w:rPr>
      </w:pPr>
    </w:p>
    <w:tbl>
      <w:tblPr>
        <w:tblLayout w:type="fixed"/>
        <w:tblInd w:w="220" w:type="dxa"/>
        <w:tblCellMar>
          <w:top w:w="0" w:type="dxa"/>
          <w:left w:w="0" w:type="dxa"/>
          <w:bottom w:w="0" w:type="dxa"/>
          <w:right w:w="0" w:type="dxa"/>
        </w:tblCellMar>
      </w:tblPr>
      <w:tr>
        <w:trPr>
          <w:trHeight w:val="211"/>
        </w:trPr>
        <w:tc>
          <w:tcPr>
            <w:tcW w:w="2840" w:type="dxa"/>
            <w:vAlign w:val="bottom"/>
            <w:tcBorders>
              <w:right w:val="single" w:sz="8" w:color="999999"/>
            </w:tcBorders>
            <w:shd w:val="clear" w:color="auto" w:fill="32406B"/>
          </w:tcPr>
          <w:p>
            <w:pPr>
              <w:spacing w:after="0"/>
              <w:rPr>
                <w:sz w:val="18"/>
                <w:szCs w:val="18"/>
                <w:color w:val="auto"/>
              </w:rPr>
            </w:pPr>
          </w:p>
        </w:tc>
        <w:tc>
          <w:tcPr>
            <w:tcW w:w="3020" w:type="dxa"/>
            <w:vAlign w:val="bottom"/>
            <w:shd w:val="clear" w:color="auto" w:fill="32406B"/>
          </w:tcPr>
          <w:p>
            <w:pPr>
              <w:jc w:val="center"/>
              <w:ind w:left="139"/>
              <w:spacing w:after="0"/>
              <w:rPr>
                <w:sz w:val="20"/>
                <w:szCs w:val="20"/>
                <w:color w:val="auto"/>
              </w:rPr>
            </w:pPr>
            <w:r>
              <w:rPr>
                <w:rFonts w:ascii="Arial" w:cs="Arial" w:eastAsia="Arial" w:hAnsi="Arial"/>
                <w:sz w:val="16"/>
                <w:szCs w:val="16"/>
                <w:b w:val="1"/>
                <w:bCs w:val="1"/>
                <w:color w:val="FFFFFF"/>
              </w:rPr>
              <w:t>PERFORMANCE</w:t>
            </w:r>
          </w:p>
        </w:tc>
        <w:tc>
          <w:tcPr>
            <w:tcW w:w="2600" w:type="dxa"/>
            <w:vAlign w:val="bottom"/>
            <w:shd w:val="clear" w:color="auto" w:fill="32406B"/>
          </w:tcPr>
          <w:p>
            <w:pPr>
              <w:spacing w:after="0"/>
              <w:rPr>
                <w:sz w:val="18"/>
                <w:szCs w:val="18"/>
                <w:color w:val="auto"/>
              </w:rPr>
            </w:pPr>
          </w:p>
        </w:tc>
        <w:tc>
          <w:tcPr>
            <w:tcW w:w="2540" w:type="dxa"/>
            <w:vAlign w:val="bottom"/>
            <w:shd w:val="clear" w:color="auto" w:fill="32406B"/>
          </w:tcPr>
          <w:p>
            <w:pPr>
              <w:ind w:left="400"/>
              <w:spacing w:after="0"/>
              <w:rPr>
                <w:sz w:val="20"/>
                <w:szCs w:val="20"/>
                <w:color w:val="auto"/>
              </w:rPr>
            </w:pPr>
            <w:r>
              <w:rPr>
                <w:rFonts w:ascii="Arial" w:cs="Arial" w:eastAsia="Arial" w:hAnsi="Arial"/>
                <w:sz w:val="16"/>
                <w:szCs w:val="16"/>
                <w:b w:val="1"/>
                <w:bCs w:val="1"/>
                <w:color w:val="FFFFFF"/>
              </w:rPr>
              <w:t>VESTING OR EXERCISE</w:t>
            </w:r>
          </w:p>
        </w:tc>
        <w:tc>
          <w:tcPr>
            <w:tcW w:w="0" w:type="dxa"/>
            <w:vAlign w:val="bottom"/>
          </w:tcPr>
          <w:p>
            <w:pPr>
              <w:spacing w:after="0"/>
              <w:rPr>
                <w:sz w:val="1"/>
                <w:szCs w:val="1"/>
                <w:color w:val="auto"/>
              </w:rPr>
            </w:pPr>
          </w:p>
        </w:tc>
      </w:tr>
      <w:tr>
        <w:trPr>
          <w:trHeight w:val="220"/>
        </w:trPr>
        <w:tc>
          <w:tcPr>
            <w:tcW w:w="2840" w:type="dxa"/>
            <w:vAlign w:val="bottom"/>
            <w:tcBorders>
              <w:right w:val="single" w:sz="8" w:color="999999"/>
            </w:tcBorders>
            <w:shd w:val="clear" w:color="auto" w:fill="32406B"/>
          </w:tcPr>
          <w:p>
            <w:pPr>
              <w:ind w:left="220"/>
              <w:spacing w:after="0"/>
              <w:rPr>
                <w:sz w:val="20"/>
                <w:szCs w:val="20"/>
                <w:color w:val="auto"/>
              </w:rPr>
            </w:pPr>
            <w:r>
              <w:rPr>
                <w:rFonts w:ascii="Arial" w:cs="Arial" w:eastAsia="Arial" w:hAnsi="Arial"/>
                <w:sz w:val="16"/>
                <w:szCs w:val="16"/>
                <w:b w:val="1"/>
                <w:bCs w:val="1"/>
                <w:color w:val="FFFFFF"/>
              </w:rPr>
              <w:t>LTIP COMPONENT</w:t>
            </w:r>
          </w:p>
        </w:tc>
        <w:tc>
          <w:tcPr>
            <w:tcW w:w="3020" w:type="dxa"/>
            <w:vAlign w:val="bottom"/>
            <w:shd w:val="clear" w:color="auto" w:fill="32406B"/>
          </w:tcPr>
          <w:p>
            <w:pPr>
              <w:jc w:val="center"/>
              <w:ind w:left="139"/>
              <w:spacing w:after="0"/>
              <w:rPr>
                <w:sz w:val="20"/>
                <w:szCs w:val="20"/>
                <w:color w:val="auto"/>
              </w:rPr>
            </w:pPr>
            <w:r>
              <w:rPr>
                <w:rFonts w:ascii="Arial" w:cs="Arial" w:eastAsia="Arial" w:hAnsi="Arial"/>
                <w:sz w:val="16"/>
                <w:szCs w:val="16"/>
                <w:b w:val="1"/>
                <w:bCs w:val="1"/>
                <w:color w:val="FFFFFF"/>
              </w:rPr>
              <w:t>CRITERIA</w:t>
            </w:r>
          </w:p>
        </w:tc>
        <w:tc>
          <w:tcPr>
            <w:tcW w:w="2600" w:type="dxa"/>
            <w:vAlign w:val="bottom"/>
            <w:shd w:val="clear" w:color="auto" w:fill="32406B"/>
          </w:tcPr>
          <w:p>
            <w:pPr>
              <w:ind w:left="940"/>
              <w:spacing w:after="0"/>
              <w:rPr>
                <w:sz w:val="20"/>
                <w:szCs w:val="20"/>
                <w:color w:val="auto"/>
              </w:rPr>
            </w:pPr>
            <w:r>
              <w:rPr>
                <w:rFonts w:ascii="Arial" w:cs="Arial" w:eastAsia="Arial" w:hAnsi="Arial"/>
                <w:sz w:val="16"/>
                <w:szCs w:val="16"/>
                <w:b w:val="1"/>
                <w:bCs w:val="1"/>
                <w:color w:val="FFFFFF"/>
              </w:rPr>
              <w:t>PURPOSE</w:t>
            </w:r>
          </w:p>
        </w:tc>
        <w:tc>
          <w:tcPr>
            <w:tcW w:w="2540" w:type="dxa"/>
            <w:vAlign w:val="bottom"/>
            <w:shd w:val="clear" w:color="auto" w:fill="32406B"/>
          </w:tcPr>
          <w:p>
            <w:pPr>
              <w:ind w:left="1020"/>
              <w:spacing w:after="0"/>
              <w:rPr>
                <w:sz w:val="20"/>
                <w:szCs w:val="20"/>
                <w:color w:val="auto"/>
              </w:rPr>
            </w:pPr>
            <w:r>
              <w:rPr>
                <w:rFonts w:ascii="Arial" w:cs="Arial" w:eastAsia="Arial" w:hAnsi="Arial"/>
                <w:sz w:val="16"/>
                <w:szCs w:val="16"/>
                <w:b w:val="1"/>
                <w:bCs w:val="1"/>
                <w:color w:val="FFFFFF"/>
              </w:rPr>
              <w:t>PERIOD</w:t>
            </w:r>
          </w:p>
        </w:tc>
        <w:tc>
          <w:tcPr>
            <w:tcW w:w="0" w:type="dxa"/>
            <w:vAlign w:val="bottom"/>
          </w:tcPr>
          <w:p>
            <w:pPr>
              <w:spacing w:after="0"/>
              <w:rPr>
                <w:sz w:val="1"/>
                <w:szCs w:val="1"/>
                <w:color w:val="auto"/>
              </w:rPr>
            </w:pPr>
          </w:p>
        </w:tc>
      </w:tr>
      <w:tr>
        <w:trPr>
          <w:trHeight w:val="211"/>
        </w:trPr>
        <w:tc>
          <w:tcPr>
            <w:tcW w:w="2840" w:type="dxa"/>
            <w:vAlign w:val="bottom"/>
            <w:tcBorders>
              <w:right w:val="single" w:sz="8" w:color="999999"/>
            </w:tcBorders>
            <w:shd w:val="clear" w:color="auto" w:fill="D8D8D8"/>
          </w:tcPr>
          <w:p>
            <w:pPr>
              <w:ind w:left="220"/>
              <w:spacing w:after="0"/>
              <w:rPr>
                <w:sz w:val="20"/>
                <w:szCs w:val="20"/>
                <w:color w:val="auto"/>
              </w:rPr>
            </w:pPr>
            <w:r>
              <w:rPr>
                <w:rFonts w:ascii="Arial" w:cs="Arial" w:eastAsia="Arial" w:hAnsi="Arial"/>
                <w:sz w:val="16"/>
                <w:szCs w:val="16"/>
                <w:b w:val="1"/>
                <w:bCs w:val="1"/>
                <w:color w:val="auto"/>
              </w:rPr>
              <w:t>STOCK SETTLED STOCK</w:t>
            </w:r>
          </w:p>
        </w:tc>
        <w:tc>
          <w:tcPr>
            <w:tcW w:w="3020" w:type="dxa"/>
            <w:vAlign w:val="bottom"/>
            <w:shd w:val="clear" w:color="auto" w:fill="D8D8D8"/>
          </w:tcPr>
          <w:p>
            <w:pPr>
              <w:spacing w:after="0"/>
              <w:rPr>
                <w:sz w:val="18"/>
                <w:szCs w:val="18"/>
                <w:color w:val="auto"/>
              </w:rPr>
            </w:pPr>
          </w:p>
        </w:tc>
        <w:tc>
          <w:tcPr>
            <w:tcW w:w="2600" w:type="dxa"/>
            <w:vAlign w:val="bottom"/>
            <w:shd w:val="clear" w:color="auto" w:fill="D8D8D8"/>
          </w:tcPr>
          <w:p>
            <w:pPr>
              <w:ind w:left="140"/>
              <w:spacing w:after="0"/>
              <w:rPr>
                <w:sz w:val="20"/>
                <w:szCs w:val="20"/>
                <w:color w:val="auto"/>
              </w:rPr>
            </w:pPr>
            <w:r>
              <w:rPr>
                <w:rFonts w:ascii="Arial" w:cs="Arial" w:eastAsia="Arial" w:hAnsi="Arial"/>
                <w:sz w:val="16"/>
                <w:szCs w:val="16"/>
                <w:color w:val="auto"/>
              </w:rPr>
              <w:t>To focus executives on share</w:t>
            </w:r>
          </w:p>
        </w:tc>
        <w:tc>
          <w:tcPr>
            <w:tcW w:w="2540" w:type="dxa"/>
            <w:vAlign w:val="bottom"/>
            <w:shd w:val="clear" w:color="auto" w:fill="D8D8D8"/>
          </w:tcPr>
          <w:p>
            <w:pPr>
              <w:ind w:left="140"/>
              <w:spacing w:after="0"/>
              <w:rPr>
                <w:sz w:val="20"/>
                <w:szCs w:val="20"/>
                <w:color w:val="auto"/>
              </w:rPr>
            </w:pPr>
            <w:r>
              <w:rPr>
                <w:rFonts w:ascii="Arial" w:cs="Arial" w:eastAsia="Arial" w:hAnsi="Arial"/>
                <w:sz w:val="16"/>
                <w:szCs w:val="16"/>
                <w:color w:val="auto"/>
              </w:rPr>
              <w:t>SSARs are not exercisable until</w:t>
            </w:r>
          </w:p>
        </w:tc>
        <w:tc>
          <w:tcPr>
            <w:tcW w:w="0" w:type="dxa"/>
            <w:vAlign w:val="bottom"/>
          </w:tcPr>
          <w:p>
            <w:pPr>
              <w:spacing w:after="0"/>
              <w:rPr>
                <w:sz w:val="1"/>
                <w:szCs w:val="1"/>
                <w:color w:val="auto"/>
              </w:rPr>
            </w:pPr>
          </w:p>
        </w:tc>
      </w:tr>
      <w:tr>
        <w:trPr>
          <w:trHeight w:val="209"/>
        </w:trPr>
        <w:tc>
          <w:tcPr>
            <w:tcW w:w="2840" w:type="dxa"/>
            <w:vAlign w:val="bottom"/>
            <w:tcBorders>
              <w:right w:val="single" w:sz="8" w:color="999999"/>
            </w:tcBorders>
            <w:shd w:val="clear" w:color="auto" w:fill="D8D8D8"/>
          </w:tcPr>
          <w:p>
            <w:pPr>
              <w:ind w:left="220"/>
              <w:spacing w:after="0"/>
              <w:rPr>
                <w:sz w:val="20"/>
                <w:szCs w:val="20"/>
                <w:color w:val="auto"/>
              </w:rPr>
            </w:pPr>
            <w:r>
              <w:rPr>
                <w:rFonts w:ascii="Arial" w:cs="Arial" w:eastAsia="Arial" w:hAnsi="Arial"/>
                <w:sz w:val="16"/>
                <w:szCs w:val="16"/>
                <w:b w:val="1"/>
                <w:bCs w:val="1"/>
                <w:color w:val="auto"/>
              </w:rPr>
              <w:t>APPRECIATION RIGHTS</w:t>
            </w:r>
          </w:p>
        </w:tc>
        <w:tc>
          <w:tcPr>
            <w:tcW w:w="3020" w:type="dxa"/>
            <w:vAlign w:val="bottom"/>
            <w:shd w:val="clear" w:color="auto" w:fill="D8D8D8"/>
          </w:tcPr>
          <w:p>
            <w:pPr>
              <w:spacing w:after="0"/>
              <w:rPr>
                <w:sz w:val="18"/>
                <w:szCs w:val="18"/>
                <w:color w:val="auto"/>
              </w:rPr>
            </w:pPr>
          </w:p>
        </w:tc>
        <w:tc>
          <w:tcPr>
            <w:tcW w:w="2600" w:type="dxa"/>
            <w:vAlign w:val="bottom"/>
            <w:shd w:val="clear" w:color="auto" w:fill="D8D8D8"/>
          </w:tcPr>
          <w:p>
            <w:pPr>
              <w:ind w:left="140"/>
              <w:spacing w:after="0"/>
              <w:rPr>
                <w:sz w:val="20"/>
                <w:szCs w:val="20"/>
                <w:color w:val="auto"/>
              </w:rPr>
            </w:pPr>
            <w:r>
              <w:rPr>
                <w:rFonts w:ascii="Arial" w:cs="Arial" w:eastAsia="Arial" w:hAnsi="Arial"/>
                <w:sz w:val="16"/>
                <w:szCs w:val="16"/>
                <w:color w:val="auto"/>
              </w:rPr>
              <w:t>price appreciation</w:t>
            </w:r>
          </w:p>
        </w:tc>
        <w:tc>
          <w:tcPr>
            <w:tcW w:w="2540" w:type="dxa"/>
            <w:vAlign w:val="bottom"/>
            <w:shd w:val="clear" w:color="auto" w:fill="D8D8D8"/>
          </w:tcPr>
          <w:p>
            <w:pPr>
              <w:ind w:left="140"/>
              <w:spacing w:after="0"/>
              <w:rPr>
                <w:sz w:val="20"/>
                <w:szCs w:val="20"/>
                <w:color w:val="auto"/>
              </w:rPr>
            </w:pPr>
            <w:r>
              <w:rPr>
                <w:rFonts w:ascii="Arial" w:cs="Arial" w:eastAsia="Arial" w:hAnsi="Arial"/>
                <w:sz w:val="16"/>
                <w:szCs w:val="16"/>
                <w:color w:val="auto"/>
              </w:rPr>
              <w:t>three years after grant; they</w:t>
            </w:r>
          </w:p>
        </w:tc>
        <w:tc>
          <w:tcPr>
            <w:tcW w:w="0" w:type="dxa"/>
            <w:vAlign w:val="bottom"/>
          </w:tcPr>
          <w:p>
            <w:pPr>
              <w:spacing w:after="0"/>
              <w:rPr>
                <w:sz w:val="1"/>
                <w:szCs w:val="1"/>
                <w:color w:val="auto"/>
              </w:rPr>
            </w:pPr>
          </w:p>
        </w:tc>
      </w:tr>
      <w:tr>
        <w:trPr>
          <w:trHeight w:val="189"/>
        </w:trPr>
        <w:tc>
          <w:tcPr>
            <w:tcW w:w="2840" w:type="dxa"/>
            <w:vAlign w:val="bottom"/>
            <w:tcBorders>
              <w:right w:val="single" w:sz="8" w:color="999999"/>
            </w:tcBorders>
            <w:shd w:val="clear" w:color="auto" w:fill="D8D8D8"/>
          </w:tcPr>
          <w:p>
            <w:pPr>
              <w:spacing w:after="0"/>
              <w:rPr>
                <w:sz w:val="16"/>
                <w:szCs w:val="16"/>
                <w:color w:val="auto"/>
              </w:rPr>
            </w:pPr>
          </w:p>
        </w:tc>
        <w:tc>
          <w:tcPr>
            <w:tcW w:w="3020" w:type="dxa"/>
            <w:vAlign w:val="bottom"/>
            <w:vMerge w:val="restart"/>
            <w:shd w:val="clear" w:color="auto" w:fill="D8D8D8"/>
          </w:tcPr>
          <w:p>
            <w:pPr>
              <w:jc w:val="center"/>
              <w:ind w:left="139"/>
              <w:spacing w:after="0"/>
              <w:rPr>
                <w:sz w:val="20"/>
                <w:szCs w:val="20"/>
                <w:color w:val="auto"/>
              </w:rPr>
            </w:pPr>
            <w:r>
              <w:rPr>
                <w:rFonts w:ascii="Arial" w:cs="Arial" w:eastAsia="Arial" w:hAnsi="Arial"/>
                <w:sz w:val="16"/>
                <w:szCs w:val="16"/>
                <w:color w:val="auto"/>
              </w:rPr>
              <w:t>Market Price of our Common Stock</w:t>
            </w:r>
          </w:p>
        </w:tc>
        <w:tc>
          <w:tcPr>
            <w:tcW w:w="2600" w:type="dxa"/>
            <w:vAlign w:val="bottom"/>
            <w:shd w:val="clear" w:color="auto" w:fill="D8D8D8"/>
          </w:tcPr>
          <w:p>
            <w:pPr>
              <w:ind w:left="140"/>
              <w:spacing w:after="0"/>
              <w:rPr>
                <w:sz w:val="20"/>
                <w:szCs w:val="20"/>
                <w:color w:val="auto"/>
              </w:rPr>
            </w:pPr>
            <w:r>
              <w:rPr>
                <w:rFonts w:ascii="Arial" w:cs="Arial" w:eastAsia="Arial" w:hAnsi="Arial"/>
                <w:sz w:val="16"/>
                <w:szCs w:val="16"/>
                <w:color w:val="auto"/>
              </w:rPr>
              <w:t>SSARs are not exercisable until</w:t>
            </w:r>
          </w:p>
        </w:tc>
        <w:tc>
          <w:tcPr>
            <w:tcW w:w="2540" w:type="dxa"/>
            <w:vAlign w:val="bottom"/>
            <w:shd w:val="clear" w:color="auto" w:fill="D8D8D8"/>
          </w:tcPr>
          <w:p>
            <w:pPr>
              <w:ind w:left="140"/>
              <w:spacing w:after="0"/>
              <w:rPr>
                <w:sz w:val="20"/>
                <w:szCs w:val="20"/>
                <w:color w:val="auto"/>
              </w:rPr>
            </w:pPr>
            <w:r>
              <w:rPr>
                <w:rFonts w:ascii="Arial" w:cs="Arial" w:eastAsia="Arial" w:hAnsi="Arial"/>
                <w:sz w:val="16"/>
                <w:szCs w:val="16"/>
                <w:color w:val="auto"/>
              </w:rPr>
              <w:t>remain exercisable for another</w:t>
            </w:r>
          </w:p>
        </w:tc>
        <w:tc>
          <w:tcPr>
            <w:tcW w:w="0" w:type="dxa"/>
            <w:vAlign w:val="bottom"/>
          </w:tcPr>
          <w:p>
            <w:pPr>
              <w:spacing w:after="0"/>
              <w:rPr>
                <w:sz w:val="1"/>
                <w:szCs w:val="1"/>
                <w:color w:val="auto"/>
              </w:rPr>
            </w:pPr>
          </w:p>
        </w:tc>
      </w:tr>
      <w:tr>
        <w:trPr>
          <w:trHeight w:val="100"/>
        </w:trPr>
        <w:tc>
          <w:tcPr>
            <w:tcW w:w="2840" w:type="dxa"/>
            <w:vAlign w:val="bottom"/>
            <w:tcBorders>
              <w:right w:val="single" w:sz="8" w:color="999999"/>
            </w:tcBorders>
            <w:shd w:val="clear" w:color="auto" w:fill="D8D8D8"/>
          </w:tcPr>
          <w:p>
            <w:pPr>
              <w:spacing w:after="0"/>
              <w:rPr>
                <w:sz w:val="8"/>
                <w:szCs w:val="8"/>
                <w:color w:val="auto"/>
              </w:rPr>
            </w:pPr>
          </w:p>
        </w:tc>
        <w:tc>
          <w:tcPr>
            <w:tcW w:w="3020" w:type="dxa"/>
            <w:vAlign w:val="bottom"/>
            <w:vMerge w:val="continue"/>
            <w:shd w:val="clear" w:color="auto" w:fill="D8D8D8"/>
          </w:tcPr>
          <w:p>
            <w:pPr>
              <w:spacing w:after="0"/>
              <w:rPr>
                <w:sz w:val="8"/>
                <w:szCs w:val="8"/>
                <w:color w:val="auto"/>
              </w:rPr>
            </w:pPr>
          </w:p>
        </w:tc>
        <w:tc>
          <w:tcPr>
            <w:tcW w:w="2600" w:type="dxa"/>
            <w:vAlign w:val="bottom"/>
            <w:vMerge w:val="restart"/>
            <w:shd w:val="clear" w:color="auto" w:fill="D8D8D8"/>
          </w:tcPr>
          <w:p>
            <w:pPr>
              <w:ind w:left="140"/>
              <w:spacing w:after="0"/>
              <w:rPr>
                <w:sz w:val="20"/>
                <w:szCs w:val="20"/>
                <w:color w:val="auto"/>
              </w:rPr>
            </w:pPr>
            <w:r>
              <w:rPr>
                <w:rFonts w:ascii="Arial" w:cs="Arial" w:eastAsia="Arial" w:hAnsi="Arial"/>
                <w:sz w:val="16"/>
                <w:szCs w:val="16"/>
                <w:color w:val="auto"/>
              </w:rPr>
              <w:t>three years after grant; they</w:t>
            </w:r>
          </w:p>
        </w:tc>
        <w:tc>
          <w:tcPr>
            <w:tcW w:w="2540" w:type="dxa"/>
            <w:vAlign w:val="bottom"/>
            <w:vMerge w:val="restart"/>
            <w:shd w:val="clear" w:color="auto" w:fill="D8D8D8"/>
          </w:tcPr>
          <w:p>
            <w:pPr>
              <w:ind w:left="140"/>
              <w:spacing w:after="0"/>
              <w:rPr>
                <w:sz w:val="20"/>
                <w:szCs w:val="20"/>
                <w:color w:val="auto"/>
              </w:rPr>
            </w:pPr>
            <w:r>
              <w:rPr>
                <w:rFonts w:ascii="Arial" w:cs="Arial" w:eastAsia="Arial" w:hAnsi="Arial"/>
                <w:sz w:val="16"/>
                <w:szCs w:val="16"/>
                <w:color w:val="auto"/>
              </w:rPr>
              <w:t>seven years</w:t>
            </w:r>
          </w:p>
        </w:tc>
        <w:tc>
          <w:tcPr>
            <w:tcW w:w="0" w:type="dxa"/>
            <w:vAlign w:val="bottom"/>
          </w:tcPr>
          <w:p>
            <w:pPr>
              <w:spacing w:after="0"/>
              <w:rPr>
                <w:sz w:val="1"/>
                <w:szCs w:val="1"/>
                <w:color w:val="auto"/>
              </w:rPr>
            </w:pPr>
          </w:p>
        </w:tc>
      </w:tr>
      <w:tr>
        <w:trPr>
          <w:trHeight w:val="89"/>
        </w:trPr>
        <w:tc>
          <w:tcPr>
            <w:tcW w:w="2840" w:type="dxa"/>
            <w:vAlign w:val="bottom"/>
            <w:tcBorders>
              <w:right w:val="single" w:sz="8" w:color="999999"/>
            </w:tcBorders>
            <w:shd w:val="clear" w:color="auto" w:fill="D8D8D8"/>
          </w:tcPr>
          <w:p>
            <w:pPr>
              <w:spacing w:after="0"/>
              <w:rPr>
                <w:sz w:val="7"/>
                <w:szCs w:val="7"/>
                <w:color w:val="auto"/>
              </w:rPr>
            </w:pPr>
          </w:p>
        </w:tc>
        <w:tc>
          <w:tcPr>
            <w:tcW w:w="3020" w:type="dxa"/>
            <w:vAlign w:val="bottom"/>
            <w:shd w:val="clear" w:color="auto" w:fill="D8D8D8"/>
          </w:tcPr>
          <w:p>
            <w:pPr>
              <w:spacing w:after="0"/>
              <w:rPr>
                <w:sz w:val="7"/>
                <w:szCs w:val="7"/>
                <w:color w:val="auto"/>
              </w:rPr>
            </w:pPr>
          </w:p>
        </w:tc>
        <w:tc>
          <w:tcPr>
            <w:tcW w:w="2600" w:type="dxa"/>
            <w:vAlign w:val="bottom"/>
            <w:vMerge w:val="continue"/>
            <w:shd w:val="clear" w:color="auto" w:fill="D8D8D8"/>
          </w:tcPr>
          <w:p>
            <w:pPr>
              <w:spacing w:after="0"/>
              <w:rPr>
                <w:sz w:val="7"/>
                <w:szCs w:val="7"/>
                <w:color w:val="auto"/>
              </w:rPr>
            </w:pPr>
          </w:p>
        </w:tc>
        <w:tc>
          <w:tcPr>
            <w:tcW w:w="2540" w:type="dxa"/>
            <w:vAlign w:val="bottom"/>
            <w:vMerge w:val="continue"/>
            <w:shd w:val="clear" w:color="auto" w:fill="D8D8D8"/>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840" w:type="dxa"/>
            <w:vAlign w:val="bottom"/>
            <w:tcBorders>
              <w:right w:val="single" w:sz="8" w:color="999999"/>
            </w:tcBorders>
            <w:shd w:val="clear" w:color="auto" w:fill="D8D8D8"/>
          </w:tcPr>
          <w:p>
            <w:pPr>
              <w:spacing w:after="0"/>
              <w:rPr>
                <w:sz w:val="16"/>
                <w:szCs w:val="16"/>
                <w:color w:val="auto"/>
              </w:rPr>
            </w:pPr>
          </w:p>
        </w:tc>
        <w:tc>
          <w:tcPr>
            <w:tcW w:w="3020" w:type="dxa"/>
            <w:vAlign w:val="bottom"/>
            <w:shd w:val="clear" w:color="auto" w:fill="D8D8D8"/>
          </w:tcPr>
          <w:p>
            <w:pPr>
              <w:spacing w:after="0"/>
              <w:rPr>
                <w:sz w:val="16"/>
                <w:szCs w:val="16"/>
                <w:color w:val="auto"/>
              </w:rPr>
            </w:pPr>
          </w:p>
        </w:tc>
        <w:tc>
          <w:tcPr>
            <w:tcW w:w="2600" w:type="dxa"/>
            <w:vAlign w:val="bottom"/>
            <w:shd w:val="clear" w:color="auto" w:fill="D8D8D8"/>
          </w:tcPr>
          <w:p>
            <w:pPr>
              <w:ind w:left="140"/>
              <w:spacing w:after="0"/>
              <w:rPr>
                <w:sz w:val="20"/>
                <w:szCs w:val="20"/>
                <w:color w:val="auto"/>
              </w:rPr>
            </w:pPr>
            <w:r>
              <w:rPr>
                <w:rFonts w:ascii="Arial" w:cs="Arial" w:eastAsia="Arial" w:hAnsi="Arial"/>
                <w:sz w:val="16"/>
                <w:szCs w:val="16"/>
                <w:color w:val="auto"/>
              </w:rPr>
              <w:t>remain exercisable for another</w:t>
            </w:r>
          </w:p>
        </w:tc>
        <w:tc>
          <w:tcPr>
            <w:tcW w:w="2540" w:type="dxa"/>
            <w:vAlign w:val="bottom"/>
            <w:shd w:val="clear" w:color="auto" w:fill="D8D8D8"/>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840" w:type="dxa"/>
            <w:vAlign w:val="bottom"/>
            <w:tcBorders>
              <w:bottom w:val="single" w:sz="8" w:color="D8D8D8"/>
              <w:right w:val="single" w:sz="8" w:color="999999"/>
            </w:tcBorders>
            <w:shd w:val="clear" w:color="auto" w:fill="D8D8D8"/>
          </w:tcPr>
          <w:p>
            <w:pPr>
              <w:spacing w:after="0"/>
              <w:rPr>
                <w:sz w:val="19"/>
                <w:szCs w:val="19"/>
                <w:color w:val="auto"/>
              </w:rPr>
            </w:pPr>
          </w:p>
        </w:tc>
        <w:tc>
          <w:tcPr>
            <w:tcW w:w="3020" w:type="dxa"/>
            <w:vAlign w:val="bottom"/>
            <w:tcBorders>
              <w:bottom w:val="single" w:sz="8" w:color="D8D8D8"/>
            </w:tcBorders>
            <w:shd w:val="clear" w:color="auto" w:fill="D8D8D8"/>
          </w:tcPr>
          <w:p>
            <w:pPr>
              <w:spacing w:after="0"/>
              <w:rPr>
                <w:sz w:val="19"/>
                <w:szCs w:val="19"/>
                <w:color w:val="auto"/>
              </w:rPr>
            </w:pPr>
          </w:p>
        </w:tc>
        <w:tc>
          <w:tcPr>
            <w:tcW w:w="2600" w:type="dxa"/>
            <w:vAlign w:val="bottom"/>
            <w:tcBorders>
              <w:bottom w:val="single" w:sz="8" w:color="D8D8D8"/>
            </w:tcBorders>
            <w:shd w:val="clear" w:color="auto" w:fill="D8D8D8"/>
          </w:tcPr>
          <w:p>
            <w:pPr>
              <w:ind w:left="140"/>
              <w:spacing w:after="0"/>
              <w:rPr>
                <w:sz w:val="20"/>
                <w:szCs w:val="20"/>
                <w:color w:val="auto"/>
              </w:rPr>
            </w:pPr>
            <w:r>
              <w:rPr>
                <w:rFonts w:ascii="Arial" w:cs="Arial" w:eastAsia="Arial" w:hAnsi="Arial"/>
                <w:sz w:val="16"/>
                <w:szCs w:val="16"/>
                <w:color w:val="auto"/>
              </w:rPr>
              <w:t>seven years</w:t>
            </w:r>
          </w:p>
        </w:tc>
        <w:tc>
          <w:tcPr>
            <w:tcW w:w="2540" w:type="dxa"/>
            <w:vAlign w:val="bottom"/>
            <w:tcBorders>
              <w:bottom w:val="single" w:sz="8" w:color="D8D8D8"/>
            </w:tcBorders>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840" w:type="dxa"/>
            <w:vAlign w:val="bottom"/>
            <w:tcBorders>
              <w:right w:val="single" w:sz="8" w:color="999999"/>
            </w:tcBorders>
          </w:tcPr>
          <w:p>
            <w:pPr>
              <w:ind w:left="220"/>
              <w:spacing w:after="0"/>
              <w:rPr>
                <w:sz w:val="20"/>
                <w:szCs w:val="20"/>
                <w:color w:val="auto"/>
              </w:rPr>
            </w:pPr>
            <w:r>
              <w:rPr>
                <w:rFonts w:ascii="Arial" w:cs="Arial" w:eastAsia="Arial" w:hAnsi="Arial"/>
                <w:sz w:val="16"/>
                <w:szCs w:val="16"/>
                <w:b w:val="1"/>
                <w:bCs w:val="1"/>
                <w:color w:val="auto"/>
              </w:rPr>
              <w:t>RESTRICTED STOCK</w:t>
            </w:r>
          </w:p>
        </w:tc>
        <w:tc>
          <w:tcPr>
            <w:tcW w:w="3020" w:type="dxa"/>
            <w:vAlign w:val="bottom"/>
            <w:vMerge w:val="restart"/>
          </w:tcPr>
          <w:p>
            <w:pPr>
              <w:jc w:val="center"/>
              <w:ind w:left="139"/>
              <w:spacing w:after="0"/>
              <w:rPr>
                <w:sz w:val="20"/>
                <w:szCs w:val="20"/>
                <w:color w:val="auto"/>
              </w:rPr>
            </w:pPr>
            <w:r>
              <w:rPr>
                <w:rFonts w:ascii="Arial" w:cs="Arial" w:eastAsia="Arial" w:hAnsi="Arial"/>
                <w:sz w:val="16"/>
                <w:szCs w:val="16"/>
                <w:color w:val="auto"/>
              </w:rPr>
              <w:t>Market Price of our Common Stock</w:t>
            </w:r>
          </w:p>
        </w:tc>
        <w:tc>
          <w:tcPr>
            <w:tcW w:w="2600" w:type="dxa"/>
            <w:vAlign w:val="bottom"/>
          </w:tcPr>
          <w:p>
            <w:pPr>
              <w:ind w:left="140"/>
              <w:spacing w:after="0"/>
              <w:rPr>
                <w:sz w:val="20"/>
                <w:szCs w:val="20"/>
                <w:color w:val="auto"/>
              </w:rPr>
            </w:pPr>
            <w:r>
              <w:rPr>
                <w:rFonts w:ascii="Arial" w:cs="Arial" w:eastAsia="Arial" w:hAnsi="Arial"/>
                <w:sz w:val="16"/>
                <w:szCs w:val="16"/>
                <w:color w:val="auto"/>
              </w:rPr>
              <w:t>Retention and full alignment with</w:t>
            </w:r>
          </w:p>
        </w:tc>
        <w:tc>
          <w:tcPr>
            <w:tcW w:w="2540" w:type="dxa"/>
            <w:vAlign w:val="bottom"/>
          </w:tcPr>
          <w:p>
            <w:pPr>
              <w:ind w:left="140"/>
              <w:spacing w:after="0"/>
              <w:rPr>
                <w:sz w:val="20"/>
                <w:szCs w:val="20"/>
                <w:color w:val="auto"/>
              </w:rPr>
            </w:pPr>
            <w:r>
              <w:rPr>
                <w:rFonts w:ascii="Arial" w:cs="Arial" w:eastAsia="Arial" w:hAnsi="Arial"/>
                <w:sz w:val="16"/>
                <w:szCs w:val="16"/>
                <w:color w:val="auto"/>
              </w:rPr>
              <w:t>Awards vest ratably over three</w:t>
            </w:r>
          </w:p>
        </w:tc>
        <w:tc>
          <w:tcPr>
            <w:tcW w:w="0" w:type="dxa"/>
            <w:vAlign w:val="bottom"/>
          </w:tcPr>
          <w:p>
            <w:pPr>
              <w:spacing w:after="0"/>
              <w:rPr>
                <w:sz w:val="1"/>
                <w:szCs w:val="1"/>
                <w:color w:val="auto"/>
              </w:rPr>
            </w:pPr>
          </w:p>
        </w:tc>
      </w:tr>
      <w:tr>
        <w:trPr>
          <w:trHeight w:val="237"/>
        </w:trPr>
        <w:tc>
          <w:tcPr>
            <w:tcW w:w="2840" w:type="dxa"/>
            <w:vAlign w:val="bottom"/>
            <w:tcBorders>
              <w:right w:val="single" w:sz="8" w:color="999999"/>
            </w:tcBorders>
          </w:tcPr>
          <w:p>
            <w:pPr>
              <w:ind w:left="220"/>
              <w:spacing w:after="0"/>
              <w:rPr>
                <w:sz w:val="20"/>
                <w:szCs w:val="20"/>
                <w:color w:val="auto"/>
              </w:rPr>
            </w:pPr>
            <w:r>
              <w:rPr>
                <w:rFonts w:ascii="Arial" w:cs="Arial" w:eastAsia="Arial" w:hAnsi="Arial"/>
                <w:sz w:val="16"/>
                <w:szCs w:val="16"/>
                <w:b w:val="1"/>
                <w:bCs w:val="1"/>
                <w:color w:val="auto"/>
              </w:rPr>
              <w:t>UNITS</w:t>
            </w:r>
          </w:p>
        </w:tc>
        <w:tc>
          <w:tcPr>
            <w:tcW w:w="3020" w:type="dxa"/>
            <w:vAlign w:val="bottom"/>
            <w:vMerge w:val="continue"/>
          </w:tcPr>
          <w:p>
            <w:pPr>
              <w:spacing w:after="0"/>
              <w:rPr>
                <w:sz w:val="20"/>
                <w:szCs w:val="20"/>
                <w:color w:val="auto"/>
              </w:rPr>
            </w:pPr>
          </w:p>
        </w:tc>
        <w:tc>
          <w:tcPr>
            <w:tcW w:w="2600" w:type="dxa"/>
            <w:vAlign w:val="bottom"/>
          </w:tcPr>
          <w:p>
            <w:pPr>
              <w:ind w:left="140"/>
              <w:spacing w:after="0"/>
              <w:rPr>
                <w:sz w:val="20"/>
                <w:szCs w:val="20"/>
                <w:color w:val="auto"/>
              </w:rPr>
            </w:pPr>
            <w:r>
              <w:rPr>
                <w:rFonts w:ascii="Arial" w:cs="Arial" w:eastAsia="Arial" w:hAnsi="Arial"/>
                <w:sz w:val="16"/>
                <w:szCs w:val="16"/>
                <w:color w:val="auto"/>
              </w:rPr>
              <w:t>the shareholder experience</w:t>
            </w:r>
          </w:p>
        </w:tc>
        <w:tc>
          <w:tcPr>
            <w:tcW w:w="2540" w:type="dxa"/>
            <w:vAlign w:val="bottom"/>
          </w:tcPr>
          <w:p>
            <w:pPr>
              <w:ind w:left="140"/>
              <w:spacing w:after="0"/>
              <w:rPr>
                <w:sz w:val="20"/>
                <w:szCs w:val="20"/>
                <w:color w:val="auto"/>
              </w:rPr>
            </w:pPr>
            <w:r>
              <w:rPr>
                <w:rFonts w:ascii="Arial" w:cs="Arial" w:eastAsia="Arial" w:hAnsi="Arial"/>
                <w:sz w:val="16"/>
                <w:szCs w:val="16"/>
                <w:color w:val="auto"/>
              </w:rPr>
              <w:t>years</w:t>
            </w:r>
          </w:p>
        </w:tc>
        <w:tc>
          <w:tcPr>
            <w:tcW w:w="0" w:type="dxa"/>
            <w:vAlign w:val="bottom"/>
          </w:tcPr>
          <w:p>
            <w:pPr>
              <w:spacing w:after="0"/>
              <w:rPr>
                <w:sz w:val="1"/>
                <w:szCs w:val="1"/>
                <w:color w:val="auto"/>
              </w:rPr>
            </w:pPr>
          </w:p>
        </w:tc>
      </w:tr>
      <w:tr>
        <w:trPr>
          <w:trHeight w:val="46"/>
        </w:trPr>
        <w:tc>
          <w:tcPr>
            <w:tcW w:w="2840" w:type="dxa"/>
            <w:vAlign w:val="bottom"/>
            <w:tcBorders>
              <w:right w:val="single" w:sz="8" w:color="999999"/>
            </w:tcBorders>
          </w:tcPr>
          <w:p>
            <w:pPr>
              <w:spacing w:after="0"/>
              <w:rPr>
                <w:sz w:val="4"/>
                <w:szCs w:val="4"/>
                <w:color w:val="auto"/>
              </w:rPr>
            </w:pPr>
          </w:p>
        </w:tc>
        <w:tc>
          <w:tcPr>
            <w:tcW w:w="3020" w:type="dxa"/>
            <w:vAlign w:val="bottom"/>
          </w:tcPr>
          <w:p>
            <w:pPr>
              <w:spacing w:after="0"/>
              <w:rPr>
                <w:sz w:val="4"/>
                <w:szCs w:val="4"/>
                <w:color w:val="auto"/>
              </w:rPr>
            </w:pPr>
          </w:p>
        </w:tc>
        <w:tc>
          <w:tcPr>
            <w:tcW w:w="2600" w:type="dxa"/>
            <w:vAlign w:val="bottom"/>
          </w:tcPr>
          <w:p>
            <w:pPr>
              <w:spacing w:after="0"/>
              <w:rPr>
                <w:sz w:val="4"/>
                <w:szCs w:val="4"/>
                <w:color w:val="auto"/>
              </w:rPr>
            </w:pPr>
          </w:p>
        </w:tc>
        <w:tc>
          <w:tcPr>
            <w:tcW w:w="2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840" w:type="dxa"/>
            <w:vAlign w:val="bottom"/>
            <w:tcBorders>
              <w:right w:val="single" w:sz="8" w:color="999999"/>
            </w:tcBorders>
            <w:shd w:val="clear" w:color="auto" w:fill="D8D8D8"/>
          </w:tcPr>
          <w:p>
            <w:pPr>
              <w:ind w:left="220"/>
              <w:spacing w:after="0"/>
              <w:rPr>
                <w:sz w:val="20"/>
                <w:szCs w:val="20"/>
                <w:color w:val="auto"/>
              </w:rPr>
            </w:pPr>
            <w:r>
              <w:rPr>
                <w:rFonts w:ascii="Arial" w:cs="Arial" w:eastAsia="Arial" w:hAnsi="Arial"/>
                <w:sz w:val="16"/>
                <w:szCs w:val="16"/>
                <w:b w:val="1"/>
                <w:bCs w:val="1"/>
                <w:color w:val="auto"/>
              </w:rPr>
              <w:t>PERFORMANCE</w:t>
            </w:r>
          </w:p>
        </w:tc>
        <w:tc>
          <w:tcPr>
            <w:tcW w:w="3020" w:type="dxa"/>
            <w:vAlign w:val="bottom"/>
            <w:shd w:val="clear" w:color="auto" w:fill="D8D8D8"/>
          </w:tcPr>
          <w:p>
            <w:pPr>
              <w:jc w:val="center"/>
              <w:ind w:left="139"/>
              <w:spacing w:after="0"/>
              <w:rPr>
                <w:sz w:val="20"/>
                <w:szCs w:val="20"/>
                <w:color w:val="auto"/>
              </w:rPr>
            </w:pPr>
            <w:r>
              <w:rPr>
                <w:rFonts w:ascii="Arial" w:cs="Arial" w:eastAsia="Arial" w:hAnsi="Arial"/>
                <w:sz w:val="16"/>
                <w:szCs w:val="16"/>
                <w:color w:val="auto"/>
              </w:rPr>
              <w:t>iTSR (EBITDA growth</w:t>
            </w:r>
          </w:p>
        </w:tc>
        <w:tc>
          <w:tcPr>
            <w:tcW w:w="2600" w:type="dxa"/>
            <w:vAlign w:val="bottom"/>
            <w:shd w:val="clear" w:color="auto" w:fill="D8D8D8"/>
          </w:tcPr>
          <w:p>
            <w:pPr>
              <w:ind w:left="140"/>
              <w:spacing w:after="0"/>
              <w:rPr>
                <w:sz w:val="20"/>
                <w:szCs w:val="20"/>
                <w:color w:val="auto"/>
              </w:rPr>
            </w:pPr>
            <w:r>
              <w:rPr>
                <w:rFonts w:ascii="Arial" w:cs="Arial" w:eastAsia="Arial" w:hAnsi="Arial"/>
                <w:sz w:val="16"/>
                <w:szCs w:val="16"/>
                <w:color w:val="auto"/>
              </w:rPr>
              <w:t>To focus executives on core</w:t>
            </w:r>
          </w:p>
        </w:tc>
        <w:tc>
          <w:tcPr>
            <w:tcW w:w="2540" w:type="dxa"/>
            <w:vAlign w:val="bottom"/>
            <w:shd w:val="clear" w:color="auto" w:fill="D8D8D8"/>
          </w:tcPr>
          <w:p>
            <w:pPr>
              <w:ind w:left="140"/>
              <w:spacing w:after="0"/>
              <w:rPr>
                <w:sz w:val="20"/>
                <w:szCs w:val="20"/>
                <w:color w:val="auto"/>
              </w:rPr>
            </w:pPr>
            <w:r>
              <w:rPr>
                <w:rFonts w:ascii="Arial" w:cs="Arial" w:eastAsia="Arial" w:hAnsi="Arial"/>
                <w:sz w:val="16"/>
                <w:szCs w:val="16"/>
                <w:color w:val="auto"/>
              </w:rPr>
              <w:t>Three calendar years</w:t>
            </w:r>
          </w:p>
        </w:tc>
        <w:tc>
          <w:tcPr>
            <w:tcW w:w="0" w:type="dxa"/>
            <w:vAlign w:val="bottom"/>
          </w:tcPr>
          <w:p>
            <w:pPr>
              <w:spacing w:after="0"/>
              <w:rPr>
                <w:sz w:val="1"/>
                <w:szCs w:val="1"/>
                <w:color w:val="auto"/>
              </w:rPr>
            </w:pPr>
          </w:p>
        </w:tc>
      </w:tr>
      <w:tr>
        <w:trPr>
          <w:trHeight w:val="231"/>
        </w:trPr>
        <w:tc>
          <w:tcPr>
            <w:tcW w:w="2840" w:type="dxa"/>
            <w:vAlign w:val="bottom"/>
            <w:tcBorders>
              <w:right w:val="single" w:sz="8" w:color="999999"/>
            </w:tcBorders>
            <w:shd w:val="clear" w:color="auto" w:fill="D8D8D8"/>
          </w:tcPr>
          <w:p>
            <w:pPr>
              <w:ind w:left="220"/>
              <w:spacing w:after="0"/>
              <w:rPr>
                <w:sz w:val="20"/>
                <w:szCs w:val="20"/>
                <w:color w:val="auto"/>
              </w:rPr>
            </w:pPr>
            <w:r>
              <w:rPr>
                <w:rFonts w:ascii="Arial" w:cs="Arial" w:eastAsia="Arial" w:hAnsi="Arial"/>
                <w:sz w:val="16"/>
                <w:szCs w:val="16"/>
                <w:b w:val="1"/>
                <w:bCs w:val="1"/>
                <w:color w:val="auto"/>
              </w:rPr>
              <w:t>SHARES</w:t>
            </w:r>
          </w:p>
        </w:tc>
        <w:tc>
          <w:tcPr>
            <w:tcW w:w="3020" w:type="dxa"/>
            <w:vAlign w:val="bottom"/>
            <w:shd w:val="clear" w:color="auto" w:fill="D8D8D8"/>
          </w:tcPr>
          <w:p>
            <w:pPr>
              <w:jc w:val="center"/>
              <w:ind w:left="139"/>
              <w:spacing w:after="0"/>
              <w:rPr>
                <w:sz w:val="20"/>
                <w:szCs w:val="20"/>
                <w:color w:val="auto"/>
              </w:rPr>
            </w:pPr>
            <w:r>
              <w:rPr>
                <w:rFonts w:ascii="Arial" w:cs="Arial" w:eastAsia="Arial" w:hAnsi="Arial"/>
                <w:sz w:val="16"/>
                <w:szCs w:val="16"/>
                <w:color w:val="auto"/>
              </w:rPr>
              <w:t>and cash flow</w:t>
            </w:r>
          </w:p>
        </w:tc>
        <w:tc>
          <w:tcPr>
            <w:tcW w:w="2600" w:type="dxa"/>
            <w:vAlign w:val="bottom"/>
            <w:shd w:val="clear" w:color="auto" w:fill="D8D8D8"/>
          </w:tcPr>
          <w:p>
            <w:pPr>
              <w:ind w:left="140"/>
              <w:spacing w:after="0"/>
              <w:rPr>
                <w:sz w:val="20"/>
                <w:szCs w:val="20"/>
                <w:color w:val="auto"/>
              </w:rPr>
            </w:pPr>
            <w:r>
              <w:rPr>
                <w:rFonts w:ascii="Arial" w:cs="Arial" w:eastAsia="Arial" w:hAnsi="Arial"/>
                <w:sz w:val="16"/>
                <w:szCs w:val="16"/>
                <w:color w:val="auto"/>
              </w:rPr>
              <w:t>enterprise value creation</w:t>
            </w:r>
          </w:p>
        </w:tc>
        <w:tc>
          <w:tcPr>
            <w:tcW w:w="2540" w:type="dxa"/>
            <w:vAlign w:val="bottom"/>
            <w:shd w:val="clear" w:color="auto" w:fill="D8D8D8"/>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840" w:type="dxa"/>
            <w:vAlign w:val="bottom"/>
            <w:tcBorders>
              <w:right w:val="single" w:sz="8" w:color="999999"/>
            </w:tcBorders>
            <w:shd w:val="clear" w:color="auto" w:fill="D8D8D8"/>
          </w:tcPr>
          <w:p>
            <w:pPr>
              <w:spacing w:after="0"/>
              <w:rPr>
                <w:sz w:val="16"/>
                <w:szCs w:val="16"/>
                <w:color w:val="auto"/>
              </w:rPr>
            </w:pPr>
          </w:p>
        </w:tc>
        <w:tc>
          <w:tcPr>
            <w:tcW w:w="3020" w:type="dxa"/>
            <w:vAlign w:val="bottom"/>
            <w:shd w:val="clear" w:color="auto" w:fill="D8D8D8"/>
          </w:tcPr>
          <w:p>
            <w:pPr>
              <w:jc w:val="center"/>
              <w:ind w:left="159"/>
              <w:spacing w:after="0"/>
              <w:rPr>
                <w:sz w:val="20"/>
                <w:szCs w:val="20"/>
                <w:color w:val="auto"/>
              </w:rPr>
            </w:pPr>
            <w:r>
              <w:rPr>
                <w:rFonts w:ascii="Arial" w:cs="Arial" w:eastAsia="Arial" w:hAnsi="Arial"/>
                <w:sz w:val="16"/>
                <w:szCs w:val="16"/>
                <w:color w:val="auto"/>
              </w:rPr>
              <w:t>generation)</w:t>
            </w:r>
          </w:p>
        </w:tc>
        <w:tc>
          <w:tcPr>
            <w:tcW w:w="2600" w:type="dxa"/>
            <w:vAlign w:val="bottom"/>
            <w:shd w:val="clear" w:color="auto" w:fill="D8D8D8"/>
          </w:tcPr>
          <w:p>
            <w:pPr>
              <w:spacing w:after="0"/>
              <w:rPr>
                <w:sz w:val="16"/>
                <w:szCs w:val="16"/>
                <w:color w:val="auto"/>
              </w:rPr>
            </w:pPr>
          </w:p>
        </w:tc>
        <w:tc>
          <w:tcPr>
            <w:tcW w:w="2540" w:type="dxa"/>
            <w:vAlign w:val="bottom"/>
            <w:shd w:val="clear" w:color="auto" w:fill="D8D8D8"/>
          </w:tcPr>
          <w:p>
            <w:pPr>
              <w:spacing w:after="0"/>
              <w:rPr>
                <w:sz w:val="16"/>
                <w:szCs w:val="16"/>
                <w:color w:val="auto"/>
              </w:rPr>
            </w:pPr>
          </w:p>
        </w:tc>
        <w:tc>
          <w:tcPr>
            <w:tcW w:w="0" w:type="dxa"/>
            <w:vAlign w:val="bottom"/>
          </w:tcPr>
          <w:p>
            <w:pPr>
              <w:spacing w:after="0"/>
              <w:rPr>
                <w:sz w:val="1"/>
                <w:szCs w:val="1"/>
                <w:color w:val="auto"/>
              </w:rPr>
            </w:pPr>
          </w:p>
        </w:tc>
      </w:tr>
      <w:tr>
        <w:trPr>
          <w:trHeight w:val="87"/>
        </w:trPr>
        <w:tc>
          <w:tcPr>
            <w:tcW w:w="2840" w:type="dxa"/>
            <w:vAlign w:val="bottom"/>
            <w:tcBorders>
              <w:right w:val="single" w:sz="8" w:color="999999"/>
            </w:tcBorders>
            <w:shd w:val="clear" w:color="auto" w:fill="D8D8D8"/>
          </w:tcPr>
          <w:p>
            <w:pPr>
              <w:spacing w:after="0"/>
              <w:rPr>
                <w:sz w:val="7"/>
                <w:szCs w:val="7"/>
                <w:color w:val="auto"/>
              </w:rPr>
            </w:pPr>
          </w:p>
        </w:tc>
        <w:tc>
          <w:tcPr>
            <w:tcW w:w="3020" w:type="dxa"/>
            <w:vAlign w:val="bottom"/>
            <w:shd w:val="clear" w:color="auto" w:fill="D8D8D8"/>
          </w:tcPr>
          <w:p>
            <w:pPr>
              <w:spacing w:after="0"/>
              <w:rPr>
                <w:sz w:val="7"/>
                <w:szCs w:val="7"/>
                <w:color w:val="auto"/>
              </w:rPr>
            </w:pPr>
          </w:p>
        </w:tc>
        <w:tc>
          <w:tcPr>
            <w:tcW w:w="2600" w:type="dxa"/>
            <w:vAlign w:val="bottom"/>
            <w:shd w:val="clear" w:color="auto" w:fill="D8D8D8"/>
          </w:tcPr>
          <w:p>
            <w:pPr>
              <w:spacing w:after="0"/>
              <w:rPr>
                <w:sz w:val="7"/>
                <w:szCs w:val="7"/>
                <w:color w:val="auto"/>
              </w:rPr>
            </w:pPr>
          </w:p>
        </w:tc>
        <w:tc>
          <w:tcPr>
            <w:tcW w:w="2540" w:type="dxa"/>
            <w:vAlign w:val="bottom"/>
            <w:shd w:val="clear" w:color="auto" w:fill="D8D8D8"/>
          </w:tcPr>
          <w:p>
            <w:pPr>
              <w:spacing w:after="0"/>
              <w:rPr>
                <w:sz w:val="7"/>
                <w:szCs w:val="7"/>
                <w:color w:val="auto"/>
              </w:rPr>
            </w:pPr>
          </w:p>
        </w:tc>
        <w:tc>
          <w:tcPr>
            <w:tcW w:w="0" w:type="dxa"/>
            <w:vAlign w:val="bottom"/>
          </w:tcPr>
          <w:p>
            <w:pPr>
              <w:spacing w:after="0"/>
              <w:rPr>
                <w:sz w:val="1"/>
                <w:szCs w:val="1"/>
                <w:color w:val="auto"/>
              </w:rPr>
            </w:pPr>
          </w:p>
        </w:tc>
      </w:tr>
      <w:tr>
        <w:trPr>
          <w:trHeight w:val="412"/>
        </w:trPr>
        <w:tc>
          <w:tcPr>
            <w:tcW w:w="2840" w:type="dxa"/>
            <w:vAlign w:val="bottom"/>
          </w:tcPr>
          <w:p>
            <w:pPr>
              <w:spacing w:after="0"/>
              <w:rPr>
                <w:sz w:val="20"/>
                <w:szCs w:val="20"/>
                <w:color w:val="auto"/>
              </w:rPr>
            </w:pPr>
            <w:r>
              <w:rPr>
                <w:rFonts w:ascii="Arial" w:cs="Arial" w:eastAsia="Arial" w:hAnsi="Arial"/>
                <w:sz w:val="16"/>
                <w:szCs w:val="16"/>
                <w:i w:val="1"/>
                <w:iCs w:val="1"/>
                <w:color w:val="32406B"/>
              </w:rPr>
              <w:t>Long-Term Incentive Plan Mix</w:t>
            </w:r>
          </w:p>
        </w:tc>
        <w:tc>
          <w:tcPr>
            <w:tcW w:w="30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1033145</wp:posOffset>
            </wp:positionH>
            <wp:positionV relativeFrom="paragraph">
              <wp:posOffset>149225</wp:posOffset>
            </wp:positionV>
            <wp:extent cx="5199380" cy="1816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99380" cy="1816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7380"/>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47</w:t>
      </w:r>
    </w:p>
    <w:p>
      <w:pPr>
        <w:sectPr>
          <w:pgSz w:w="11900" w:h="16838" w:orient="portrait"/>
          <w:cols w:equalWidth="0" w:num="1">
            <w:col w:w="11220"/>
          </w:cols>
          <w:pgMar w:left="240" w:top="459" w:right="4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COMPENSATION DISCUSSION AND ANALYSIS</w:t>
      </w:r>
    </w:p>
    <w:p>
      <w:pPr>
        <w:spacing w:after="0" w:line="157" w:lineRule="exact"/>
        <w:rPr>
          <w:sz w:val="20"/>
          <w:szCs w:val="20"/>
          <w:color w:val="auto"/>
        </w:rPr>
      </w:pPr>
    </w:p>
    <w:p>
      <w:pPr>
        <w:ind w:left="220"/>
        <w:spacing w:after="0"/>
        <w:rPr>
          <w:sz w:val="20"/>
          <w:szCs w:val="20"/>
          <w:color w:val="auto"/>
        </w:rPr>
      </w:pPr>
      <w:r>
        <w:rPr>
          <w:rFonts w:ascii="Arial" w:cs="Arial" w:eastAsia="Arial" w:hAnsi="Arial"/>
          <w:sz w:val="16"/>
          <w:szCs w:val="16"/>
          <w:i w:val="1"/>
          <w:iCs w:val="1"/>
          <w:color w:val="32406B"/>
        </w:rPr>
        <w:t>Performance Shares &amp; iTSR</w:t>
      </w:r>
    </w:p>
    <w:p>
      <w:pPr>
        <w:spacing w:after="0" w:line="102" w:lineRule="exact"/>
        <w:rPr>
          <w:sz w:val="20"/>
          <w:szCs w:val="20"/>
          <w:color w:val="auto"/>
        </w:rPr>
      </w:pPr>
    </w:p>
    <w:p>
      <w:pPr>
        <w:ind w:left="220"/>
        <w:spacing w:after="0" w:line="253" w:lineRule="auto"/>
        <w:rPr>
          <w:sz w:val="20"/>
          <w:szCs w:val="20"/>
          <w:color w:val="auto"/>
        </w:rPr>
      </w:pPr>
      <w:r>
        <w:rPr>
          <w:rFonts w:ascii="Arial" w:cs="Arial" w:eastAsia="Arial" w:hAnsi="Arial"/>
          <w:sz w:val="16"/>
          <w:szCs w:val="16"/>
          <w:color w:val="auto"/>
        </w:rPr>
        <w:t>The Compensation Committee believes our iTSR measure focuses executives on key financial and strategic drivers of long-term shareholder value. iTSR, by definition, is a measure of value creation for our business segments and operating companies. The key components of iTSR are EBITDA Growth and Free Cash Flow. Based on rigorous testing over time, the Compensation Committee continues to believe iTSR is:</w:t>
      </w:r>
    </w:p>
    <w:p>
      <w:pPr>
        <w:spacing w:after="0" w:line="201" w:lineRule="exact"/>
        <w:rPr>
          <w:sz w:val="20"/>
          <w:szCs w:val="20"/>
          <w:color w:val="auto"/>
        </w:rPr>
      </w:pPr>
    </w:p>
    <w:p>
      <w:pPr>
        <w:ind w:left="860" w:hanging="326"/>
        <w:spacing w:after="0"/>
        <w:tabs>
          <w:tab w:leader="none" w:pos="8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highly correlated with long-term shareholder value creation for a multi-industry company such as Dover,</w:t>
      </w:r>
    </w:p>
    <w:p>
      <w:pPr>
        <w:spacing w:after="0" w:line="85" w:lineRule="exact"/>
        <w:rPr>
          <w:rFonts w:ascii="Arial" w:cs="Arial" w:eastAsia="Arial" w:hAnsi="Arial"/>
          <w:sz w:val="16"/>
          <w:szCs w:val="16"/>
          <w:color w:val="auto"/>
        </w:rPr>
      </w:pPr>
    </w:p>
    <w:p>
      <w:pPr>
        <w:ind w:left="860" w:hanging="326"/>
        <w:spacing w:after="0"/>
        <w:tabs>
          <w:tab w:leader="none" w:pos="8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highly correlated with the combination of return on invested capital (“ROIC”) and organic growth, and</w:t>
      </w:r>
    </w:p>
    <w:p>
      <w:pPr>
        <w:spacing w:after="0" w:line="85" w:lineRule="exact"/>
        <w:rPr>
          <w:rFonts w:ascii="Arial" w:cs="Arial" w:eastAsia="Arial" w:hAnsi="Arial"/>
          <w:sz w:val="16"/>
          <w:szCs w:val="16"/>
          <w:color w:val="auto"/>
        </w:rPr>
      </w:pPr>
    </w:p>
    <w:p>
      <w:pPr>
        <w:ind w:left="860" w:right="580" w:hanging="326"/>
        <w:spacing w:after="0" w:line="260" w:lineRule="auto"/>
        <w:tabs>
          <w:tab w:leader="none" w:pos="8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more effective in driving behaviors than relative TSR because it measures outcomes that are more within management’s control, such as revenue growth (organic and acquisition), and margin improvements.</w:t>
      </w:r>
    </w:p>
    <w:p>
      <w:pPr>
        <w:spacing w:after="0" w:line="134" w:lineRule="exact"/>
        <w:rPr>
          <w:sz w:val="20"/>
          <w:szCs w:val="20"/>
          <w:color w:val="auto"/>
        </w:rPr>
      </w:pPr>
    </w:p>
    <w:p>
      <w:pPr>
        <w:jc w:val="both"/>
        <w:ind w:left="220" w:right="160"/>
        <w:spacing w:after="0" w:line="256" w:lineRule="auto"/>
        <w:rPr>
          <w:sz w:val="20"/>
          <w:szCs w:val="20"/>
          <w:color w:val="auto"/>
        </w:rPr>
      </w:pPr>
      <w:r>
        <w:rPr>
          <w:rFonts w:ascii="Arial" w:cs="Arial" w:eastAsia="Arial" w:hAnsi="Arial"/>
          <w:sz w:val="16"/>
          <w:szCs w:val="16"/>
          <w:b w:val="1"/>
          <w:bCs w:val="1"/>
          <w:i w:val="1"/>
          <w:iCs w:val="1"/>
          <w:color w:val="auto"/>
        </w:rPr>
        <w:t xml:space="preserve">Definition of iTSR. </w:t>
      </w:r>
      <w:r>
        <w:rPr>
          <w:rFonts w:ascii="Arial" w:cs="Arial" w:eastAsia="Arial" w:hAnsi="Arial"/>
          <w:sz w:val="16"/>
          <w:szCs w:val="16"/>
          <w:color w:val="auto"/>
        </w:rPr>
        <w:t>iTSR measures the change in enterprise value over a three-year period. EBITDA is assigned a multiple based on prevailing market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multiples among industrial companies. iTSR tracks the change in that EBITDA-based value, along with Free Cash Flow generated during the three-year performance period. The two together work similarly to an external TSR measure: the EBITDA-based value becomes a proxy for share price, and Free Cash Flow becomes a proxy for dividends. Further, EBITDA Growth and Free Cash Flow together focus our business leaders on growing our business, investing in continuing operations, and shaping our portfolio with capital-effective acquisitions and dispositions.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2206625</wp:posOffset>
            </wp:positionH>
            <wp:positionV relativeFrom="paragraph">
              <wp:posOffset>142240</wp:posOffset>
            </wp:positionV>
            <wp:extent cx="2844165" cy="173037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844165" cy="1730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860" w:right="580" w:hanging="326"/>
        <w:spacing w:after="0" w:line="266" w:lineRule="auto"/>
        <w:tabs>
          <w:tab w:leader="none" w:pos="860" w:val="left"/>
        </w:tabs>
        <w:numPr>
          <w:ilvl w:val="0"/>
          <w:numId w:val="43"/>
        </w:numPr>
        <w:rPr>
          <w:rFonts w:ascii="Arial" w:cs="Arial" w:eastAsia="Arial" w:hAnsi="Arial"/>
          <w:sz w:val="16"/>
          <w:szCs w:val="16"/>
          <w:color w:val="auto"/>
        </w:rPr>
      </w:pPr>
      <w:r>
        <w:rPr>
          <w:rFonts w:ascii="Arial" w:cs="Arial" w:eastAsia="Arial" w:hAnsi="Arial"/>
          <w:sz w:val="16"/>
          <w:szCs w:val="16"/>
          <w:b w:val="1"/>
          <w:bCs w:val="1"/>
          <w:color w:val="auto"/>
        </w:rPr>
        <w:t xml:space="preserve">EBITDA Growth </w:t>
      </w:r>
      <w:r>
        <w:rPr>
          <w:rFonts w:ascii="Arial" w:cs="Arial" w:eastAsia="Arial" w:hAnsi="Arial"/>
          <w:sz w:val="16"/>
          <w:szCs w:val="16"/>
          <w:color w:val="auto"/>
        </w:rPr>
        <w:t>— We believe that EBITDA is useful for purposes of evaluating our ongoing operating profitability as it excludes the</w:t>
      </w:r>
      <w:r>
        <w:rPr>
          <w:rFonts w:ascii="Arial" w:cs="Arial" w:eastAsia="Arial" w:hAnsi="Arial"/>
          <w:sz w:val="16"/>
          <w:szCs w:val="16"/>
          <w:b w:val="1"/>
          <w:bCs w:val="1"/>
          <w:color w:val="auto"/>
        </w:rPr>
        <w:t xml:space="preserve"> </w:t>
      </w:r>
      <w:r>
        <w:rPr>
          <w:rFonts w:ascii="Arial" w:cs="Arial" w:eastAsia="Arial" w:hAnsi="Arial"/>
          <w:sz w:val="16"/>
          <w:szCs w:val="16"/>
          <w:color w:val="auto"/>
        </w:rPr>
        <w:t>depreciation and amortization expense related primarily to capital expenditures and acquisitions that occurred in prior years, as well as in evaluating our operating performance in relation to our competitors.</w:t>
      </w:r>
    </w:p>
    <w:p>
      <w:pPr>
        <w:spacing w:after="0" w:line="35" w:lineRule="exact"/>
        <w:rPr>
          <w:rFonts w:ascii="Arial" w:cs="Arial" w:eastAsia="Arial" w:hAnsi="Arial"/>
          <w:sz w:val="16"/>
          <w:szCs w:val="16"/>
          <w:color w:val="auto"/>
        </w:rPr>
      </w:pPr>
    </w:p>
    <w:p>
      <w:pPr>
        <w:jc w:val="both"/>
        <w:ind w:left="860" w:right="500" w:hanging="326"/>
        <w:spacing w:after="0" w:line="259" w:lineRule="auto"/>
        <w:tabs>
          <w:tab w:leader="none" w:pos="860" w:val="left"/>
        </w:tabs>
        <w:numPr>
          <w:ilvl w:val="0"/>
          <w:numId w:val="43"/>
        </w:numPr>
        <w:rPr>
          <w:rFonts w:ascii="Arial" w:cs="Arial" w:eastAsia="Arial" w:hAnsi="Arial"/>
          <w:sz w:val="16"/>
          <w:szCs w:val="16"/>
          <w:color w:val="auto"/>
        </w:rPr>
      </w:pPr>
      <w:r>
        <w:rPr>
          <w:rFonts w:ascii="Arial" w:cs="Arial" w:eastAsia="Arial" w:hAnsi="Arial"/>
          <w:sz w:val="16"/>
          <w:szCs w:val="16"/>
          <w:b w:val="1"/>
          <w:bCs w:val="1"/>
          <w:color w:val="auto"/>
        </w:rPr>
        <w:t xml:space="preserve">Free Cash Flow </w:t>
      </w:r>
      <w:r>
        <w:rPr>
          <w:rFonts w:ascii="Arial" w:cs="Arial" w:eastAsia="Arial" w:hAnsi="Arial"/>
          <w:sz w:val="16"/>
          <w:szCs w:val="16"/>
          <w:color w:val="auto"/>
        </w:rPr>
        <w:t>— Free Cash Flow is operating cash flow less capital spending, less cash used for acquisitions, plus cash received from</w:t>
      </w:r>
      <w:r>
        <w:rPr>
          <w:rFonts w:ascii="Arial" w:cs="Arial" w:eastAsia="Arial" w:hAnsi="Arial"/>
          <w:sz w:val="16"/>
          <w:szCs w:val="16"/>
          <w:b w:val="1"/>
          <w:bCs w:val="1"/>
          <w:color w:val="auto"/>
        </w:rPr>
        <w:t xml:space="preserve"> </w:t>
      </w:r>
      <w:r>
        <w:rPr>
          <w:rFonts w:ascii="Arial" w:cs="Arial" w:eastAsia="Arial" w:hAnsi="Arial"/>
          <w:sz w:val="16"/>
          <w:szCs w:val="16"/>
          <w:color w:val="auto"/>
        </w:rPr>
        <w:t>divestitures. We believe that Free Cash Flow is an important measure of our operating performance as it provides a measurement of cash generated from operations that is available for mandatory payment obligations and investment opportunities, such as funding acquisitions, paying dividends, repaying debt and repurchasing our common stock.</w:t>
      </w:r>
    </w:p>
    <w:p>
      <w:pPr>
        <w:spacing w:after="0" w:line="137" w:lineRule="exact"/>
        <w:rPr>
          <w:sz w:val="20"/>
          <w:szCs w:val="20"/>
          <w:color w:val="auto"/>
        </w:rPr>
      </w:pPr>
    </w:p>
    <w:p>
      <w:pPr>
        <w:ind w:left="220" w:right="160"/>
        <w:spacing w:after="0" w:line="259" w:lineRule="auto"/>
        <w:rPr>
          <w:sz w:val="20"/>
          <w:szCs w:val="20"/>
          <w:color w:val="auto"/>
        </w:rPr>
      </w:pPr>
      <w:r>
        <w:rPr>
          <w:rFonts w:ascii="Arial" w:cs="Arial" w:eastAsia="Arial" w:hAnsi="Arial"/>
          <w:sz w:val="16"/>
          <w:szCs w:val="16"/>
          <w:b w:val="1"/>
          <w:bCs w:val="1"/>
          <w:i w:val="1"/>
          <w:iCs w:val="1"/>
          <w:color w:val="auto"/>
        </w:rPr>
        <w:t xml:space="preserve">Safeguards. </w:t>
      </w:r>
      <w:r>
        <w:rPr>
          <w:rFonts w:ascii="Arial" w:cs="Arial" w:eastAsia="Arial" w:hAnsi="Arial"/>
          <w:sz w:val="16"/>
          <w:szCs w:val="16"/>
          <w:color w:val="auto"/>
        </w:rPr>
        <w:t>Since iTSR is an absolute measure of value creation, we have implemented safeguards to substantially eliminate large payouts resulting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solely from economic cycles. Further, payouts under the program are in shares, and our shareholding requirements ensure that executives are exposed to the same stock price changes as our shareholders, including external stock market factors. Dividends are not accrued or paid on performance shares during the performance period.</w:t>
      </w:r>
    </w:p>
    <w:p>
      <w:pPr>
        <w:spacing w:after="0" w:line="29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48</w:t>
      </w:r>
    </w:p>
    <w:p>
      <w:pPr>
        <w:sectPr>
          <w:pgSz w:w="11900" w:h="16838" w:orient="portrait"/>
          <w:cols w:equalWidth="0" w:num="1">
            <w:col w:w="11220"/>
          </w:cols>
          <w:pgMar w:left="240" w:top="459" w:right="4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COMPENSATION DISCUSSION AND ANALYSIS</w:t>
      </w:r>
    </w:p>
    <w:p>
      <w:pPr>
        <w:spacing w:after="0" w:line="153" w:lineRule="exact"/>
        <w:rPr>
          <w:sz w:val="20"/>
          <w:szCs w:val="20"/>
          <w:color w:val="auto"/>
        </w:rPr>
      </w:pPr>
    </w:p>
    <w:p>
      <w:pPr>
        <w:ind w:left="220" w:right="340"/>
        <w:spacing w:after="0" w:line="259" w:lineRule="auto"/>
        <w:rPr>
          <w:sz w:val="20"/>
          <w:szCs w:val="20"/>
          <w:color w:val="auto"/>
        </w:rPr>
      </w:pPr>
      <w:r>
        <w:rPr>
          <w:rFonts w:ascii="Arial" w:cs="Arial" w:eastAsia="Arial" w:hAnsi="Arial"/>
          <w:sz w:val="16"/>
          <w:szCs w:val="16"/>
          <w:b w:val="1"/>
          <w:bCs w:val="1"/>
          <w:i w:val="1"/>
          <w:iCs w:val="1"/>
          <w:color w:val="auto"/>
        </w:rPr>
        <w:t xml:space="preserve">Rigorous iTSR Targets, Threshold and Cap Levels. </w:t>
      </w:r>
      <w:r>
        <w:rPr>
          <w:rFonts w:ascii="Arial" w:cs="Arial" w:eastAsia="Arial" w:hAnsi="Arial"/>
          <w:sz w:val="16"/>
          <w:szCs w:val="16"/>
          <w:color w:val="auto"/>
        </w:rPr>
        <w:t>iTSR targets for our Performance Shares are demanding and were rigorously back-tested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confirm that they are set to tie performance share payouts with comparable relative TSR performance levels. Awards are earned three years after the grant, provided iTSR exceeds a threshold level. No payouts will be made unless iTSR equals or exceeds 6%. The payout to any individual may not exceed 500,000 shares.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Payouts of performance shares are made on a sliding scale using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1718310</wp:posOffset>
            </wp:positionH>
            <wp:positionV relativeFrom="paragraph">
              <wp:posOffset>156210</wp:posOffset>
            </wp:positionV>
            <wp:extent cx="3829050" cy="23215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829050" cy="2321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20"/>
        <w:spacing w:after="0"/>
        <w:rPr>
          <w:sz w:val="20"/>
          <w:szCs w:val="20"/>
          <w:color w:val="auto"/>
        </w:rPr>
      </w:pPr>
      <w:r>
        <w:rPr>
          <w:rFonts w:ascii="Arial" w:cs="Arial" w:eastAsia="Arial" w:hAnsi="Arial"/>
          <w:sz w:val="16"/>
          <w:szCs w:val="16"/>
          <w:i w:val="1"/>
          <w:iCs w:val="1"/>
          <w:color w:val="32406B"/>
        </w:rPr>
        <w:t>Stock Settled Stock Appreciation Rights</w:t>
      </w:r>
    </w:p>
    <w:p>
      <w:pPr>
        <w:spacing w:after="0" w:line="88" w:lineRule="exact"/>
        <w:rPr>
          <w:sz w:val="20"/>
          <w:szCs w:val="20"/>
          <w:color w:val="auto"/>
        </w:rPr>
      </w:pPr>
    </w:p>
    <w:p>
      <w:pPr>
        <w:ind w:left="220" w:right="160"/>
        <w:spacing w:after="0" w:line="250" w:lineRule="auto"/>
        <w:rPr>
          <w:sz w:val="20"/>
          <w:szCs w:val="20"/>
          <w:color w:val="auto"/>
        </w:rPr>
      </w:pPr>
      <w:r>
        <w:rPr>
          <w:rFonts w:ascii="Arial" w:cs="Arial" w:eastAsia="Arial" w:hAnsi="Arial"/>
          <w:sz w:val="16"/>
          <w:szCs w:val="16"/>
          <w:color w:val="auto"/>
        </w:rPr>
        <w:t>Similar to stock options, SSARs align executive interests with shareholder interests for stock price growth for several years into the future. They focus executives on increasing the stock price over the long term. SSARs give our NEOs the ability to participate in the price appreciation of a set number of shares of Company stock. Once SSARs vest, an NEO may exercise them any time prior to the expiration date. The proceeds from the exercise are paid to the NEO in the form of shares of Dover common stock to encourage continued share ownership and shareholder alignment.</w:t>
      </w:r>
    </w:p>
    <w:p>
      <w:pPr>
        <w:spacing w:after="0" w:line="297" w:lineRule="exact"/>
        <w:rPr>
          <w:sz w:val="20"/>
          <w:szCs w:val="20"/>
          <w:color w:val="auto"/>
        </w:rPr>
      </w:pPr>
    </w:p>
    <w:p>
      <w:pPr>
        <w:ind w:left="220"/>
        <w:spacing w:after="0"/>
        <w:rPr>
          <w:sz w:val="20"/>
          <w:szCs w:val="20"/>
          <w:color w:val="auto"/>
        </w:rPr>
      </w:pPr>
      <w:r>
        <w:rPr>
          <w:rFonts w:ascii="Arial" w:cs="Arial" w:eastAsia="Arial" w:hAnsi="Arial"/>
          <w:sz w:val="16"/>
          <w:szCs w:val="16"/>
          <w:i w:val="1"/>
          <w:iCs w:val="1"/>
          <w:color w:val="auto"/>
        </w:rPr>
        <w:t>Illustration of SSARs Exercise:</w:t>
      </w:r>
    </w:p>
    <w:p>
      <w:pPr>
        <w:spacing w:after="0" w:line="242" w:lineRule="exact"/>
        <w:rPr>
          <w:sz w:val="20"/>
          <w:szCs w:val="20"/>
          <w:color w:val="auto"/>
        </w:rPr>
      </w:pPr>
    </w:p>
    <w:tbl>
      <w:tblPr>
        <w:tblLayout w:type="fixed"/>
        <w:tblInd w:w="220" w:type="dxa"/>
        <w:tblCellMar>
          <w:top w:w="0" w:type="dxa"/>
          <w:left w:w="0" w:type="dxa"/>
          <w:bottom w:w="0" w:type="dxa"/>
          <w:right w:w="0" w:type="dxa"/>
        </w:tblCellMar>
      </w:tblPr>
      <w:tr>
        <w:trPr>
          <w:trHeight w:val="202"/>
        </w:trPr>
        <w:tc>
          <w:tcPr>
            <w:tcW w:w="1760" w:type="dxa"/>
            <w:vAlign w:val="bottom"/>
          </w:tcPr>
          <w:p>
            <w:pPr>
              <w:spacing w:after="0"/>
              <w:rPr>
                <w:sz w:val="17"/>
                <w:szCs w:val="17"/>
                <w:color w:val="auto"/>
              </w:rPr>
            </w:pPr>
          </w:p>
        </w:tc>
        <w:tc>
          <w:tcPr>
            <w:tcW w:w="2480" w:type="dxa"/>
            <w:vAlign w:val="bottom"/>
            <w:tcBorders>
              <w:top w:val="single" w:sz="8" w:color="auto"/>
            </w:tcBorders>
            <w:gridSpan w:val="2"/>
            <w:shd w:val="clear" w:color="auto" w:fill="D8D8D8"/>
          </w:tcPr>
          <w:p>
            <w:pPr>
              <w:spacing w:after="0"/>
              <w:rPr>
                <w:sz w:val="20"/>
                <w:szCs w:val="20"/>
                <w:color w:val="auto"/>
              </w:rPr>
            </w:pPr>
            <w:r>
              <w:rPr>
                <w:rFonts w:ascii="Arial" w:cs="Arial" w:eastAsia="Arial" w:hAnsi="Arial"/>
                <w:sz w:val="16"/>
                <w:szCs w:val="16"/>
                <w:b w:val="1"/>
                <w:bCs w:val="1"/>
                <w:color w:val="auto"/>
              </w:rPr>
              <w:t>Base Price /Exercise Price</w:t>
            </w:r>
          </w:p>
        </w:tc>
        <w:tc>
          <w:tcPr>
            <w:tcW w:w="1800" w:type="dxa"/>
            <w:vAlign w:val="bottom"/>
            <w:tcBorders>
              <w:top w:val="single" w:sz="8" w:color="auto"/>
            </w:tcBorders>
            <w:shd w:val="clear" w:color="auto" w:fill="D8D8D8"/>
          </w:tcPr>
          <w:p>
            <w:pPr>
              <w:spacing w:after="0"/>
              <w:rPr>
                <w:sz w:val="17"/>
                <w:szCs w:val="17"/>
                <w:color w:val="auto"/>
              </w:rPr>
            </w:pPr>
          </w:p>
        </w:tc>
        <w:tc>
          <w:tcPr>
            <w:tcW w:w="2820" w:type="dxa"/>
            <w:vAlign w:val="bottom"/>
            <w:tcBorders>
              <w:top w:val="single" w:sz="8" w:color="auto"/>
            </w:tcBorders>
            <w:shd w:val="clear" w:color="auto" w:fill="D8D8D8"/>
          </w:tcPr>
          <w:p>
            <w:pPr>
              <w:jc w:val="right"/>
              <w:spacing w:after="0"/>
              <w:rPr>
                <w:sz w:val="20"/>
                <w:szCs w:val="20"/>
                <w:color w:val="auto"/>
              </w:rPr>
            </w:pPr>
            <w:r>
              <w:rPr>
                <w:rFonts w:ascii="Arial" w:cs="Arial" w:eastAsia="Arial" w:hAnsi="Arial"/>
                <w:sz w:val="16"/>
                <w:szCs w:val="16"/>
                <w:color w:val="auto"/>
              </w:rPr>
              <w:t>$</w:t>
            </w:r>
          </w:p>
        </w:tc>
        <w:tc>
          <w:tcPr>
            <w:tcW w:w="380" w:type="dxa"/>
            <w:vAlign w:val="bottom"/>
            <w:tcBorders>
              <w:top w:val="single" w:sz="8" w:color="auto"/>
            </w:tcBorders>
            <w:shd w:val="clear" w:color="auto" w:fill="D8D8D8"/>
          </w:tcPr>
          <w:p>
            <w:pPr>
              <w:jc w:val="right"/>
              <w:ind w:right="19"/>
              <w:spacing w:after="0"/>
              <w:rPr>
                <w:sz w:val="20"/>
                <w:szCs w:val="20"/>
                <w:color w:val="auto"/>
              </w:rPr>
            </w:pPr>
            <w:r>
              <w:rPr>
                <w:rFonts w:ascii="Arial" w:cs="Arial" w:eastAsia="Arial" w:hAnsi="Arial"/>
                <w:sz w:val="16"/>
                <w:szCs w:val="16"/>
                <w:color w:val="auto"/>
              </w:rPr>
              <w:t>60</w:t>
            </w: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89"/>
        </w:trPr>
        <w:tc>
          <w:tcPr>
            <w:tcW w:w="1760" w:type="dxa"/>
            <w:vAlign w:val="bottom"/>
          </w:tcPr>
          <w:p>
            <w:pPr>
              <w:spacing w:after="0"/>
              <w:rPr>
                <w:sz w:val="16"/>
                <w:szCs w:val="16"/>
                <w:color w:val="auto"/>
              </w:rPr>
            </w:pPr>
          </w:p>
        </w:tc>
        <w:tc>
          <w:tcPr>
            <w:tcW w:w="4280" w:type="dxa"/>
            <w:vAlign w:val="bottom"/>
            <w:gridSpan w:val="3"/>
          </w:tcPr>
          <w:p>
            <w:pPr>
              <w:ind w:left="160"/>
              <w:spacing w:after="0"/>
              <w:rPr>
                <w:sz w:val="20"/>
                <w:szCs w:val="20"/>
                <w:color w:val="auto"/>
              </w:rPr>
            </w:pPr>
            <w:r>
              <w:rPr>
                <w:rFonts w:ascii="Arial" w:cs="Arial" w:eastAsia="Arial" w:hAnsi="Arial"/>
                <w:sz w:val="16"/>
                <w:szCs w:val="16"/>
                <w:b w:val="1"/>
                <w:bCs w:val="1"/>
                <w:color w:val="auto"/>
              </w:rPr>
              <w:t>Fair Market Value (“FMV”) on date of exercise</w:t>
            </w:r>
          </w:p>
        </w:tc>
        <w:tc>
          <w:tcPr>
            <w:tcW w:w="28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9"/>
              <w:spacing w:after="0"/>
              <w:rPr>
                <w:sz w:val="20"/>
                <w:szCs w:val="20"/>
                <w:color w:val="auto"/>
              </w:rPr>
            </w:pPr>
            <w:r>
              <w:rPr>
                <w:rFonts w:ascii="Arial" w:cs="Arial" w:eastAsia="Arial" w:hAnsi="Arial"/>
                <w:sz w:val="16"/>
                <w:szCs w:val="16"/>
                <w:color w:val="auto"/>
              </w:rPr>
              <w:t>80</w:t>
            </w:r>
          </w:p>
        </w:tc>
        <w:tc>
          <w:tcPr>
            <w:tcW w:w="17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1760" w:type="dxa"/>
            <w:vAlign w:val="bottom"/>
          </w:tcPr>
          <w:p>
            <w:pPr>
              <w:spacing w:after="0"/>
              <w:rPr>
                <w:sz w:val="16"/>
                <w:szCs w:val="16"/>
                <w:color w:val="auto"/>
              </w:rPr>
            </w:pPr>
          </w:p>
        </w:tc>
        <w:tc>
          <w:tcPr>
            <w:tcW w:w="2480" w:type="dxa"/>
            <w:vAlign w:val="bottom"/>
            <w:tcBorders>
              <w:bottom w:val="single" w:sz="8" w:color="auto"/>
            </w:tcBorders>
            <w:gridSpan w:val="2"/>
            <w:shd w:val="clear" w:color="auto" w:fill="D8D8D8"/>
          </w:tcPr>
          <w:p>
            <w:pPr>
              <w:ind w:left="160"/>
              <w:spacing w:after="0"/>
              <w:rPr>
                <w:sz w:val="20"/>
                <w:szCs w:val="20"/>
                <w:color w:val="auto"/>
              </w:rPr>
            </w:pPr>
            <w:r>
              <w:rPr>
                <w:rFonts w:ascii="Arial" w:cs="Arial" w:eastAsia="Arial" w:hAnsi="Arial"/>
                <w:sz w:val="16"/>
                <w:szCs w:val="16"/>
                <w:b w:val="1"/>
                <w:bCs w:val="1"/>
                <w:color w:val="auto"/>
              </w:rPr>
              <w:t>Number of SSARs Granted</w:t>
            </w:r>
          </w:p>
        </w:tc>
        <w:tc>
          <w:tcPr>
            <w:tcW w:w="1800" w:type="dxa"/>
            <w:vAlign w:val="bottom"/>
            <w:tcBorders>
              <w:bottom w:val="single" w:sz="8" w:color="auto"/>
            </w:tcBorders>
            <w:shd w:val="clear" w:color="auto" w:fill="D8D8D8"/>
          </w:tcPr>
          <w:p>
            <w:pPr>
              <w:spacing w:after="0"/>
              <w:rPr>
                <w:sz w:val="16"/>
                <w:szCs w:val="16"/>
                <w:color w:val="auto"/>
              </w:rPr>
            </w:pPr>
          </w:p>
        </w:tc>
        <w:tc>
          <w:tcPr>
            <w:tcW w:w="2820" w:type="dxa"/>
            <w:vAlign w:val="bottom"/>
            <w:tcBorders>
              <w:bottom w:val="single" w:sz="8" w:color="auto"/>
            </w:tcBorders>
            <w:shd w:val="clear" w:color="auto" w:fill="D8D8D8"/>
          </w:tcPr>
          <w:p>
            <w:pPr>
              <w:spacing w:after="0"/>
              <w:rPr>
                <w:sz w:val="16"/>
                <w:szCs w:val="16"/>
                <w:color w:val="auto"/>
              </w:rPr>
            </w:pPr>
          </w:p>
        </w:tc>
        <w:tc>
          <w:tcPr>
            <w:tcW w:w="380" w:type="dxa"/>
            <w:vAlign w:val="bottom"/>
            <w:tcBorders>
              <w:bottom w:val="single" w:sz="8" w:color="auto"/>
            </w:tcBorders>
            <w:shd w:val="clear" w:color="auto" w:fill="D8D8D8"/>
          </w:tcPr>
          <w:p>
            <w:pPr>
              <w:jc w:val="right"/>
              <w:ind w:right="19"/>
              <w:spacing w:after="0"/>
              <w:rPr>
                <w:sz w:val="20"/>
                <w:szCs w:val="20"/>
                <w:color w:val="auto"/>
              </w:rPr>
            </w:pPr>
            <w:r>
              <w:rPr>
                <w:rFonts w:ascii="Arial" w:cs="Arial" w:eastAsia="Arial" w:hAnsi="Arial"/>
                <w:sz w:val="16"/>
                <w:szCs w:val="16"/>
                <w:color w:val="auto"/>
                <w:w w:val="97"/>
              </w:rPr>
              <w:t>100</w:t>
            </w:r>
          </w:p>
        </w:tc>
        <w:tc>
          <w:tcPr>
            <w:tcW w:w="17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6"/>
        </w:trPr>
        <w:tc>
          <w:tcPr>
            <w:tcW w:w="176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2"/>
          </w:tcPr>
          <w:p>
            <w:pPr>
              <w:spacing w:after="0"/>
              <w:rPr>
                <w:sz w:val="20"/>
                <w:szCs w:val="20"/>
                <w:color w:val="auto"/>
              </w:rPr>
            </w:pPr>
          </w:p>
        </w:tc>
        <w:tc>
          <w:tcPr>
            <w:tcW w:w="20" w:type="dxa"/>
            <w:vAlign w:val="bottom"/>
          </w:tcPr>
          <w:p>
            <w:pPr>
              <w:spacing w:after="0"/>
              <w:rPr>
                <w:sz w:val="20"/>
                <w:szCs w:val="20"/>
                <w:color w:val="auto"/>
              </w:rPr>
            </w:pPr>
          </w:p>
        </w:tc>
      </w:tr>
      <w:tr>
        <w:trPr>
          <w:trHeight w:val="164"/>
        </w:trPr>
        <w:tc>
          <w:tcPr>
            <w:tcW w:w="1760" w:type="dxa"/>
            <w:vAlign w:val="bottom"/>
            <w:shd w:val="clear" w:color="auto" w:fill="505C81"/>
          </w:tcPr>
          <w:p>
            <w:pPr>
              <w:spacing w:after="0"/>
              <w:rPr>
                <w:sz w:val="14"/>
                <w:szCs w:val="14"/>
                <w:color w:val="auto"/>
              </w:rPr>
            </w:pPr>
          </w:p>
        </w:tc>
        <w:tc>
          <w:tcPr>
            <w:tcW w:w="2200" w:type="dxa"/>
            <w:vAlign w:val="bottom"/>
            <w:tcBorders>
              <w:right w:val="single" w:sz="8" w:color="999999"/>
            </w:tcBorders>
            <w:shd w:val="clear" w:color="auto" w:fill="505C81"/>
          </w:tcPr>
          <w:p>
            <w:pPr>
              <w:spacing w:after="0"/>
              <w:rPr>
                <w:sz w:val="14"/>
                <w:szCs w:val="14"/>
                <w:color w:val="auto"/>
              </w:rPr>
            </w:pPr>
          </w:p>
        </w:tc>
        <w:tc>
          <w:tcPr>
            <w:tcW w:w="280" w:type="dxa"/>
            <w:vAlign w:val="bottom"/>
            <w:shd w:val="clear" w:color="auto" w:fill="505C81"/>
          </w:tcPr>
          <w:p>
            <w:pPr>
              <w:spacing w:after="0"/>
              <w:rPr>
                <w:sz w:val="14"/>
                <w:szCs w:val="14"/>
                <w:color w:val="auto"/>
              </w:rPr>
            </w:pPr>
          </w:p>
        </w:tc>
        <w:tc>
          <w:tcPr>
            <w:tcW w:w="1800" w:type="dxa"/>
            <w:vAlign w:val="bottom"/>
            <w:shd w:val="clear" w:color="auto" w:fill="505C81"/>
          </w:tcPr>
          <w:p>
            <w:pPr>
              <w:spacing w:after="0"/>
              <w:rPr>
                <w:sz w:val="14"/>
                <w:szCs w:val="14"/>
                <w:color w:val="auto"/>
              </w:rPr>
            </w:pPr>
          </w:p>
        </w:tc>
        <w:tc>
          <w:tcPr>
            <w:tcW w:w="2820" w:type="dxa"/>
            <w:vAlign w:val="bottom"/>
            <w:shd w:val="clear" w:color="auto" w:fill="505C81"/>
          </w:tcPr>
          <w:p>
            <w:pPr>
              <w:spacing w:after="0"/>
              <w:rPr>
                <w:sz w:val="14"/>
                <w:szCs w:val="14"/>
                <w:color w:val="auto"/>
              </w:rPr>
            </w:pPr>
          </w:p>
        </w:tc>
        <w:tc>
          <w:tcPr>
            <w:tcW w:w="2140" w:type="dxa"/>
            <w:vAlign w:val="bottom"/>
            <w:gridSpan w:val="2"/>
            <w:shd w:val="clear" w:color="auto" w:fill="505C81"/>
          </w:tcPr>
          <w:p>
            <w:pPr>
              <w:jc w:val="center"/>
              <w:spacing w:after="0" w:line="165" w:lineRule="exact"/>
              <w:rPr>
                <w:sz w:val="20"/>
                <w:szCs w:val="20"/>
                <w:color w:val="auto"/>
              </w:rPr>
            </w:pPr>
            <w:r>
              <w:rPr>
                <w:rFonts w:ascii="Arial" w:cs="Arial" w:eastAsia="Arial" w:hAnsi="Arial"/>
                <w:sz w:val="16"/>
                <w:szCs w:val="16"/>
                <w:b w:val="1"/>
                <w:bCs w:val="1"/>
                <w:color w:val="FFFFFF"/>
                <w:w w:val="99"/>
              </w:rPr>
              <w:t>Total Shares Awarded</w:t>
            </w:r>
          </w:p>
        </w:tc>
        <w:tc>
          <w:tcPr>
            <w:tcW w:w="20" w:type="dxa"/>
            <w:vAlign w:val="bottom"/>
          </w:tcPr>
          <w:p>
            <w:pPr>
              <w:spacing w:after="0"/>
              <w:rPr>
                <w:sz w:val="14"/>
                <w:szCs w:val="14"/>
                <w:color w:val="auto"/>
              </w:rPr>
            </w:pPr>
          </w:p>
        </w:tc>
      </w:tr>
      <w:tr>
        <w:trPr>
          <w:trHeight w:val="220"/>
        </w:trPr>
        <w:tc>
          <w:tcPr>
            <w:tcW w:w="3960" w:type="dxa"/>
            <w:vAlign w:val="bottom"/>
            <w:tcBorders>
              <w:right w:val="single" w:sz="8" w:color="999999"/>
            </w:tcBorders>
            <w:gridSpan w:val="2"/>
            <w:shd w:val="clear" w:color="auto" w:fill="505C81"/>
          </w:tcPr>
          <w:p>
            <w:pPr>
              <w:ind w:left="140"/>
              <w:spacing w:after="0"/>
              <w:rPr>
                <w:sz w:val="20"/>
                <w:szCs w:val="20"/>
                <w:color w:val="auto"/>
              </w:rPr>
            </w:pPr>
            <w:r>
              <w:rPr>
                <w:rFonts w:ascii="Arial" w:cs="Arial" w:eastAsia="Arial" w:hAnsi="Arial"/>
                <w:sz w:val="16"/>
                <w:szCs w:val="16"/>
                <w:b w:val="1"/>
                <w:bCs w:val="1"/>
                <w:color w:val="FFFFFF"/>
              </w:rPr>
              <w:t>EXERCISE STEP</w:t>
            </w:r>
          </w:p>
        </w:tc>
        <w:tc>
          <w:tcPr>
            <w:tcW w:w="280" w:type="dxa"/>
            <w:vAlign w:val="bottom"/>
            <w:shd w:val="clear" w:color="auto" w:fill="505C81"/>
          </w:tcPr>
          <w:p>
            <w:pPr>
              <w:spacing w:after="0"/>
              <w:rPr>
                <w:sz w:val="19"/>
                <w:szCs w:val="19"/>
                <w:color w:val="auto"/>
              </w:rPr>
            </w:pPr>
          </w:p>
        </w:tc>
        <w:tc>
          <w:tcPr>
            <w:tcW w:w="1800" w:type="dxa"/>
            <w:vAlign w:val="bottom"/>
            <w:shd w:val="clear" w:color="auto" w:fill="505C81"/>
          </w:tcPr>
          <w:p>
            <w:pPr>
              <w:jc w:val="center"/>
              <w:ind w:right="19"/>
              <w:spacing w:after="0"/>
              <w:rPr>
                <w:sz w:val="20"/>
                <w:szCs w:val="20"/>
                <w:color w:val="auto"/>
              </w:rPr>
            </w:pPr>
            <w:r>
              <w:rPr>
                <w:rFonts w:ascii="Arial" w:cs="Arial" w:eastAsia="Arial" w:hAnsi="Arial"/>
                <w:sz w:val="16"/>
                <w:szCs w:val="16"/>
                <w:b w:val="1"/>
                <w:bCs w:val="1"/>
                <w:color w:val="FFFFFF"/>
              </w:rPr>
              <w:t>Gain in Value</w:t>
            </w:r>
          </w:p>
        </w:tc>
        <w:tc>
          <w:tcPr>
            <w:tcW w:w="2820" w:type="dxa"/>
            <w:vAlign w:val="bottom"/>
            <w:shd w:val="clear" w:color="auto" w:fill="505C81"/>
          </w:tcPr>
          <w:p>
            <w:pPr>
              <w:jc w:val="center"/>
              <w:ind w:right="39"/>
              <w:spacing w:after="0"/>
              <w:rPr>
                <w:sz w:val="20"/>
                <w:szCs w:val="20"/>
                <w:color w:val="auto"/>
              </w:rPr>
            </w:pPr>
            <w:r>
              <w:rPr>
                <w:rFonts w:ascii="Arial" w:cs="Arial" w:eastAsia="Arial" w:hAnsi="Arial"/>
                <w:sz w:val="16"/>
                <w:szCs w:val="16"/>
                <w:b w:val="1"/>
                <w:bCs w:val="1"/>
                <w:color w:val="FFFFFF"/>
                <w:w w:val="99"/>
              </w:rPr>
              <w:t>Total Value after Exercise</w:t>
            </w:r>
          </w:p>
        </w:tc>
        <w:tc>
          <w:tcPr>
            <w:tcW w:w="380" w:type="dxa"/>
            <w:vAlign w:val="bottom"/>
            <w:shd w:val="clear" w:color="auto" w:fill="505C81"/>
          </w:tcPr>
          <w:p>
            <w:pPr>
              <w:spacing w:after="0"/>
              <w:rPr>
                <w:sz w:val="19"/>
                <w:szCs w:val="19"/>
                <w:color w:val="auto"/>
              </w:rPr>
            </w:pPr>
          </w:p>
        </w:tc>
        <w:tc>
          <w:tcPr>
            <w:tcW w:w="1760" w:type="dxa"/>
            <w:vAlign w:val="bottom"/>
            <w:shd w:val="clear" w:color="auto" w:fill="505C81"/>
          </w:tcPr>
          <w:p>
            <w:pPr>
              <w:jc w:val="center"/>
              <w:ind w:right="199"/>
              <w:spacing w:after="0"/>
              <w:rPr>
                <w:sz w:val="20"/>
                <w:szCs w:val="20"/>
                <w:color w:val="auto"/>
              </w:rPr>
            </w:pPr>
            <w:r>
              <w:rPr>
                <w:rFonts w:ascii="Arial" w:cs="Arial" w:eastAsia="Arial" w:hAnsi="Arial"/>
                <w:sz w:val="16"/>
                <w:szCs w:val="16"/>
                <w:b w:val="1"/>
                <w:bCs w:val="1"/>
                <w:color w:val="FFFFFF"/>
              </w:rPr>
              <w:t>post Exercise *</w:t>
            </w:r>
          </w:p>
        </w:tc>
        <w:tc>
          <w:tcPr>
            <w:tcW w:w="20" w:type="dxa"/>
            <w:vAlign w:val="bottom"/>
          </w:tcPr>
          <w:p>
            <w:pPr>
              <w:spacing w:after="0"/>
              <w:rPr>
                <w:sz w:val="19"/>
                <w:szCs w:val="19"/>
                <w:color w:val="auto"/>
              </w:rPr>
            </w:pPr>
          </w:p>
        </w:tc>
      </w:tr>
      <w:tr>
        <w:trPr>
          <w:trHeight w:val="191"/>
        </w:trPr>
        <w:tc>
          <w:tcPr>
            <w:tcW w:w="3960" w:type="dxa"/>
            <w:vAlign w:val="bottom"/>
            <w:tcBorders>
              <w:right w:val="single" w:sz="8" w:color="999999"/>
            </w:tcBorders>
            <w:gridSpan w:val="2"/>
            <w:shd w:val="clear" w:color="auto" w:fill="D8D8D8"/>
          </w:tcPr>
          <w:p>
            <w:pPr>
              <w:ind w:left="140"/>
              <w:spacing w:after="0"/>
              <w:rPr>
                <w:sz w:val="20"/>
                <w:szCs w:val="20"/>
                <w:color w:val="auto"/>
              </w:rPr>
            </w:pPr>
            <w:r>
              <w:rPr>
                <w:rFonts w:ascii="Arial" w:cs="Arial" w:eastAsia="Arial" w:hAnsi="Arial"/>
                <w:sz w:val="16"/>
                <w:szCs w:val="16"/>
                <w:b w:val="1"/>
                <w:bCs w:val="1"/>
                <w:color w:val="auto"/>
              </w:rPr>
              <w:t>CALCULATION FORMULA</w:t>
            </w:r>
          </w:p>
        </w:tc>
        <w:tc>
          <w:tcPr>
            <w:tcW w:w="280" w:type="dxa"/>
            <w:vAlign w:val="bottom"/>
            <w:shd w:val="clear" w:color="auto" w:fill="D8D8D8"/>
          </w:tcPr>
          <w:p>
            <w:pPr>
              <w:spacing w:after="0"/>
              <w:rPr>
                <w:sz w:val="16"/>
                <w:szCs w:val="16"/>
                <w:color w:val="auto"/>
              </w:rPr>
            </w:pPr>
          </w:p>
        </w:tc>
        <w:tc>
          <w:tcPr>
            <w:tcW w:w="1800" w:type="dxa"/>
            <w:vAlign w:val="bottom"/>
            <w:shd w:val="clear" w:color="auto" w:fill="D8D8D8"/>
          </w:tcPr>
          <w:p>
            <w:pPr>
              <w:jc w:val="center"/>
              <w:ind w:right="19"/>
              <w:spacing w:after="0"/>
              <w:rPr>
                <w:sz w:val="20"/>
                <w:szCs w:val="20"/>
                <w:color w:val="auto"/>
              </w:rPr>
            </w:pPr>
            <w:r>
              <w:rPr>
                <w:rFonts w:ascii="Arial" w:cs="Arial" w:eastAsia="Arial" w:hAnsi="Arial"/>
                <w:sz w:val="16"/>
                <w:szCs w:val="16"/>
                <w:color w:val="auto"/>
              </w:rPr>
              <w:t>FMV - Ex. Price</w:t>
            </w:r>
          </w:p>
        </w:tc>
        <w:tc>
          <w:tcPr>
            <w:tcW w:w="2820" w:type="dxa"/>
            <w:vAlign w:val="bottom"/>
            <w:shd w:val="clear" w:color="auto" w:fill="D8D8D8"/>
          </w:tcPr>
          <w:p>
            <w:pPr>
              <w:jc w:val="center"/>
              <w:ind w:right="39"/>
              <w:spacing w:after="0"/>
              <w:rPr>
                <w:sz w:val="20"/>
                <w:szCs w:val="20"/>
                <w:color w:val="auto"/>
              </w:rPr>
            </w:pPr>
            <w:r>
              <w:rPr>
                <w:rFonts w:ascii="Arial" w:cs="Arial" w:eastAsia="Arial" w:hAnsi="Arial"/>
                <w:sz w:val="16"/>
                <w:szCs w:val="16"/>
                <w:color w:val="auto"/>
              </w:rPr>
              <w:t>Gain in Value x Number of</w:t>
            </w:r>
          </w:p>
        </w:tc>
        <w:tc>
          <w:tcPr>
            <w:tcW w:w="380" w:type="dxa"/>
            <w:vAlign w:val="bottom"/>
            <w:shd w:val="clear" w:color="auto" w:fill="D8D8D8"/>
          </w:tcPr>
          <w:p>
            <w:pPr>
              <w:spacing w:after="0"/>
              <w:rPr>
                <w:sz w:val="16"/>
                <w:szCs w:val="16"/>
                <w:color w:val="auto"/>
              </w:rPr>
            </w:pPr>
          </w:p>
        </w:tc>
        <w:tc>
          <w:tcPr>
            <w:tcW w:w="1760" w:type="dxa"/>
            <w:vAlign w:val="bottom"/>
            <w:shd w:val="clear" w:color="auto" w:fill="D8D8D8"/>
          </w:tcPr>
          <w:p>
            <w:pPr>
              <w:jc w:val="center"/>
              <w:ind w:right="199"/>
              <w:spacing w:after="0"/>
              <w:rPr>
                <w:sz w:val="20"/>
                <w:szCs w:val="20"/>
                <w:color w:val="auto"/>
              </w:rPr>
            </w:pPr>
            <w:r>
              <w:rPr>
                <w:rFonts w:ascii="Arial" w:cs="Arial" w:eastAsia="Arial" w:hAnsi="Arial"/>
                <w:sz w:val="16"/>
                <w:szCs w:val="16"/>
                <w:color w:val="auto"/>
                <w:w w:val="99"/>
              </w:rPr>
              <w:t>Total Value ÷ FMV</w:t>
            </w:r>
          </w:p>
        </w:tc>
        <w:tc>
          <w:tcPr>
            <w:tcW w:w="20" w:type="dxa"/>
            <w:vAlign w:val="bottom"/>
          </w:tcPr>
          <w:p>
            <w:pPr>
              <w:spacing w:after="0"/>
              <w:rPr>
                <w:sz w:val="16"/>
                <w:szCs w:val="16"/>
                <w:color w:val="auto"/>
              </w:rPr>
            </w:pPr>
          </w:p>
        </w:tc>
      </w:tr>
      <w:tr>
        <w:trPr>
          <w:trHeight w:val="187"/>
        </w:trPr>
        <w:tc>
          <w:tcPr>
            <w:tcW w:w="1760" w:type="dxa"/>
            <w:vAlign w:val="bottom"/>
            <w:shd w:val="clear" w:color="auto" w:fill="D8D8D8"/>
          </w:tcPr>
          <w:p>
            <w:pPr>
              <w:spacing w:after="0"/>
              <w:rPr>
                <w:sz w:val="16"/>
                <w:szCs w:val="16"/>
                <w:color w:val="auto"/>
              </w:rPr>
            </w:pPr>
          </w:p>
        </w:tc>
        <w:tc>
          <w:tcPr>
            <w:tcW w:w="2200" w:type="dxa"/>
            <w:vAlign w:val="bottom"/>
            <w:tcBorders>
              <w:right w:val="single" w:sz="8" w:color="999999"/>
            </w:tcBorders>
            <w:shd w:val="clear" w:color="auto" w:fill="D8D8D8"/>
          </w:tcPr>
          <w:p>
            <w:pPr>
              <w:spacing w:after="0"/>
              <w:rPr>
                <w:sz w:val="16"/>
                <w:szCs w:val="16"/>
                <w:color w:val="auto"/>
              </w:rPr>
            </w:pPr>
          </w:p>
        </w:tc>
        <w:tc>
          <w:tcPr>
            <w:tcW w:w="280" w:type="dxa"/>
            <w:vAlign w:val="bottom"/>
            <w:shd w:val="clear" w:color="auto" w:fill="D8D8D8"/>
          </w:tcPr>
          <w:p>
            <w:pPr>
              <w:spacing w:after="0"/>
              <w:rPr>
                <w:sz w:val="16"/>
                <w:szCs w:val="16"/>
                <w:color w:val="auto"/>
              </w:rPr>
            </w:pPr>
          </w:p>
        </w:tc>
        <w:tc>
          <w:tcPr>
            <w:tcW w:w="1800" w:type="dxa"/>
            <w:vAlign w:val="bottom"/>
            <w:shd w:val="clear" w:color="auto" w:fill="D8D8D8"/>
          </w:tcPr>
          <w:p>
            <w:pPr>
              <w:spacing w:after="0"/>
              <w:rPr>
                <w:sz w:val="16"/>
                <w:szCs w:val="16"/>
                <w:color w:val="auto"/>
              </w:rPr>
            </w:pPr>
          </w:p>
        </w:tc>
        <w:tc>
          <w:tcPr>
            <w:tcW w:w="2820" w:type="dxa"/>
            <w:vAlign w:val="bottom"/>
            <w:shd w:val="clear" w:color="auto" w:fill="D8D8D8"/>
          </w:tcPr>
          <w:p>
            <w:pPr>
              <w:jc w:val="center"/>
              <w:ind w:right="39"/>
              <w:spacing w:after="0"/>
              <w:rPr>
                <w:sz w:val="20"/>
                <w:szCs w:val="20"/>
                <w:color w:val="auto"/>
              </w:rPr>
            </w:pPr>
            <w:r>
              <w:rPr>
                <w:rFonts w:ascii="Arial" w:cs="Arial" w:eastAsia="Arial" w:hAnsi="Arial"/>
                <w:sz w:val="16"/>
                <w:szCs w:val="16"/>
                <w:color w:val="auto"/>
              </w:rPr>
              <w:t>SSARs</w:t>
            </w:r>
          </w:p>
        </w:tc>
        <w:tc>
          <w:tcPr>
            <w:tcW w:w="380" w:type="dxa"/>
            <w:vAlign w:val="bottom"/>
            <w:shd w:val="clear" w:color="auto" w:fill="D8D8D8"/>
          </w:tcPr>
          <w:p>
            <w:pPr>
              <w:spacing w:after="0"/>
              <w:rPr>
                <w:sz w:val="16"/>
                <w:szCs w:val="16"/>
                <w:color w:val="auto"/>
              </w:rPr>
            </w:pPr>
          </w:p>
        </w:tc>
        <w:tc>
          <w:tcPr>
            <w:tcW w:w="1760" w:type="dxa"/>
            <w:vAlign w:val="bottom"/>
            <w:shd w:val="clear" w:color="auto" w:fill="D8D8D8"/>
          </w:tcPr>
          <w:p>
            <w:pPr>
              <w:spacing w:after="0"/>
              <w:rPr>
                <w:sz w:val="16"/>
                <w:szCs w:val="16"/>
                <w:color w:val="auto"/>
              </w:rPr>
            </w:pPr>
          </w:p>
        </w:tc>
        <w:tc>
          <w:tcPr>
            <w:tcW w:w="20" w:type="dxa"/>
            <w:vAlign w:val="bottom"/>
          </w:tcPr>
          <w:p>
            <w:pPr>
              <w:spacing w:after="0"/>
              <w:rPr>
                <w:sz w:val="16"/>
                <w:szCs w:val="16"/>
                <w:color w:val="auto"/>
              </w:rPr>
            </w:pPr>
          </w:p>
        </w:tc>
      </w:tr>
      <w:tr>
        <w:trPr>
          <w:trHeight w:val="191"/>
        </w:trPr>
        <w:tc>
          <w:tcPr>
            <w:tcW w:w="3960" w:type="dxa"/>
            <w:vAlign w:val="bottom"/>
            <w:tcBorders>
              <w:right w:val="single" w:sz="8" w:color="999999"/>
            </w:tcBorders>
            <w:gridSpan w:val="2"/>
          </w:tcPr>
          <w:p>
            <w:pPr>
              <w:ind w:left="140"/>
              <w:spacing w:after="0"/>
              <w:rPr>
                <w:sz w:val="20"/>
                <w:szCs w:val="20"/>
                <w:color w:val="auto"/>
              </w:rPr>
            </w:pPr>
            <w:r>
              <w:rPr>
                <w:rFonts w:ascii="Arial" w:cs="Arial" w:eastAsia="Arial" w:hAnsi="Arial"/>
                <w:sz w:val="16"/>
                <w:szCs w:val="16"/>
                <w:b w:val="1"/>
                <w:bCs w:val="1"/>
                <w:color w:val="auto"/>
              </w:rPr>
              <w:t>RESULT</w:t>
            </w:r>
          </w:p>
        </w:tc>
        <w:tc>
          <w:tcPr>
            <w:tcW w:w="280" w:type="dxa"/>
            <w:vAlign w:val="bottom"/>
          </w:tcPr>
          <w:p>
            <w:pPr>
              <w:spacing w:after="0"/>
              <w:rPr>
                <w:sz w:val="16"/>
                <w:szCs w:val="16"/>
                <w:color w:val="auto"/>
              </w:rPr>
            </w:pPr>
          </w:p>
        </w:tc>
        <w:tc>
          <w:tcPr>
            <w:tcW w:w="1800" w:type="dxa"/>
            <w:vAlign w:val="bottom"/>
          </w:tcPr>
          <w:p>
            <w:pPr>
              <w:jc w:val="right"/>
              <w:ind w:right="339"/>
              <w:spacing w:after="0"/>
              <w:rPr>
                <w:sz w:val="20"/>
                <w:szCs w:val="20"/>
                <w:color w:val="auto"/>
              </w:rPr>
            </w:pPr>
            <w:r>
              <w:rPr>
                <w:rFonts w:ascii="Arial" w:cs="Arial" w:eastAsia="Arial" w:hAnsi="Arial"/>
                <w:sz w:val="16"/>
                <w:szCs w:val="16"/>
                <w:color w:val="auto"/>
              </w:rPr>
              <w:t>$80 - $60 = $20</w:t>
            </w:r>
          </w:p>
        </w:tc>
        <w:tc>
          <w:tcPr>
            <w:tcW w:w="2820" w:type="dxa"/>
            <w:vAlign w:val="bottom"/>
          </w:tcPr>
          <w:p>
            <w:pPr>
              <w:jc w:val="center"/>
              <w:ind w:right="39"/>
              <w:spacing w:after="0"/>
              <w:rPr>
                <w:sz w:val="20"/>
                <w:szCs w:val="20"/>
                <w:color w:val="auto"/>
              </w:rPr>
            </w:pPr>
            <w:r>
              <w:rPr>
                <w:rFonts w:ascii="Arial" w:cs="Arial" w:eastAsia="Arial" w:hAnsi="Arial"/>
                <w:sz w:val="16"/>
                <w:szCs w:val="16"/>
                <w:color w:val="auto"/>
              </w:rPr>
              <w:t>$20 x 100 = $2,000</w:t>
            </w:r>
          </w:p>
        </w:tc>
        <w:tc>
          <w:tcPr>
            <w:tcW w:w="2140" w:type="dxa"/>
            <w:vAlign w:val="bottom"/>
            <w:gridSpan w:val="2"/>
          </w:tcPr>
          <w:p>
            <w:pPr>
              <w:jc w:val="center"/>
              <w:ind w:left="19"/>
              <w:spacing w:after="0"/>
              <w:rPr>
                <w:sz w:val="20"/>
                <w:szCs w:val="20"/>
                <w:color w:val="auto"/>
              </w:rPr>
            </w:pPr>
            <w:r>
              <w:rPr>
                <w:rFonts w:ascii="Arial" w:cs="Arial" w:eastAsia="Arial" w:hAnsi="Arial"/>
                <w:sz w:val="16"/>
                <w:szCs w:val="16"/>
                <w:color w:val="auto"/>
              </w:rPr>
              <w:t>$2,000 ÷ $80 = 25</w:t>
            </w:r>
          </w:p>
        </w:tc>
        <w:tc>
          <w:tcPr>
            <w:tcW w:w="20" w:type="dxa"/>
            <w:vAlign w:val="bottom"/>
          </w:tcPr>
          <w:p>
            <w:pPr>
              <w:spacing w:after="0"/>
              <w:rPr>
                <w:sz w:val="16"/>
                <w:szCs w:val="16"/>
                <w:color w:val="auto"/>
              </w:rPr>
            </w:pPr>
          </w:p>
        </w:tc>
      </w:tr>
      <w:tr>
        <w:trPr>
          <w:trHeight w:val="200"/>
        </w:trPr>
        <w:tc>
          <w:tcPr>
            <w:tcW w:w="1760" w:type="dxa"/>
            <w:vAlign w:val="bottom"/>
          </w:tcPr>
          <w:p>
            <w:pPr>
              <w:spacing w:after="0"/>
              <w:rPr>
                <w:sz w:val="17"/>
                <w:szCs w:val="17"/>
                <w:color w:val="auto"/>
              </w:rPr>
            </w:pPr>
          </w:p>
        </w:tc>
        <w:tc>
          <w:tcPr>
            <w:tcW w:w="2200" w:type="dxa"/>
            <w:vAlign w:val="bottom"/>
            <w:tcBorders>
              <w:right w:val="single" w:sz="8" w:color="999999"/>
            </w:tcBorders>
          </w:tcPr>
          <w:p>
            <w:pPr>
              <w:spacing w:after="0"/>
              <w:rPr>
                <w:sz w:val="17"/>
                <w:szCs w:val="17"/>
                <w:color w:val="auto"/>
              </w:rPr>
            </w:pPr>
          </w:p>
        </w:tc>
        <w:tc>
          <w:tcPr>
            <w:tcW w:w="280" w:type="dxa"/>
            <w:vAlign w:val="bottom"/>
          </w:tcPr>
          <w:p>
            <w:pPr>
              <w:spacing w:after="0"/>
              <w:rPr>
                <w:sz w:val="17"/>
                <w:szCs w:val="17"/>
                <w:color w:val="auto"/>
              </w:rPr>
            </w:pPr>
          </w:p>
        </w:tc>
        <w:tc>
          <w:tcPr>
            <w:tcW w:w="1800" w:type="dxa"/>
            <w:vAlign w:val="bottom"/>
          </w:tcPr>
          <w:p>
            <w:pPr>
              <w:jc w:val="center"/>
              <w:ind w:right="19"/>
              <w:spacing w:after="0"/>
              <w:rPr>
                <w:sz w:val="20"/>
                <w:szCs w:val="20"/>
                <w:color w:val="auto"/>
              </w:rPr>
            </w:pPr>
            <w:r>
              <w:rPr>
                <w:rFonts w:ascii="Arial" w:cs="Arial" w:eastAsia="Arial" w:hAnsi="Arial"/>
                <w:sz w:val="16"/>
                <w:szCs w:val="16"/>
                <w:color w:val="auto"/>
              </w:rPr>
              <w:t>($20 per SSAR)</w:t>
            </w:r>
          </w:p>
        </w:tc>
        <w:tc>
          <w:tcPr>
            <w:tcW w:w="2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64"/>
        </w:trPr>
        <w:tc>
          <w:tcPr>
            <w:tcW w:w="4240" w:type="dxa"/>
            <w:vAlign w:val="bottom"/>
            <w:gridSpan w:val="3"/>
          </w:tcPr>
          <w:p>
            <w:pPr>
              <w:spacing w:after="0"/>
              <w:rPr>
                <w:sz w:val="20"/>
                <w:szCs w:val="20"/>
                <w:color w:val="auto"/>
              </w:rPr>
            </w:pPr>
            <w:r>
              <w:rPr>
                <w:rFonts w:ascii="Arial" w:cs="Arial" w:eastAsia="Arial" w:hAnsi="Arial"/>
                <w:sz w:val="16"/>
                <w:szCs w:val="16"/>
                <w:i w:val="1"/>
                <w:iCs w:val="1"/>
                <w:color w:val="auto"/>
              </w:rPr>
              <w:t>*   Subject to tax withholding</w:t>
            </w:r>
          </w:p>
        </w:tc>
        <w:tc>
          <w:tcPr>
            <w:tcW w:w="180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337"/>
        </w:trPr>
        <w:tc>
          <w:tcPr>
            <w:tcW w:w="17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980" w:type="dxa"/>
            <w:vAlign w:val="bottom"/>
            <w:gridSpan w:val="4"/>
          </w:tcPr>
          <w:p>
            <w:pPr>
              <w:ind w:left="1120"/>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49</w:t>
            </w:r>
          </w:p>
        </w:tc>
      </w:tr>
    </w:tbl>
    <w:p>
      <w:pPr>
        <w:sectPr>
          <w:pgSz w:w="11900" w:h="16838" w:orient="portrait"/>
          <w:cols w:equalWidth="0" w:num="1">
            <w:col w:w="11220"/>
          </w:cols>
          <w:pgMar w:left="240" w:top="459" w:right="4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COMPENSATION DISCUSSION AND ANALYSIS</w:t>
      </w:r>
    </w:p>
    <w:p>
      <w:pPr>
        <w:spacing w:after="0" w:line="157" w:lineRule="exact"/>
        <w:rPr>
          <w:sz w:val="20"/>
          <w:szCs w:val="20"/>
          <w:color w:val="auto"/>
        </w:rPr>
      </w:pPr>
    </w:p>
    <w:p>
      <w:pPr>
        <w:ind w:left="220"/>
        <w:spacing w:after="0"/>
        <w:rPr>
          <w:sz w:val="20"/>
          <w:szCs w:val="20"/>
          <w:color w:val="auto"/>
        </w:rPr>
      </w:pPr>
      <w:r>
        <w:rPr>
          <w:rFonts w:ascii="Arial" w:cs="Arial" w:eastAsia="Arial" w:hAnsi="Arial"/>
          <w:sz w:val="16"/>
          <w:szCs w:val="16"/>
          <w:i w:val="1"/>
          <w:iCs w:val="1"/>
          <w:color w:val="32406B"/>
        </w:rPr>
        <w:t>Restricted Stock Units</w:t>
      </w:r>
    </w:p>
    <w:p>
      <w:pPr>
        <w:spacing w:after="0" w:line="102" w:lineRule="exact"/>
        <w:rPr>
          <w:sz w:val="20"/>
          <w:szCs w:val="20"/>
          <w:color w:val="auto"/>
        </w:rPr>
      </w:pPr>
    </w:p>
    <w:p>
      <w:pPr>
        <w:ind w:left="220" w:right="60"/>
        <w:spacing w:after="0" w:line="250" w:lineRule="auto"/>
        <w:rPr>
          <w:sz w:val="20"/>
          <w:szCs w:val="20"/>
          <w:color w:val="auto"/>
        </w:rPr>
      </w:pPr>
      <w:r>
        <w:rPr>
          <w:rFonts w:ascii="Arial" w:cs="Arial" w:eastAsia="Arial" w:hAnsi="Arial"/>
          <w:sz w:val="16"/>
          <w:szCs w:val="16"/>
          <w:color w:val="auto"/>
        </w:rPr>
        <w:t>RSU grants attract and retain NEOs by providing them some of the benefits associated with stock ownership during the vesting period. Executives do not actually own the shares underlying the units, nor enjoy the benefits of ownership such as dividends and voting, until the vesting conditions are satisfied. Once vested, the NEO receives shares of Dover stock equivalent in number to the vested units and receives a cash amount equal to accrued dividends during the vesting period, net of withholding taxes.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32406B"/>
        </w:rPr>
        <w:t>2018 Changes to our Executive Compensation</w:t>
      </w:r>
    </w:p>
    <w:p>
      <w:pPr>
        <w:spacing w:after="0" w:line="220"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32406B"/>
        </w:rPr>
        <w:t>Changes in Salary</w:t>
      </w:r>
    </w:p>
    <w:p>
      <w:pPr>
        <w:spacing w:after="0" w:line="9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Three of the five NEOs received a salary increase, ranging between 2.8% and 3.8%. Mr. Spurgeon and Mr. Sivasankaran did not receive an increase.</w:t>
      </w:r>
    </w:p>
    <w:p>
      <w:pPr>
        <w:spacing w:after="0" w:line="201"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32406B"/>
        </w:rPr>
        <w:t>Changes in Target Bonus and Long-Term Incentives</w:t>
      </w:r>
    </w:p>
    <w:p>
      <w:pPr>
        <w:spacing w:after="0" w:line="92" w:lineRule="exact"/>
        <w:rPr>
          <w:sz w:val="20"/>
          <w:szCs w:val="20"/>
          <w:color w:val="auto"/>
        </w:rPr>
      </w:pPr>
    </w:p>
    <w:p>
      <w:pPr>
        <w:ind w:left="220" w:right="180"/>
        <w:spacing w:after="0" w:line="260" w:lineRule="auto"/>
        <w:rPr>
          <w:sz w:val="20"/>
          <w:szCs w:val="20"/>
          <w:color w:val="auto"/>
        </w:rPr>
      </w:pPr>
      <w:r>
        <w:rPr>
          <w:rFonts w:ascii="Arial" w:cs="Arial" w:eastAsia="Arial" w:hAnsi="Arial"/>
          <w:sz w:val="16"/>
          <w:szCs w:val="16"/>
          <w:color w:val="auto"/>
        </w:rPr>
        <w:t>Mr. Sivasankaran will become the CEO of Apergy, upon the distribution to our shareholders of all of the common stock of Apergy. As a result, he did not receive a LTIP grant from Dover in 2018.</w:t>
      </w:r>
    </w:p>
    <w:p>
      <w:pPr>
        <w:spacing w:after="0" w:line="220" w:lineRule="exact"/>
        <w:rPr>
          <w:sz w:val="20"/>
          <w:szCs w:val="20"/>
          <w:color w:val="auto"/>
        </w:rPr>
      </w:pPr>
    </w:p>
    <w:tbl>
      <w:tblPr>
        <w:tblLayout w:type="fixed"/>
        <w:tblInd w:w="220" w:type="dxa"/>
        <w:tblCellMar>
          <w:top w:w="0" w:type="dxa"/>
          <w:left w:w="0" w:type="dxa"/>
          <w:bottom w:w="0" w:type="dxa"/>
          <w:right w:w="0" w:type="dxa"/>
        </w:tblCellMar>
      </w:tblPr>
      <w:tr>
        <w:trPr>
          <w:trHeight w:val="189"/>
        </w:trPr>
        <w:tc>
          <w:tcPr>
            <w:tcW w:w="5180" w:type="dxa"/>
            <w:vAlign w:val="bottom"/>
            <w:tcBorders>
              <w:right w:val="single" w:sz="8" w:color="999999"/>
            </w:tcBorders>
            <w:shd w:val="clear" w:color="auto" w:fill="505C81"/>
          </w:tcPr>
          <w:p>
            <w:pPr>
              <w:spacing w:after="0"/>
              <w:rPr>
                <w:sz w:val="16"/>
                <w:szCs w:val="16"/>
                <w:color w:val="auto"/>
              </w:rPr>
            </w:pPr>
          </w:p>
        </w:tc>
        <w:tc>
          <w:tcPr>
            <w:tcW w:w="2440" w:type="dxa"/>
            <w:vAlign w:val="bottom"/>
            <w:shd w:val="clear" w:color="auto" w:fill="505C81"/>
          </w:tcPr>
          <w:p>
            <w:pPr>
              <w:spacing w:after="0"/>
              <w:rPr>
                <w:sz w:val="16"/>
                <w:szCs w:val="16"/>
                <w:color w:val="auto"/>
              </w:rPr>
            </w:pPr>
          </w:p>
        </w:tc>
        <w:tc>
          <w:tcPr>
            <w:tcW w:w="1900" w:type="dxa"/>
            <w:vAlign w:val="bottom"/>
            <w:shd w:val="clear" w:color="auto" w:fill="505C81"/>
          </w:tcPr>
          <w:p>
            <w:pPr>
              <w:jc w:val="right"/>
              <w:ind w:right="1059"/>
              <w:spacing w:after="0"/>
              <w:rPr>
                <w:sz w:val="20"/>
                <w:szCs w:val="20"/>
                <w:color w:val="auto"/>
              </w:rPr>
            </w:pPr>
            <w:r>
              <w:rPr>
                <w:rFonts w:ascii="Arial" w:cs="Arial" w:eastAsia="Arial" w:hAnsi="Arial"/>
                <w:sz w:val="16"/>
                <w:szCs w:val="16"/>
                <w:b w:val="1"/>
                <w:bCs w:val="1"/>
                <w:color w:val="FFFFFF"/>
              </w:rPr>
              <w:t>2018</w:t>
            </w:r>
          </w:p>
        </w:tc>
        <w:tc>
          <w:tcPr>
            <w:tcW w:w="1480" w:type="dxa"/>
            <w:vAlign w:val="bottom"/>
            <w:shd w:val="clear" w:color="auto" w:fill="505C81"/>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180" w:type="dxa"/>
            <w:vAlign w:val="bottom"/>
            <w:tcBorders>
              <w:right w:val="single" w:sz="8" w:color="999999"/>
            </w:tcBorders>
            <w:shd w:val="clear" w:color="auto" w:fill="505C81"/>
          </w:tcPr>
          <w:p>
            <w:pPr>
              <w:spacing w:after="0"/>
              <w:rPr>
                <w:sz w:val="16"/>
                <w:szCs w:val="16"/>
                <w:color w:val="auto"/>
              </w:rPr>
            </w:pPr>
          </w:p>
        </w:tc>
        <w:tc>
          <w:tcPr>
            <w:tcW w:w="2440" w:type="dxa"/>
            <w:vAlign w:val="bottom"/>
            <w:shd w:val="clear" w:color="auto" w:fill="505C81"/>
          </w:tcPr>
          <w:p>
            <w:pPr>
              <w:spacing w:after="0"/>
              <w:rPr>
                <w:sz w:val="16"/>
                <w:szCs w:val="16"/>
                <w:color w:val="auto"/>
              </w:rPr>
            </w:pPr>
          </w:p>
        </w:tc>
        <w:tc>
          <w:tcPr>
            <w:tcW w:w="1900" w:type="dxa"/>
            <w:vAlign w:val="bottom"/>
            <w:shd w:val="clear" w:color="auto" w:fill="505C81"/>
          </w:tcPr>
          <w:p>
            <w:pPr>
              <w:jc w:val="center"/>
              <w:ind w:right="219"/>
              <w:spacing w:after="0"/>
              <w:rPr>
                <w:sz w:val="20"/>
                <w:szCs w:val="20"/>
                <w:color w:val="auto"/>
              </w:rPr>
            </w:pPr>
            <w:r>
              <w:rPr>
                <w:rFonts w:ascii="Arial" w:cs="Arial" w:eastAsia="Arial" w:hAnsi="Arial"/>
                <w:sz w:val="16"/>
                <w:szCs w:val="16"/>
                <w:b w:val="1"/>
                <w:bCs w:val="1"/>
                <w:color w:val="FFFFFF"/>
              </w:rPr>
              <w:t>Target Annual</w:t>
            </w:r>
          </w:p>
        </w:tc>
        <w:tc>
          <w:tcPr>
            <w:tcW w:w="1480" w:type="dxa"/>
            <w:vAlign w:val="bottom"/>
            <w:shd w:val="clear" w:color="auto" w:fill="505C81"/>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80" w:type="dxa"/>
            <w:vAlign w:val="bottom"/>
            <w:tcBorders>
              <w:right w:val="single" w:sz="8" w:color="999999"/>
            </w:tcBorders>
            <w:shd w:val="clear" w:color="auto" w:fill="505C81"/>
          </w:tcPr>
          <w:p>
            <w:pPr>
              <w:spacing w:after="0"/>
              <w:rPr>
                <w:sz w:val="16"/>
                <w:szCs w:val="16"/>
                <w:color w:val="auto"/>
              </w:rPr>
            </w:pPr>
          </w:p>
        </w:tc>
        <w:tc>
          <w:tcPr>
            <w:tcW w:w="2440" w:type="dxa"/>
            <w:vAlign w:val="bottom"/>
            <w:shd w:val="clear" w:color="auto" w:fill="505C81"/>
          </w:tcPr>
          <w:p>
            <w:pPr>
              <w:spacing w:after="0"/>
              <w:rPr>
                <w:sz w:val="16"/>
                <w:szCs w:val="16"/>
                <w:color w:val="auto"/>
              </w:rPr>
            </w:pPr>
          </w:p>
        </w:tc>
        <w:tc>
          <w:tcPr>
            <w:tcW w:w="1900" w:type="dxa"/>
            <w:vAlign w:val="bottom"/>
            <w:shd w:val="clear" w:color="auto" w:fill="505C81"/>
          </w:tcPr>
          <w:p>
            <w:pPr>
              <w:jc w:val="center"/>
              <w:ind w:right="219"/>
              <w:spacing w:after="0"/>
              <w:rPr>
                <w:sz w:val="20"/>
                <w:szCs w:val="20"/>
                <w:color w:val="auto"/>
              </w:rPr>
            </w:pPr>
            <w:r>
              <w:rPr>
                <w:rFonts w:ascii="Arial" w:cs="Arial" w:eastAsia="Arial" w:hAnsi="Arial"/>
                <w:sz w:val="16"/>
                <w:szCs w:val="16"/>
                <w:b w:val="1"/>
                <w:bCs w:val="1"/>
                <w:color w:val="FFFFFF"/>
              </w:rPr>
              <w:t>Incentive Plan</w:t>
            </w:r>
          </w:p>
        </w:tc>
        <w:tc>
          <w:tcPr>
            <w:tcW w:w="1480" w:type="dxa"/>
            <w:vAlign w:val="bottom"/>
            <w:shd w:val="clear" w:color="auto" w:fill="505C81"/>
          </w:tcPr>
          <w:p>
            <w:pPr>
              <w:jc w:val="right"/>
              <w:ind w:right="259"/>
              <w:spacing w:after="0"/>
              <w:rPr>
                <w:sz w:val="20"/>
                <w:szCs w:val="20"/>
                <w:color w:val="auto"/>
              </w:rPr>
            </w:pPr>
            <w:r>
              <w:rPr>
                <w:rFonts w:ascii="Arial" w:cs="Arial" w:eastAsia="Arial" w:hAnsi="Arial"/>
                <w:sz w:val="16"/>
                <w:szCs w:val="16"/>
                <w:b w:val="1"/>
                <w:bCs w:val="1"/>
                <w:color w:val="FFFFFF"/>
              </w:rPr>
              <w:t>Target LTIP</w:t>
            </w:r>
          </w:p>
        </w:tc>
        <w:tc>
          <w:tcPr>
            <w:tcW w:w="0" w:type="dxa"/>
            <w:vAlign w:val="bottom"/>
          </w:tcPr>
          <w:p>
            <w:pPr>
              <w:spacing w:after="0"/>
              <w:rPr>
                <w:sz w:val="1"/>
                <w:szCs w:val="1"/>
                <w:color w:val="auto"/>
              </w:rPr>
            </w:pPr>
          </w:p>
        </w:tc>
      </w:tr>
      <w:tr>
        <w:trPr>
          <w:trHeight w:val="207"/>
        </w:trPr>
        <w:tc>
          <w:tcPr>
            <w:tcW w:w="5180" w:type="dxa"/>
            <w:vAlign w:val="bottom"/>
            <w:tcBorders>
              <w:right w:val="single" w:sz="8" w:color="999999"/>
            </w:tcBorders>
            <w:shd w:val="clear" w:color="auto" w:fill="505C81"/>
          </w:tcPr>
          <w:p>
            <w:pPr>
              <w:ind w:left="180"/>
              <w:spacing w:after="0"/>
              <w:rPr>
                <w:sz w:val="20"/>
                <w:szCs w:val="20"/>
                <w:color w:val="auto"/>
              </w:rPr>
            </w:pPr>
            <w:r>
              <w:rPr>
                <w:rFonts w:ascii="Arial" w:cs="Arial" w:eastAsia="Arial" w:hAnsi="Arial"/>
                <w:sz w:val="16"/>
                <w:szCs w:val="16"/>
                <w:b w:val="1"/>
                <w:bCs w:val="1"/>
                <w:color w:val="FFFFFF"/>
              </w:rPr>
              <w:t>NEO</w:t>
            </w:r>
          </w:p>
        </w:tc>
        <w:tc>
          <w:tcPr>
            <w:tcW w:w="2440" w:type="dxa"/>
            <w:vAlign w:val="bottom"/>
            <w:shd w:val="clear" w:color="auto" w:fill="505C81"/>
          </w:tcPr>
          <w:p>
            <w:pPr>
              <w:jc w:val="right"/>
              <w:ind w:right="899"/>
              <w:spacing w:after="0"/>
              <w:rPr>
                <w:sz w:val="20"/>
                <w:szCs w:val="20"/>
                <w:color w:val="auto"/>
              </w:rPr>
            </w:pPr>
            <w:r>
              <w:rPr>
                <w:rFonts w:ascii="Arial" w:cs="Arial" w:eastAsia="Arial" w:hAnsi="Arial"/>
                <w:sz w:val="16"/>
                <w:szCs w:val="16"/>
                <w:b w:val="1"/>
                <w:bCs w:val="1"/>
                <w:color w:val="FFFFFF"/>
              </w:rPr>
              <w:t>Salary</w:t>
            </w:r>
          </w:p>
        </w:tc>
        <w:tc>
          <w:tcPr>
            <w:tcW w:w="1900" w:type="dxa"/>
            <w:vAlign w:val="bottom"/>
            <w:shd w:val="clear" w:color="auto" w:fill="505C81"/>
          </w:tcPr>
          <w:p>
            <w:pPr>
              <w:jc w:val="center"/>
              <w:ind w:right="219"/>
              <w:spacing w:after="0"/>
              <w:rPr>
                <w:sz w:val="20"/>
                <w:szCs w:val="20"/>
                <w:color w:val="auto"/>
              </w:rPr>
            </w:pPr>
            <w:r>
              <w:rPr>
                <w:rFonts w:ascii="Arial" w:cs="Arial" w:eastAsia="Arial" w:hAnsi="Arial"/>
                <w:sz w:val="16"/>
                <w:szCs w:val="16"/>
                <w:b w:val="1"/>
                <w:bCs w:val="1"/>
                <w:color w:val="FFFFFF"/>
              </w:rPr>
              <w:t>Bonus</w:t>
            </w:r>
          </w:p>
        </w:tc>
        <w:tc>
          <w:tcPr>
            <w:tcW w:w="1480" w:type="dxa"/>
            <w:vAlign w:val="bottom"/>
            <w:shd w:val="clear" w:color="auto" w:fill="505C81"/>
          </w:tcPr>
          <w:p>
            <w:pPr>
              <w:jc w:val="right"/>
              <w:ind w:right="439"/>
              <w:spacing w:after="0"/>
              <w:rPr>
                <w:sz w:val="20"/>
                <w:szCs w:val="20"/>
                <w:color w:val="auto"/>
              </w:rPr>
            </w:pPr>
            <w:r>
              <w:rPr>
                <w:rFonts w:ascii="Arial" w:cs="Arial" w:eastAsia="Arial" w:hAnsi="Arial"/>
                <w:sz w:val="16"/>
                <w:szCs w:val="16"/>
                <w:b w:val="1"/>
                <w:bCs w:val="1"/>
                <w:color w:val="FFFFFF"/>
              </w:rPr>
              <w:t>Award</w:t>
            </w:r>
          </w:p>
        </w:tc>
        <w:tc>
          <w:tcPr>
            <w:tcW w:w="0" w:type="dxa"/>
            <w:vAlign w:val="bottom"/>
          </w:tcPr>
          <w:p>
            <w:pPr>
              <w:spacing w:after="0"/>
              <w:rPr>
                <w:sz w:val="1"/>
                <w:szCs w:val="1"/>
                <w:color w:val="auto"/>
              </w:rPr>
            </w:pPr>
          </w:p>
        </w:tc>
      </w:tr>
      <w:tr>
        <w:trPr>
          <w:trHeight w:val="283"/>
        </w:trPr>
        <w:tc>
          <w:tcPr>
            <w:tcW w:w="5180" w:type="dxa"/>
            <w:vAlign w:val="bottom"/>
            <w:tcBorders>
              <w:right w:val="single" w:sz="8" w:color="999999"/>
            </w:tcBorders>
            <w:shd w:val="clear" w:color="auto" w:fill="D8D8D8"/>
          </w:tcPr>
          <w:p>
            <w:pPr>
              <w:ind w:left="180"/>
              <w:spacing w:after="0"/>
              <w:rPr>
                <w:sz w:val="20"/>
                <w:szCs w:val="20"/>
                <w:color w:val="auto"/>
              </w:rPr>
            </w:pPr>
            <w:r>
              <w:rPr>
                <w:rFonts w:ascii="Arial" w:cs="Arial" w:eastAsia="Arial" w:hAnsi="Arial"/>
                <w:sz w:val="16"/>
                <w:szCs w:val="16"/>
                <w:b w:val="1"/>
                <w:bCs w:val="1"/>
                <w:color w:val="auto"/>
              </w:rPr>
              <w:t>ROBERT A. LIVINGSTON</w:t>
            </w:r>
          </w:p>
        </w:tc>
        <w:tc>
          <w:tcPr>
            <w:tcW w:w="2440" w:type="dxa"/>
            <w:vAlign w:val="bottom"/>
            <w:shd w:val="clear" w:color="auto" w:fill="D8D8D8"/>
          </w:tcPr>
          <w:p>
            <w:pPr>
              <w:jc w:val="right"/>
              <w:ind w:right="159"/>
              <w:spacing w:after="0"/>
              <w:rPr>
                <w:sz w:val="20"/>
                <w:szCs w:val="20"/>
                <w:color w:val="auto"/>
              </w:rPr>
            </w:pPr>
            <w:r>
              <w:rPr>
                <w:rFonts w:ascii="Arial" w:cs="Arial" w:eastAsia="Arial" w:hAnsi="Arial"/>
                <w:sz w:val="16"/>
                <w:szCs w:val="16"/>
                <w:color w:val="auto"/>
              </w:rPr>
              <w:t>$1,100,000</w:t>
            </w:r>
          </w:p>
        </w:tc>
        <w:tc>
          <w:tcPr>
            <w:tcW w:w="1900" w:type="dxa"/>
            <w:vAlign w:val="bottom"/>
            <w:shd w:val="clear" w:color="auto" w:fill="D8D8D8"/>
          </w:tcPr>
          <w:p>
            <w:pPr>
              <w:jc w:val="right"/>
              <w:ind w:right="199"/>
              <w:spacing w:after="0"/>
              <w:rPr>
                <w:sz w:val="20"/>
                <w:szCs w:val="20"/>
                <w:color w:val="auto"/>
              </w:rPr>
            </w:pPr>
            <w:r>
              <w:rPr>
                <w:rFonts w:ascii="Arial" w:cs="Arial" w:eastAsia="Arial" w:hAnsi="Arial"/>
                <w:sz w:val="16"/>
                <w:szCs w:val="16"/>
                <w:color w:val="auto"/>
              </w:rPr>
              <w:t>125%</w:t>
            </w:r>
          </w:p>
        </w:tc>
        <w:tc>
          <w:tcPr>
            <w:tcW w:w="1480" w:type="dxa"/>
            <w:vAlign w:val="bottom"/>
            <w:shd w:val="clear" w:color="auto" w:fill="D8D8D8"/>
          </w:tcPr>
          <w:p>
            <w:pPr>
              <w:jc w:val="right"/>
              <w:spacing w:after="0" w:line="283" w:lineRule="exact"/>
              <w:rPr>
                <w:sz w:val="20"/>
                <w:szCs w:val="20"/>
                <w:color w:val="auto"/>
              </w:rPr>
            </w:pPr>
            <w:r>
              <w:rPr>
                <w:rFonts w:ascii="Arial" w:cs="Arial" w:eastAsia="Arial" w:hAnsi="Arial"/>
                <w:sz w:val="16"/>
                <w:szCs w:val="16"/>
                <w:color w:val="auto"/>
              </w:rPr>
              <w:t>$6,750,000</w:t>
            </w:r>
            <w:r>
              <w:rPr>
                <w:rFonts w:ascii="Arial" w:cs="Arial" w:eastAsia="Arial" w:hAnsi="Arial"/>
                <w:sz w:val="27"/>
                <w:szCs w:val="27"/>
                <w:color w:val="auto"/>
                <w:vertAlign w:val="superscript"/>
              </w:rPr>
              <w:t>(1)</w:t>
            </w:r>
          </w:p>
        </w:tc>
        <w:tc>
          <w:tcPr>
            <w:tcW w:w="0" w:type="dxa"/>
            <w:vAlign w:val="bottom"/>
          </w:tcPr>
          <w:p>
            <w:pPr>
              <w:spacing w:after="0"/>
              <w:rPr>
                <w:sz w:val="1"/>
                <w:szCs w:val="1"/>
                <w:color w:val="auto"/>
              </w:rPr>
            </w:pPr>
          </w:p>
        </w:tc>
      </w:tr>
      <w:tr>
        <w:trPr>
          <w:trHeight w:val="237"/>
        </w:trPr>
        <w:tc>
          <w:tcPr>
            <w:tcW w:w="5180" w:type="dxa"/>
            <w:vAlign w:val="bottom"/>
            <w:tcBorders>
              <w:right w:val="single" w:sz="8" w:color="999999"/>
            </w:tcBorders>
          </w:tcPr>
          <w:p>
            <w:pPr>
              <w:ind w:left="180"/>
              <w:spacing w:after="0"/>
              <w:rPr>
                <w:sz w:val="20"/>
                <w:szCs w:val="20"/>
                <w:color w:val="auto"/>
              </w:rPr>
            </w:pPr>
            <w:r>
              <w:rPr>
                <w:rFonts w:ascii="Arial" w:cs="Arial" w:eastAsia="Arial" w:hAnsi="Arial"/>
                <w:sz w:val="16"/>
                <w:szCs w:val="16"/>
                <w:b w:val="1"/>
                <w:bCs w:val="1"/>
                <w:color w:val="auto"/>
              </w:rPr>
              <w:t>BRAD M. CEREPAK</w:t>
            </w:r>
          </w:p>
        </w:tc>
        <w:tc>
          <w:tcPr>
            <w:tcW w:w="2440" w:type="dxa"/>
            <w:vAlign w:val="bottom"/>
            <w:vMerge w:val="restart"/>
          </w:tcPr>
          <w:p>
            <w:pPr>
              <w:jc w:val="right"/>
              <w:ind w:right="159"/>
              <w:spacing w:after="0"/>
              <w:rPr>
                <w:sz w:val="20"/>
                <w:szCs w:val="20"/>
                <w:color w:val="auto"/>
              </w:rPr>
            </w:pPr>
            <w:r>
              <w:rPr>
                <w:rFonts w:ascii="Arial" w:cs="Arial" w:eastAsia="Arial" w:hAnsi="Arial"/>
                <w:sz w:val="16"/>
                <w:szCs w:val="16"/>
                <w:color w:val="auto"/>
              </w:rPr>
              <w:t>$705,000</w:t>
            </w:r>
          </w:p>
        </w:tc>
        <w:tc>
          <w:tcPr>
            <w:tcW w:w="1900" w:type="dxa"/>
            <w:vAlign w:val="bottom"/>
            <w:vMerge w:val="restart"/>
          </w:tcPr>
          <w:p>
            <w:pPr>
              <w:jc w:val="right"/>
              <w:ind w:right="199"/>
              <w:spacing w:after="0"/>
              <w:rPr>
                <w:sz w:val="20"/>
                <w:szCs w:val="20"/>
                <w:color w:val="auto"/>
              </w:rPr>
            </w:pPr>
            <w:r>
              <w:rPr>
                <w:rFonts w:ascii="Arial" w:cs="Arial" w:eastAsia="Arial" w:hAnsi="Arial"/>
                <w:sz w:val="16"/>
                <w:szCs w:val="16"/>
                <w:color w:val="auto"/>
              </w:rPr>
              <w:t>100%</w:t>
            </w:r>
          </w:p>
        </w:tc>
        <w:tc>
          <w:tcPr>
            <w:tcW w:w="1480" w:type="dxa"/>
            <w:vAlign w:val="bottom"/>
          </w:tcPr>
          <w:p>
            <w:pPr>
              <w:jc w:val="right"/>
              <w:spacing w:after="0"/>
              <w:rPr>
                <w:sz w:val="20"/>
                <w:szCs w:val="20"/>
                <w:color w:val="auto"/>
              </w:rPr>
            </w:pPr>
            <w:r>
              <w:rPr>
                <w:rFonts w:ascii="Arial" w:cs="Arial" w:eastAsia="Arial" w:hAnsi="Arial"/>
                <w:sz w:val="16"/>
                <w:szCs w:val="16"/>
                <w:color w:val="auto"/>
              </w:rPr>
              <w:t>$2,000,000</w:t>
            </w:r>
          </w:p>
        </w:tc>
        <w:tc>
          <w:tcPr>
            <w:tcW w:w="0" w:type="dxa"/>
            <w:vAlign w:val="bottom"/>
          </w:tcPr>
          <w:p>
            <w:pPr>
              <w:spacing w:after="0"/>
              <w:rPr>
                <w:sz w:val="1"/>
                <w:szCs w:val="1"/>
                <w:color w:val="auto"/>
              </w:rPr>
            </w:pPr>
          </w:p>
        </w:tc>
      </w:tr>
      <w:tr>
        <w:trPr>
          <w:trHeight w:val="84"/>
        </w:trPr>
        <w:tc>
          <w:tcPr>
            <w:tcW w:w="5180" w:type="dxa"/>
            <w:vAlign w:val="bottom"/>
            <w:tcBorders>
              <w:right w:val="single" w:sz="8" w:color="999999"/>
            </w:tcBorders>
          </w:tcPr>
          <w:p>
            <w:pPr>
              <w:spacing w:after="0"/>
              <w:rPr>
                <w:sz w:val="7"/>
                <w:szCs w:val="7"/>
                <w:color w:val="auto"/>
              </w:rPr>
            </w:pPr>
          </w:p>
        </w:tc>
        <w:tc>
          <w:tcPr>
            <w:tcW w:w="2440" w:type="dxa"/>
            <w:vAlign w:val="bottom"/>
            <w:vMerge w:val="continue"/>
          </w:tcPr>
          <w:p>
            <w:pPr>
              <w:spacing w:after="0"/>
              <w:rPr>
                <w:sz w:val="7"/>
                <w:szCs w:val="7"/>
                <w:color w:val="auto"/>
              </w:rPr>
            </w:pPr>
          </w:p>
        </w:tc>
        <w:tc>
          <w:tcPr>
            <w:tcW w:w="1900" w:type="dxa"/>
            <w:vAlign w:val="bottom"/>
            <w:vMerge w:val="continue"/>
          </w:tcPr>
          <w:p>
            <w:pPr>
              <w:spacing w:after="0"/>
              <w:rPr>
                <w:sz w:val="7"/>
                <w:szCs w:val="7"/>
                <w:color w:val="auto"/>
              </w:rPr>
            </w:pPr>
          </w:p>
        </w:tc>
        <w:tc>
          <w:tcPr>
            <w:tcW w:w="1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6"/>
        </w:trPr>
        <w:tc>
          <w:tcPr>
            <w:tcW w:w="5180" w:type="dxa"/>
            <w:vAlign w:val="bottom"/>
            <w:tcBorders>
              <w:right w:val="single" w:sz="8" w:color="999999"/>
            </w:tcBorders>
            <w:shd w:val="clear" w:color="auto" w:fill="D8D8D8"/>
          </w:tcPr>
          <w:p>
            <w:pPr>
              <w:ind w:left="180"/>
              <w:spacing w:after="0"/>
              <w:rPr>
                <w:sz w:val="20"/>
                <w:szCs w:val="20"/>
                <w:color w:val="auto"/>
              </w:rPr>
            </w:pPr>
            <w:r>
              <w:rPr>
                <w:rFonts w:ascii="Arial" w:cs="Arial" w:eastAsia="Arial" w:hAnsi="Arial"/>
                <w:sz w:val="16"/>
                <w:szCs w:val="16"/>
                <w:b w:val="1"/>
                <w:bCs w:val="1"/>
                <w:color w:val="auto"/>
              </w:rPr>
              <w:t>C. ANDERSON FINCHER</w:t>
            </w:r>
          </w:p>
        </w:tc>
        <w:tc>
          <w:tcPr>
            <w:tcW w:w="2440" w:type="dxa"/>
            <w:vAlign w:val="bottom"/>
            <w:shd w:val="clear" w:color="auto" w:fill="D8D8D8"/>
          </w:tcPr>
          <w:p>
            <w:pPr>
              <w:jc w:val="right"/>
              <w:ind w:right="159"/>
              <w:spacing w:after="0"/>
              <w:rPr>
                <w:sz w:val="20"/>
                <w:szCs w:val="20"/>
                <w:color w:val="auto"/>
              </w:rPr>
            </w:pPr>
            <w:r>
              <w:rPr>
                <w:rFonts w:ascii="Arial" w:cs="Arial" w:eastAsia="Arial" w:hAnsi="Arial"/>
                <w:sz w:val="16"/>
                <w:szCs w:val="16"/>
                <w:color w:val="auto"/>
              </w:rPr>
              <w:t>$560,000</w:t>
            </w:r>
          </w:p>
        </w:tc>
        <w:tc>
          <w:tcPr>
            <w:tcW w:w="1900" w:type="dxa"/>
            <w:vAlign w:val="bottom"/>
            <w:shd w:val="clear" w:color="auto" w:fill="D8D8D8"/>
          </w:tcPr>
          <w:p>
            <w:pPr>
              <w:jc w:val="right"/>
              <w:ind w:right="199"/>
              <w:spacing w:after="0"/>
              <w:rPr>
                <w:sz w:val="20"/>
                <w:szCs w:val="20"/>
                <w:color w:val="auto"/>
              </w:rPr>
            </w:pPr>
            <w:r>
              <w:rPr>
                <w:rFonts w:ascii="Arial" w:cs="Arial" w:eastAsia="Arial" w:hAnsi="Arial"/>
                <w:sz w:val="16"/>
                <w:szCs w:val="16"/>
                <w:color w:val="auto"/>
              </w:rPr>
              <w:t>100%</w:t>
            </w:r>
          </w:p>
        </w:tc>
        <w:tc>
          <w:tcPr>
            <w:tcW w:w="1480" w:type="dxa"/>
            <w:vAlign w:val="bottom"/>
            <w:shd w:val="clear" w:color="auto" w:fill="D8D8D8"/>
          </w:tcPr>
          <w:p>
            <w:pPr>
              <w:jc w:val="right"/>
              <w:spacing w:after="0"/>
              <w:rPr>
                <w:sz w:val="20"/>
                <w:szCs w:val="20"/>
                <w:color w:val="auto"/>
              </w:rPr>
            </w:pPr>
            <w:r>
              <w:rPr>
                <w:rFonts w:ascii="Arial" w:cs="Arial" w:eastAsia="Arial" w:hAnsi="Arial"/>
                <w:sz w:val="16"/>
                <w:szCs w:val="16"/>
                <w:color w:val="auto"/>
              </w:rPr>
              <w:t>$1,100,000</w:t>
            </w:r>
          </w:p>
        </w:tc>
        <w:tc>
          <w:tcPr>
            <w:tcW w:w="0" w:type="dxa"/>
            <w:vAlign w:val="bottom"/>
          </w:tcPr>
          <w:p>
            <w:pPr>
              <w:spacing w:after="0"/>
              <w:rPr>
                <w:sz w:val="1"/>
                <w:szCs w:val="1"/>
                <w:color w:val="auto"/>
              </w:rPr>
            </w:pPr>
          </w:p>
        </w:tc>
      </w:tr>
      <w:tr>
        <w:trPr>
          <w:trHeight w:val="237"/>
        </w:trPr>
        <w:tc>
          <w:tcPr>
            <w:tcW w:w="5180" w:type="dxa"/>
            <w:vAlign w:val="bottom"/>
            <w:tcBorders>
              <w:right w:val="single" w:sz="8" w:color="999999"/>
            </w:tcBorders>
          </w:tcPr>
          <w:p>
            <w:pPr>
              <w:ind w:left="180"/>
              <w:spacing w:after="0"/>
              <w:rPr>
                <w:sz w:val="20"/>
                <w:szCs w:val="20"/>
                <w:color w:val="auto"/>
              </w:rPr>
            </w:pPr>
            <w:r>
              <w:rPr>
                <w:rFonts w:ascii="Arial" w:cs="Arial" w:eastAsia="Arial" w:hAnsi="Arial"/>
                <w:sz w:val="16"/>
                <w:szCs w:val="16"/>
                <w:b w:val="1"/>
                <w:bCs w:val="1"/>
                <w:color w:val="auto"/>
              </w:rPr>
              <w:t>SOMASUNDARAM SIVASANKARAN</w:t>
            </w:r>
          </w:p>
        </w:tc>
        <w:tc>
          <w:tcPr>
            <w:tcW w:w="2440" w:type="dxa"/>
            <w:vAlign w:val="bottom"/>
          </w:tcPr>
          <w:p>
            <w:pPr>
              <w:jc w:val="right"/>
              <w:ind w:right="159"/>
              <w:spacing w:after="0"/>
              <w:rPr>
                <w:sz w:val="20"/>
                <w:szCs w:val="20"/>
                <w:color w:val="auto"/>
              </w:rPr>
            </w:pPr>
            <w:r>
              <w:rPr>
                <w:rFonts w:ascii="Arial" w:cs="Arial" w:eastAsia="Arial" w:hAnsi="Arial"/>
                <w:sz w:val="16"/>
                <w:szCs w:val="16"/>
                <w:color w:val="auto"/>
              </w:rPr>
              <w:t>$535,000</w:t>
            </w:r>
          </w:p>
        </w:tc>
        <w:tc>
          <w:tcPr>
            <w:tcW w:w="1900" w:type="dxa"/>
            <w:vAlign w:val="bottom"/>
          </w:tcPr>
          <w:p>
            <w:pPr>
              <w:jc w:val="right"/>
              <w:ind w:right="199"/>
              <w:spacing w:after="0"/>
              <w:rPr>
                <w:sz w:val="20"/>
                <w:szCs w:val="20"/>
                <w:color w:val="auto"/>
              </w:rPr>
            </w:pPr>
            <w:r>
              <w:rPr>
                <w:rFonts w:ascii="Arial" w:cs="Arial" w:eastAsia="Arial" w:hAnsi="Arial"/>
                <w:sz w:val="16"/>
                <w:szCs w:val="16"/>
                <w:color w:val="auto"/>
              </w:rPr>
              <w:t>100%</w:t>
            </w:r>
          </w:p>
        </w:tc>
        <w:tc>
          <w:tcPr>
            <w:tcW w:w="1480" w:type="dxa"/>
            <w:vAlign w:val="bottom"/>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46"/>
        </w:trPr>
        <w:tc>
          <w:tcPr>
            <w:tcW w:w="5180" w:type="dxa"/>
            <w:vAlign w:val="bottom"/>
            <w:tcBorders>
              <w:right w:val="single" w:sz="8" w:color="999999"/>
            </w:tcBorders>
          </w:tcPr>
          <w:p>
            <w:pPr>
              <w:spacing w:after="0"/>
              <w:rPr>
                <w:sz w:val="4"/>
                <w:szCs w:val="4"/>
                <w:color w:val="auto"/>
              </w:rPr>
            </w:pPr>
          </w:p>
        </w:tc>
        <w:tc>
          <w:tcPr>
            <w:tcW w:w="2440" w:type="dxa"/>
            <w:vAlign w:val="bottom"/>
          </w:tcPr>
          <w:p>
            <w:pPr>
              <w:spacing w:after="0"/>
              <w:rPr>
                <w:sz w:val="4"/>
                <w:szCs w:val="4"/>
                <w:color w:val="auto"/>
              </w:rPr>
            </w:pPr>
          </w:p>
        </w:tc>
        <w:tc>
          <w:tcPr>
            <w:tcW w:w="1900" w:type="dxa"/>
            <w:vAlign w:val="bottom"/>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5180" w:type="dxa"/>
            <w:vAlign w:val="bottom"/>
            <w:tcBorders>
              <w:right w:val="single" w:sz="8" w:color="999999"/>
            </w:tcBorders>
            <w:shd w:val="clear" w:color="auto" w:fill="D8D8D8"/>
          </w:tcPr>
          <w:p>
            <w:pPr>
              <w:ind w:left="180"/>
              <w:spacing w:after="0"/>
              <w:rPr>
                <w:sz w:val="20"/>
                <w:szCs w:val="20"/>
                <w:color w:val="auto"/>
              </w:rPr>
            </w:pPr>
            <w:r>
              <w:rPr>
                <w:rFonts w:ascii="Arial" w:cs="Arial" w:eastAsia="Arial" w:hAnsi="Arial"/>
                <w:sz w:val="16"/>
                <w:szCs w:val="16"/>
                <w:b w:val="1"/>
                <w:bCs w:val="1"/>
                <w:color w:val="auto"/>
              </w:rPr>
              <w:t>WILLIAM W. SPURGEON, JR.</w:t>
            </w:r>
          </w:p>
        </w:tc>
        <w:tc>
          <w:tcPr>
            <w:tcW w:w="2440" w:type="dxa"/>
            <w:vAlign w:val="bottom"/>
            <w:shd w:val="clear" w:color="auto" w:fill="D8D8D8"/>
          </w:tcPr>
          <w:p>
            <w:pPr>
              <w:jc w:val="right"/>
              <w:ind w:right="159"/>
              <w:spacing w:after="0"/>
              <w:rPr>
                <w:sz w:val="20"/>
                <w:szCs w:val="20"/>
                <w:color w:val="auto"/>
              </w:rPr>
            </w:pPr>
            <w:r>
              <w:rPr>
                <w:rFonts w:ascii="Arial" w:cs="Arial" w:eastAsia="Arial" w:hAnsi="Arial"/>
                <w:sz w:val="16"/>
                <w:szCs w:val="16"/>
                <w:color w:val="auto"/>
              </w:rPr>
              <w:t>$650,000</w:t>
            </w:r>
          </w:p>
        </w:tc>
        <w:tc>
          <w:tcPr>
            <w:tcW w:w="1900" w:type="dxa"/>
            <w:vAlign w:val="bottom"/>
            <w:shd w:val="clear" w:color="auto" w:fill="D8D8D8"/>
          </w:tcPr>
          <w:p>
            <w:pPr>
              <w:jc w:val="right"/>
              <w:ind w:right="199"/>
              <w:spacing w:after="0"/>
              <w:rPr>
                <w:sz w:val="20"/>
                <w:szCs w:val="20"/>
                <w:color w:val="auto"/>
              </w:rPr>
            </w:pPr>
            <w:r>
              <w:rPr>
                <w:rFonts w:ascii="Arial" w:cs="Arial" w:eastAsia="Arial" w:hAnsi="Arial"/>
                <w:sz w:val="16"/>
                <w:szCs w:val="16"/>
                <w:color w:val="auto"/>
              </w:rPr>
              <w:t>100%</w:t>
            </w:r>
          </w:p>
        </w:tc>
        <w:tc>
          <w:tcPr>
            <w:tcW w:w="1480" w:type="dxa"/>
            <w:vAlign w:val="bottom"/>
            <w:shd w:val="clear" w:color="auto" w:fill="D8D8D8"/>
          </w:tcPr>
          <w:p>
            <w:pPr>
              <w:jc w:val="right"/>
              <w:spacing w:after="0"/>
              <w:rPr>
                <w:sz w:val="20"/>
                <w:szCs w:val="20"/>
                <w:color w:val="auto"/>
              </w:rPr>
            </w:pPr>
            <w:r>
              <w:rPr>
                <w:rFonts w:ascii="Arial" w:cs="Arial" w:eastAsia="Arial" w:hAnsi="Arial"/>
                <w:sz w:val="16"/>
                <w:szCs w:val="16"/>
                <w:color w:val="auto"/>
              </w:rPr>
              <w:t>$1,100,000</w:t>
            </w:r>
          </w:p>
        </w:tc>
        <w:tc>
          <w:tcPr>
            <w:tcW w:w="0" w:type="dxa"/>
            <w:vAlign w:val="bottom"/>
          </w:tcPr>
          <w:p>
            <w:pPr>
              <w:spacing w:after="0"/>
              <w:rPr>
                <w:sz w:val="1"/>
                <w:szCs w:val="1"/>
                <w:color w:val="auto"/>
              </w:rPr>
            </w:pPr>
          </w:p>
        </w:tc>
      </w:tr>
      <w:tr>
        <w:trPr>
          <w:trHeight w:val="46"/>
        </w:trPr>
        <w:tc>
          <w:tcPr>
            <w:tcW w:w="5180" w:type="dxa"/>
            <w:vAlign w:val="bottom"/>
            <w:tcBorders>
              <w:right w:val="single" w:sz="8" w:color="999999"/>
            </w:tcBorders>
            <w:shd w:val="clear" w:color="auto" w:fill="D8D8D8"/>
          </w:tcPr>
          <w:p>
            <w:pPr>
              <w:spacing w:after="0"/>
              <w:rPr>
                <w:sz w:val="4"/>
                <w:szCs w:val="4"/>
                <w:color w:val="auto"/>
              </w:rPr>
            </w:pPr>
          </w:p>
        </w:tc>
        <w:tc>
          <w:tcPr>
            <w:tcW w:w="2440" w:type="dxa"/>
            <w:vAlign w:val="bottom"/>
            <w:shd w:val="clear" w:color="auto" w:fill="D8D8D8"/>
          </w:tcPr>
          <w:p>
            <w:pPr>
              <w:spacing w:after="0"/>
              <w:rPr>
                <w:sz w:val="4"/>
                <w:szCs w:val="4"/>
                <w:color w:val="auto"/>
              </w:rPr>
            </w:pPr>
          </w:p>
        </w:tc>
        <w:tc>
          <w:tcPr>
            <w:tcW w:w="1900" w:type="dxa"/>
            <w:vAlign w:val="bottom"/>
            <w:shd w:val="clear" w:color="auto" w:fill="D8D8D8"/>
          </w:tcPr>
          <w:p>
            <w:pPr>
              <w:spacing w:after="0"/>
              <w:rPr>
                <w:sz w:val="4"/>
                <w:szCs w:val="4"/>
                <w:color w:val="auto"/>
              </w:rPr>
            </w:pPr>
          </w:p>
        </w:tc>
        <w:tc>
          <w:tcPr>
            <w:tcW w:w="1480" w:type="dxa"/>
            <w:vAlign w:val="bottom"/>
            <w:shd w:val="clear" w:color="auto" w:fill="D8D8D8"/>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3431540</wp:posOffset>
            </wp:positionH>
            <wp:positionV relativeFrom="paragraph">
              <wp:posOffset>-1292860</wp:posOffset>
            </wp:positionV>
            <wp:extent cx="369189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691890" cy="8255"/>
                    </a:xfrm>
                    <a:prstGeom prst="rect">
                      <a:avLst/>
                    </a:prstGeom>
                    <a:noFill/>
                  </pic:spPr>
                </pic:pic>
              </a:graphicData>
            </a:graphic>
          </wp:anchor>
        </w:drawing>
      </w:r>
    </w:p>
    <w:p>
      <w:pPr>
        <w:spacing w:after="0" w:line="33" w:lineRule="exact"/>
        <w:rPr>
          <w:sz w:val="20"/>
          <w:szCs w:val="20"/>
          <w:color w:val="auto"/>
        </w:rPr>
      </w:pPr>
    </w:p>
    <w:p>
      <w:pPr>
        <w:ind w:left="540" w:right="220" w:hanging="330"/>
        <w:spacing w:after="0" w:line="257" w:lineRule="auto"/>
        <w:tabs>
          <w:tab w:leader="none" w:pos="540" w:val="left"/>
        </w:tabs>
        <w:numPr>
          <w:ilvl w:val="0"/>
          <w:numId w:val="44"/>
        </w:numPr>
        <w:rPr>
          <w:rFonts w:ascii="Arial" w:cs="Arial" w:eastAsia="Arial" w:hAnsi="Arial"/>
          <w:sz w:val="16"/>
          <w:szCs w:val="16"/>
          <w:i w:val="1"/>
          <w:iCs w:val="1"/>
          <w:color w:val="auto"/>
        </w:rPr>
      </w:pPr>
      <w:r>
        <w:rPr>
          <w:rFonts w:ascii="Arial" w:cs="Arial" w:eastAsia="Arial" w:hAnsi="Arial"/>
          <w:sz w:val="16"/>
          <w:szCs w:val="16"/>
          <w:i w:val="1"/>
          <w:iCs w:val="1"/>
          <w:color w:val="auto"/>
        </w:rPr>
        <w:t>Mr. Livingston is eligible for retirement treatment under the LTIP which entitles him to have the SSAR and RSU portions of his 2018 LTIP grant continue to vest post-retirement. Pursuant to the terms of his grant, if Mr. Livingston retires prior to the vesting date of the SSARs or any tranche of the RSUs, the number of SSARs or RSUs that will continue to vest will be adjusted on a pro rata basis based on the number of days he was employed during the period January 1, 2018 through December 31, 2020.</w:t>
      </w:r>
    </w:p>
    <w:p>
      <w:pPr>
        <w:spacing w:after="0" w:line="179"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32406B"/>
        </w:rPr>
        <w:t>Changes in AIP Financial Metric Calculation</w:t>
      </w:r>
    </w:p>
    <w:p>
      <w:pPr>
        <w:spacing w:after="0" w:line="106" w:lineRule="exact"/>
        <w:rPr>
          <w:sz w:val="20"/>
          <w:szCs w:val="20"/>
          <w:color w:val="auto"/>
        </w:rPr>
      </w:pPr>
    </w:p>
    <w:p>
      <w:pPr>
        <w:jc w:val="both"/>
        <w:ind w:left="220" w:right="120"/>
        <w:spacing w:after="0" w:line="253" w:lineRule="auto"/>
        <w:rPr>
          <w:sz w:val="20"/>
          <w:szCs w:val="20"/>
          <w:color w:val="auto"/>
        </w:rPr>
      </w:pPr>
      <w:r>
        <w:rPr>
          <w:rFonts w:ascii="Arial" w:cs="Arial" w:eastAsia="Arial" w:hAnsi="Arial"/>
          <w:sz w:val="16"/>
          <w:szCs w:val="16"/>
          <w:color w:val="auto"/>
        </w:rPr>
        <w:t>For 2018, the AIP will include a modifier for the AIP metric tied to financial results (weighted at 60%). If the individual’s business unit exceeds its EBIT as a percentage of sales target, the financial results metric will increase by a maximum of 20%. If the individual’s business unit fails to achieve its EBIT as a percentage of sales target, the financial results metric will decrease by a maximum of 20%.</w:t>
      </w:r>
    </w:p>
    <w:p>
      <w:pPr>
        <w:spacing w:after="0" w:line="113" w:lineRule="exact"/>
        <w:rPr>
          <w:sz w:val="20"/>
          <w:szCs w:val="20"/>
          <w:color w:val="auto"/>
        </w:rPr>
      </w:pPr>
    </w:p>
    <w:p>
      <w:pPr>
        <w:ind w:left="7380"/>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50</w:t>
      </w:r>
    </w:p>
    <w:p>
      <w:pPr>
        <w:sectPr>
          <w:pgSz w:w="11900" w:h="16838" w:orient="portrait"/>
          <w:cols w:equalWidth="0" w:num="1">
            <w:col w:w="11220"/>
          </w:cols>
          <w:pgMar w:left="240" w:top="459" w:right="4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COMPENSATION DISCUSSION AND ANALYSIS</w:t>
      </w:r>
    </w:p>
    <w:p>
      <w:pPr>
        <w:spacing w:after="0" w:line="139"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32406B"/>
        </w:rPr>
        <w:t>Other Benefits</w:t>
      </w:r>
    </w:p>
    <w:p>
      <w:pPr>
        <w:spacing w:after="0" w:line="220"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32406B"/>
        </w:rPr>
        <w:t>401(k), Pension Plan and Health &amp; Wellness Plans</w:t>
      </w:r>
    </w:p>
    <w:p>
      <w:pPr>
        <w:spacing w:after="0" w:line="106" w:lineRule="exact"/>
        <w:rPr>
          <w:sz w:val="20"/>
          <w:szCs w:val="20"/>
          <w:color w:val="auto"/>
        </w:rPr>
      </w:pPr>
    </w:p>
    <w:p>
      <w:pPr>
        <w:ind w:left="220" w:right="60"/>
        <w:spacing w:after="0" w:line="248" w:lineRule="auto"/>
        <w:rPr>
          <w:sz w:val="20"/>
          <w:szCs w:val="20"/>
          <w:color w:val="auto"/>
        </w:rPr>
      </w:pPr>
      <w:r>
        <w:rPr>
          <w:rFonts w:ascii="Arial" w:cs="Arial" w:eastAsia="Arial" w:hAnsi="Arial"/>
          <w:sz w:val="16"/>
          <w:szCs w:val="16"/>
          <w:color w:val="auto"/>
        </w:rPr>
        <w:t>Our executive officers are able to participate in retirement and benefit plans generally available to our employees on the same terms as other employees. Dover and most of our businesses offer a 401(k) plan to substantially all U.S.-based employees and provide a Company matching contribution denominated as a percentage of the amount of salary deferred into the plan by a participant during the course of the year. Some of our U.S.-based employees also participate in a tax-qualified defined benefit pension plan. Effective December 31, 2013, we closed both our qualified and non-qualified defined benefit retirement plans to new employees. We intend to freeze any future benefit accruals in both plans effective December 31, 2023. All of our U.S.-based employees are offered a health and wellness plan (including health, term life and disability insurance). NEOs do not receive enhanced health and wellness benefits.</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32406B"/>
        </w:rPr>
        <w:t>Non-Qualified Retirement Plans</w:t>
      </w:r>
    </w:p>
    <w:p>
      <w:pPr>
        <w:spacing w:after="0" w:line="92" w:lineRule="exact"/>
        <w:rPr>
          <w:sz w:val="20"/>
          <w:szCs w:val="20"/>
          <w:color w:val="auto"/>
        </w:rPr>
      </w:pPr>
    </w:p>
    <w:p>
      <w:pPr>
        <w:ind w:left="220" w:right="160"/>
        <w:spacing w:after="0" w:line="253" w:lineRule="auto"/>
        <w:rPr>
          <w:sz w:val="20"/>
          <w:szCs w:val="20"/>
          <w:color w:val="auto"/>
        </w:rPr>
      </w:pPr>
      <w:r>
        <w:rPr>
          <w:rFonts w:ascii="Arial" w:cs="Arial" w:eastAsia="Arial" w:hAnsi="Arial"/>
          <w:sz w:val="16"/>
          <w:szCs w:val="16"/>
          <w:color w:val="auto"/>
        </w:rPr>
        <w:t>We offer two non-qualified plans with participation generally limited to individuals whose annual salary and bonus earnings exceed the Internal Revenue Service (“IRS”) limits applicable to our qualified plans: our PRP and our deferred compensation plan. Effective for 2016, participation in the deferred compensation plan is open to employees with an annual salary equal to or greater than $175,000.</w:t>
      </w:r>
    </w:p>
    <w:p>
      <w:pPr>
        <w:spacing w:after="0" w:line="160" w:lineRule="exact"/>
        <w:rPr>
          <w:sz w:val="20"/>
          <w:szCs w:val="20"/>
          <w:color w:val="auto"/>
        </w:rPr>
      </w:pPr>
    </w:p>
    <w:p>
      <w:pPr>
        <w:ind w:left="220" w:right="20"/>
        <w:spacing w:after="0" w:line="248" w:lineRule="auto"/>
        <w:rPr>
          <w:sz w:val="20"/>
          <w:szCs w:val="20"/>
          <w:color w:val="auto"/>
        </w:rPr>
      </w:pPr>
      <w:r>
        <w:rPr>
          <w:rFonts w:ascii="Arial" w:cs="Arial" w:eastAsia="Arial" w:hAnsi="Arial"/>
          <w:sz w:val="16"/>
          <w:szCs w:val="16"/>
          <w:color w:val="auto"/>
        </w:rPr>
        <w:t>After December 31, 2009, benefits under the PRP before offsets are determined using the benefit calculation and eligibility criteria as under the pension plan, except that IRS limits on compensation and benefits do not apply. Prior to December 31, 2009, the participants in the PRP accrued benefits greater than those offered in the pension plan. Effective January 1, 2010, we modified this plan so that executives subject to IRS compensation limits will accrue future benefits that are substantially the same as benefits under the pension plan. Individuals who participated in the PRP prior to January 1, 2010 will receive benefits calculated under the prior benefit formula through December 31, 2009 and benefits calculated under the lower PRP benefit formula on and after January 1, 2010. Amounts receivable by the executives under the PRP are reduced by any amounts receivable by them under the pension plan, any qualifying profit sharing plan, Company-paid portion of social security benefits, and the amounts of the Company match in the 401(k) plan.</w:t>
      </w:r>
    </w:p>
    <w:p>
      <w:pPr>
        <w:spacing w:after="0" w:line="180" w:lineRule="exact"/>
        <w:rPr>
          <w:sz w:val="20"/>
          <w:szCs w:val="20"/>
          <w:color w:val="auto"/>
        </w:rPr>
      </w:pPr>
    </w:p>
    <w:p>
      <w:pPr>
        <w:ind w:left="220" w:right="60"/>
        <w:spacing w:after="0" w:line="253" w:lineRule="auto"/>
        <w:rPr>
          <w:sz w:val="20"/>
          <w:szCs w:val="20"/>
          <w:color w:val="auto"/>
        </w:rPr>
      </w:pPr>
      <w:r>
        <w:rPr>
          <w:rFonts w:ascii="Arial" w:cs="Arial" w:eastAsia="Arial" w:hAnsi="Arial"/>
          <w:sz w:val="16"/>
          <w:szCs w:val="16"/>
          <w:color w:val="auto"/>
        </w:rPr>
        <w:t>Effective December 31, 2013, the PRP was closed to new employees. All eligible employees as of December 31, 2013 will continue to earn PRP benefits through December 31, 2023 as long as they remain employed by Dover and its affiliates. Effective December 31, 2023, Dover intends to eliminate any future benefit accruals consistent with the freezing of benefit accruals under the pension plan.</w:t>
      </w:r>
    </w:p>
    <w:p>
      <w:pPr>
        <w:spacing w:after="0" w:line="160" w:lineRule="exact"/>
        <w:rPr>
          <w:sz w:val="20"/>
          <w:szCs w:val="20"/>
          <w:color w:val="auto"/>
        </w:rPr>
      </w:pPr>
    </w:p>
    <w:p>
      <w:pPr>
        <w:ind w:left="220" w:right="20"/>
        <w:spacing w:after="0" w:line="249" w:lineRule="auto"/>
        <w:rPr>
          <w:sz w:val="20"/>
          <w:szCs w:val="20"/>
          <w:color w:val="auto"/>
        </w:rPr>
      </w:pPr>
      <w:r>
        <w:rPr>
          <w:rFonts w:ascii="Arial" w:cs="Arial" w:eastAsia="Arial" w:hAnsi="Arial"/>
          <w:sz w:val="16"/>
          <w:szCs w:val="16"/>
          <w:color w:val="auto"/>
        </w:rPr>
        <w:t>We offer a deferred compensation plan to allow participants to elect to defer their receipt of some or all of their salary, bonuses and any payout of a cash performance award. The plan permits executive officers to defer receipt of part of their compensation to later periods and facilitates tax planning for the participants. Effective January 1, 2014, the deferred compensation plan was amended to provide for certain matching and additional contributions for participants who do not also participate in the PRP. Our NEOs are participants in the PRP and are not eligible for matching or additional contributions under the deferred compensation plan. Accordingly, we do not consider the deferred compensation plan to play a major role in our compensation program for our NEOs as we do not match any amounts deferred or guarantee any particular return on deferrals.</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32406B"/>
        </w:rPr>
        <w:t>Executive Severance</w:t>
      </w:r>
    </w:p>
    <w:p>
      <w:pPr>
        <w:spacing w:after="0" w:line="92" w:lineRule="exact"/>
        <w:rPr>
          <w:sz w:val="20"/>
          <w:szCs w:val="20"/>
          <w:color w:val="auto"/>
        </w:rPr>
      </w:pPr>
    </w:p>
    <w:p>
      <w:pPr>
        <w:ind w:left="220" w:right="40"/>
        <w:spacing w:after="0" w:line="253" w:lineRule="auto"/>
        <w:rPr>
          <w:sz w:val="20"/>
          <w:szCs w:val="20"/>
          <w:color w:val="auto"/>
        </w:rPr>
      </w:pPr>
      <w:r>
        <w:rPr>
          <w:rFonts w:ascii="Arial" w:cs="Arial" w:eastAsia="Arial" w:hAnsi="Arial"/>
          <w:sz w:val="16"/>
          <w:szCs w:val="16"/>
          <w:color w:val="auto"/>
        </w:rPr>
        <w:t>All of our NEOs are eligible to participate in our severance plan. Under the plan, if we terminate an NEO’s employment without cause (as defined in the severance plan), the NEO will generally be entitled to receive twelve months of salary and healthcare benefits continuation, and a prorated bonus for time worked during the year. See “Potential Payments Upon Termination or Change-in-Control.”</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51</w:t>
      </w:r>
    </w:p>
    <w:p>
      <w:pPr>
        <w:sectPr>
          <w:pgSz w:w="11900" w:h="16838" w:orient="portrait"/>
          <w:cols w:equalWidth="0" w:num="1">
            <w:col w:w="11220"/>
          </w:cols>
          <w:pgMar w:left="240" w:top="459" w:right="4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COMPENSATION DISCUSSION AND ANALYSIS</w:t>
      </w:r>
    </w:p>
    <w:p>
      <w:pPr>
        <w:spacing w:after="0" w:line="153"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32406B"/>
        </w:rPr>
        <w:t>Senior Executive Change-in-Control Severance Plan</w:t>
      </w:r>
    </w:p>
    <w:p>
      <w:pPr>
        <w:spacing w:after="0" w:line="106" w:lineRule="exact"/>
        <w:rPr>
          <w:sz w:val="20"/>
          <w:szCs w:val="20"/>
          <w:color w:val="auto"/>
        </w:rPr>
      </w:pPr>
    </w:p>
    <w:p>
      <w:pPr>
        <w:ind w:left="220" w:right="40"/>
        <w:spacing w:after="0" w:line="248" w:lineRule="auto"/>
        <w:rPr>
          <w:sz w:val="20"/>
          <w:szCs w:val="20"/>
          <w:color w:val="auto"/>
        </w:rPr>
      </w:pPr>
      <w:r>
        <w:rPr>
          <w:rFonts w:ascii="Arial" w:cs="Arial" w:eastAsia="Arial" w:hAnsi="Arial"/>
          <w:sz w:val="16"/>
          <w:szCs w:val="16"/>
          <w:color w:val="auto"/>
        </w:rPr>
        <w:t>We have a senior executive CIC severance plan. The CIC severance plan establishes the severance benefits payable to eligible executives if they are involuntarily terminated following a change-in-control. All of our NEOs are eligible to participate in the CIC severance plan. An executive eligible to participate in the CIC severance plan as of the date of a change-in-control will be entitled to receive severance payments under the plan if, within 18 months after the change-in-control, either the executive’s employment is terminated by the Company without “cause” or he or she terminates employment for “good reason” (as such terms are defined in the plan). The severance payments and benefits will consist of: a lump sum payment equal to 2.0 times their annual salary and target bonus, and a lump sum payment equal to the cost of Consolidated Omnibus Budget Reconciliation Act (COBRA) health care benefit continuation of the executive and covered family members for twelve months. See “Potential Payments Upon Termination or Change-in-Control.”</w:t>
      </w:r>
    </w:p>
    <w:p>
      <w:pPr>
        <w:spacing w:after="0" w:line="355" w:lineRule="exact"/>
        <w:rPr>
          <w:sz w:val="20"/>
          <w:szCs w:val="20"/>
          <w:color w:val="auto"/>
        </w:rPr>
      </w:pPr>
    </w:p>
    <w:p>
      <w:pPr>
        <w:ind w:left="220" w:right="360"/>
        <w:spacing w:after="0" w:line="260" w:lineRule="auto"/>
        <w:rPr>
          <w:sz w:val="20"/>
          <w:szCs w:val="20"/>
          <w:color w:val="auto"/>
        </w:rPr>
      </w:pPr>
      <w:r>
        <w:rPr>
          <w:rFonts w:ascii="Arial" w:cs="Arial" w:eastAsia="Arial" w:hAnsi="Arial"/>
          <w:sz w:val="16"/>
          <w:szCs w:val="16"/>
          <w:color w:val="auto"/>
        </w:rPr>
        <w:t>No executive may receive severance benefits under more than one plan or arrangement. Dover does not provide tax gross-ups in the CIC severance plan.</w:t>
      </w:r>
    </w:p>
    <w:p>
      <w:pPr>
        <w:spacing w:after="0" w:line="161"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32406B"/>
        </w:rPr>
        <w:t>Other Elements of Compensation</w:t>
      </w:r>
    </w:p>
    <w:p>
      <w:pPr>
        <w:spacing w:after="0" w:line="220"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32406B"/>
        </w:rPr>
        <w:t>Clawback Policy</w:t>
      </w:r>
    </w:p>
    <w:p>
      <w:pPr>
        <w:spacing w:after="0" w:line="92" w:lineRule="exact"/>
        <w:rPr>
          <w:sz w:val="20"/>
          <w:szCs w:val="20"/>
          <w:color w:val="auto"/>
        </w:rPr>
      </w:pPr>
    </w:p>
    <w:p>
      <w:pPr>
        <w:jc w:val="both"/>
        <w:ind w:left="220" w:right="540"/>
        <w:spacing w:after="0" w:line="253" w:lineRule="auto"/>
        <w:rPr>
          <w:sz w:val="20"/>
          <w:szCs w:val="20"/>
          <w:color w:val="auto"/>
        </w:rPr>
      </w:pPr>
      <w:r>
        <w:rPr>
          <w:rFonts w:ascii="Arial" w:cs="Arial" w:eastAsia="Arial" w:hAnsi="Arial"/>
          <w:sz w:val="16"/>
          <w:szCs w:val="16"/>
          <w:color w:val="auto"/>
        </w:rPr>
        <w:t>Currently, our PRP includes clawback provisions for termination for cause and the severance plan and CIC severance plan provide for clawback of benefits for breaches of the plan. Our LTIP provides that awards will be subject to such clawback requirements and policies as may be required by applicable law or Dover policies in effect from time to time. We intend to adopt a broader recovery policy once the SEC issues final rules.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32406B"/>
        </w:rPr>
        <w:t>Anti-hedging and Anti-pledging Policy</w:t>
      </w:r>
    </w:p>
    <w:p>
      <w:pPr>
        <w:spacing w:after="0" w:line="10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Currently, all employees who receive an award under our LTIP, including all NEOs, are prohibited from hedging or pledging their position in Dover stock.</w:t>
      </w:r>
    </w:p>
    <w:p>
      <w:pPr>
        <w:spacing w:after="0" w:line="201"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32406B"/>
        </w:rPr>
        <w:t>Perquisites</w:t>
      </w:r>
    </w:p>
    <w:p>
      <w:pPr>
        <w:spacing w:after="0" w:line="92" w:lineRule="exact"/>
        <w:rPr>
          <w:sz w:val="20"/>
          <w:szCs w:val="20"/>
          <w:color w:val="auto"/>
        </w:rPr>
      </w:pPr>
    </w:p>
    <w:p>
      <w:pPr>
        <w:ind w:left="220" w:right="80"/>
        <w:spacing w:after="0" w:line="250" w:lineRule="auto"/>
        <w:rPr>
          <w:sz w:val="20"/>
          <w:szCs w:val="20"/>
          <w:color w:val="auto"/>
        </w:rPr>
      </w:pPr>
      <w:r>
        <w:rPr>
          <w:rFonts w:ascii="Arial" w:cs="Arial" w:eastAsia="Arial" w:hAnsi="Arial"/>
          <w:sz w:val="16"/>
          <w:szCs w:val="16"/>
          <w:color w:val="auto"/>
        </w:rPr>
        <w:t>We provide substantially no executive perquisites, nor does the Company own or operate any corporate aircraft. Management and the Compensation Committee believe that providing significant perquisites to executive officers would not be consistent with our overall compensation philosophy. As a result, we do not provide executive officers with social club memberships, company cars or car allowances, financial counseling, or any other perquisites. Executives participate only in programs generally available to Dover employees.</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52</w:t>
      </w:r>
    </w:p>
    <w:p>
      <w:pPr>
        <w:sectPr>
          <w:pgSz w:w="11900" w:h="16838" w:orient="portrait"/>
          <w:cols w:equalWidth="0" w:num="1">
            <w:col w:w="11220"/>
          </w:cols>
          <w:pgMar w:left="240" w:top="459" w:right="4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COMPENSATION DISCUSSION AND ANALYSIS</w:t>
      </w:r>
    </w:p>
    <w:p>
      <w:pPr>
        <w:spacing w:after="0" w:line="153"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32406B"/>
        </w:rPr>
        <w:t>Shareholding Guidelines</w:t>
      </w:r>
    </w:p>
    <w:p>
      <w:pPr>
        <w:spacing w:after="0" w:line="106" w:lineRule="exact"/>
        <w:rPr>
          <w:sz w:val="20"/>
          <w:szCs w:val="20"/>
          <w:color w:val="auto"/>
        </w:rPr>
      </w:pPr>
    </w:p>
    <w:p>
      <w:pPr>
        <w:ind w:left="220" w:right="80"/>
        <w:spacing w:after="0" w:line="250" w:lineRule="auto"/>
        <w:rPr>
          <w:sz w:val="20"/>
          <w:szCs w:val="20"/>
          <w:color w:val="auto"/>
        </w:rPr>
      </w:pPr>
      <w:r>
        <w:rPr>
          <w:rFonts w:ascii="Arial" w:cs="Arial" w:eastAsia="Arial" w:hAnsi="Arial"/>
          <w:sz w:val="16"/>
          <w:szCs w:val="16"/>
          <w:color w:val="auto"/>
        </w:rPr>
        <w:t>We believe that our executives will most effectively pursue the long-term interests of our shareholders if they are shareholders themselves. As a result, share ownership guidelines are in place for all NEOs (subject to exceptions that may be granted by the Compensation Committee for significant personal events or retirement planning). Our policy requires that NEOs hold/retain all equity grants until the share ownership guidelines are met. Based on current share ownership, all NEOs currently meet the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1109980</wp:posOffset>
            </wp:positionH>
            <wp:positionV relativeFrom="paragraph">
              <wp:posOffset>146050</wp:posOffset>
            </wp:positionV>
            <wp:extent cx="5036820" cy="11995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036820" cy="1199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20" w:right="520"/>
        <w:spacing w:after="0" w:line="260" w:lineRule="auto"/>
        <w:rPr>
          <w:sz w:val="20"/>
          <w:szCs w:val="20"/>
          <w:color w:val="auto"/>
        </w:rPr>
      </w:pPr>
      <w:r>
        <w:rPr>
          <w:rFonts w:ascii="Arial" w:cs="Arial" w:eastAsia="Arial" w:hAnsi="Arial"/>
          <w:sz w:val="16"/>
          <w:szCs w:val="16"/>
          <w:color w:val="auto"/>
        </w:rPr>
        <w:t>The Compensation Committee reserves the right to provide a portion of annual bonus in stock for any officer who fails to meet or make satisfactory progress toward satisfying the guidelines.</w:t>
      </w:r>
    </w:p>
    <w:p>
      <w:pPr>
        <w:spacing w:after="0" w:line="175"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32406B"/>
        </w:rPr>
        <w:t>Risk Assessment</w:t>
      </w:r>
    </w:p>
    <w:p>
      <w:pPr>
        <w:spacing w:after="0" w:line="92" w:lineRule="exact"/>
        <w:rPr>
          <w:sz w:val="20"/>
          <w:szCs w:val="20"/>
          <w:color w:val="auto"/>
        </w:rPr>
      </w:pPr>
    </w:p>
    <w:p>
      <w:pPr>
        <w:ind w:left="220" w:right="100"/>
        <w:spacing w:after="0" w:line="249" w:lineRule="auto"/>
        <w:rPr>
          <w:sz w:val="20"/>
          <w:szCs w:val="20"/>
          <w:color w:val="auto"/>
        </w:rPr>
      </w:pPr>
      <w:r>
        <w:rPr>
          <w:rFonts w:ascii="Arial" w:cs="Arial" w:eastAsia="Arial" w:hAnsi="Arial"/>
          <w:sz w:val="16"/>
          <w:szCs w:val="16"/>
          <w:color w:val="auto"/>
        </w:rPr>
        <w:t>In 2017, Dover, with the assistance of Willis Towers Watson, conducted a formal risk assessment for all our incentive compensation programs that have material impact on our financial statements. Willis Towers Watson inventoried incentive compensation programs at the corporate and operating company levels globally and conducted in-depth reviews of financially material plans, identified based on expected spend and income statement accounts tied to the program. The reviews focused on both the plan design features as well as internal risk mitigation controls in place. Based on this review, we have concluded that Dover’s compensation practices and policies do not create risks that are reasonably likely to have a material adverse effect on the Company.</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53</w:t>
      </w:r>
    </w:p>
    <w:p>
      <w:pPr>
        <w:sectPr>
          <w:pgSz w:w="11900" w:h="16838" w:orient="portrait"/>
          <w:cols w:equalWidth="0" w:num="1">
            <w:col w:w="11220"/>
          </w:cols>
          <w:pgMar w:left="240" w:top="459" w:right="4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76" w:lineRule="exact"/>
        <w:rPr>
          <w:sz w:val="20"/>
          <w:szCs w:val="20"/>
          <w:color w:val="auto"/>
        </w:rPr>
      </w:pPr>
    </w:p>
    <w:p>
      <w:pPr>
        <w:ind w:left="360"/>
        <w:spacing w:after="0"/>
        <w:rPr>
          <w:sz w:val="20"/>
          <w:szCs w:val="20"/>
          <w:color w:val="auto"/>
        </w:rPr>
      </w:pPr>
      <w:r>
        <w:rPr>
          <w:rFonts w:ascii="Arial" w:cs="Arial" w:eastAsia="Arial" w:hAnsi="Arial"/>
          <w:sz w:val="36"/>
          <w:szCs w:val="36"/>
          <w:b w:val="1"/>
          <w:bCs w:val="1"/>
          <w:color w:val="32406B"/>
        </w:rPr>
        <w:t>Compensation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187325</wp:posOffset>
            </wp:positionV>
            <wp:extent cx="6989445" cy="18675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989445" cy="1867535"/>
                    </a:xfrm>
                    <a:prstGeom prst="rect">
                      <a:avLst/>
                    </a:prstGeom>
                    <a:noFill/>
                  </pic:spPr>
                </pic:pic>
              </a:graphicData>
            </a:graphic>
          </wp:anchor>
        </w:drawing>
      </w:r>
    </w:p>
    <w:p>
      <w:pPr>
        <w:spacing w:after="0" w:line="31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We reviewed and discussed with management the Compensation Discussion and Analysis for the year ended December 31, 2017.</w:t>
      </w:r>
    </w:p>
    <w:p>
      <w:pPr>
        <w:spacing w:after="0" w:line="180" w:lineRule="exact"/>
        <w:rPr>
          <w:sz w:val="20"/>
          <w:szCs w:val="20"/>
          <w:color w:val="auto"/>
        </w:rPr>
      </w:pPr>
    </w:p>
    <w:p>
      <w:pPr>
        <w:ind w:left="320" w:right="320"/>
        <w:spacing w:after="0" w:line="260" w:lineRule="auto"/>
        <w:rPr>
          <w:sz w:val="20"/>
          <w:szCs w:val="20"/>
          <w:color w:val="auto"/>
        </w:rPr>
      </w:pPr>
      <w:r>
        <w:rPr>
          <w:rFonts w:ascii="Arial" w:cs="Arial" w:eastAsia="Arial" w:hAnsi="Arial"/>
          <w:sz w:val="16"/>
          <w:szCs w:val="16"/>
          <w:color w:val="auto"/>
        </w:rPr>
        <w:t>Based on the review and discussions referred to above, we recommended to the Board of Directors that the Compensation Discussion and Analysis be included in this Proxy Statement and incorporated by reference in Dover’s Annual Report on Form 10-K for the year ended December 31, 2017.</w:t>
      </w:r>
    </w:p>
    <w:p>
      <w:pPr>
        <w:sectPr>
          <w:pgSz w:w="11900" w:h="16838" w:orient="portrait"/>
          <w:cols w:equalWidth="0" w:num="1">
            <w:col w:w="11220"/>
          </w:cols>
          <w:pgMar w:left="240" w:top="459" w:right="439" w:bottom="1440" w:gutter="0" w:footer="0" w:header="0"/>
        </w:sectPr>
      </w:pPr>
    </w:p>
    <w:p>
      <w:pPr>
        <w:spacing w:after="0" w:line="19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Compensation Committee:</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Richard K. Lochridge (Chair)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Peter T. Francis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Kristiane C. Graham</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Michael F. Johnston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Richard J. Tobin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Keith E. Wandell</w:t>
      </w:r>
    </w:p>
    <w:p>
      <w:pPr>
        <w:spacing w:after="0" w:line="178" w:lineRule="exact"/>
        <w:rPr>
          <w:sz w:val="20"/>
          <w:szCs w:val="20"/>
          <w:color w:val="auto"/>
        </w:rPr>
      </w:pPr>
    </w:p>
    <w:p>
      <w:pPr>
        <w:sectPr>
          <w:pgSz w:w="11900" w:h="16838" w:orient="portrait"/>
          <w:cols w:equalWidth="0" w:num="2">
            <w:col w:w="2520" w:space="720"/>
            <w:col w:w="7980"/>
          </w:cols>
          <w:pgMar w:left="240" w:top="459" w:right="439" w:bottom="1440" w:gutter="0" w:footer="0" w:header="0"/>
          <w:type w:val="continuous"/>
        </w:sectPr>
      </w:pPr>
    </w:p>
    <w:p>
      <w:pPr>
        <w:ind w:left="320" w:right="160"/>
        <w:spacing w:after="0" w:line="263" w:lineRule="auto"/>
        <w:rPr>
          <w:sz w:val="20"/>
          <w:szCs w:val="20"/>
          <w:color w:val="auto"/>
        </w:rPr>
      </w:pPr>
      <w:r>
        <w:rPr>
          <w:rFonts w:ascii="Arial" w:cs="Arial" w:eastAsia="Arial" w:hAnsi="Arial"/>
          <w:sz w:val="16"/>
          <w:szCs w:val="16"/>
          <w:i w:val="1"/>
          <w:iCs w:val="1"/>
          <w:color w:val="auto"/>
        </w:rPr>
        <w:t>This report does not constitute “soliciting material” and shall not be deemed filed or incorporated by reference into any filing under the Securities Act of 1933 or under the Securities Exchange Act of 1934, except to the extent the Company specifically incorporates this report by reference, and shall not otherwise be deemed filed under such Acts.</w:t>
      </w:r>
    </w:p>
    <w:p>
      <w:pPr>
        <w:spacing w:after="0" w:line="16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54</w:t>
      </w:r>
    </w:p>
    <w:p>
      <w:pPr>
        <w:sectPr>
          <w:pgSz w:w="11900" w:h="16838" w:orient="portrait"/>
          <w:cols w:equalWidth="0" w:num="1">
            <w:col w:w="11220"/>
          </w:cols>
          <w:pgMar w:left="240" w:top="459" w:right="439" w:bottom="1440" w:gutter="0" w:footer="0" w:header="0"/>
          <w:type w:val="continuous"/>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76" w:lineRule="exact"/>
        <w:rPr>
          <w:sz w:val="20"/>
          <w:szCs w:val="20"/>
          <w:color w:val="auto"/>
        </w:rPr>
      </w:pPr>
    </w:p>
    <w:p>
      <w:pPr>
        <w:ind w:left="220"/>
        <w:spacing w:after="0"/>
        <w:rPr>
          <w:sz w:val="20"/>
          <w:szCs w:val="20"/>
          <w:color w:val="auto"/>
        </w:rPr>
      </w:pPr>
      <w:r>
        <w:rPr>
          <w:rFonts w:ascii="Arial" w:cs="Arial" w:eastAsia="Arial" w:hAnsi="Arial"/>
          <w:sz w:val="36"/>
          <w:szCs w:val="36"/>
          <w:b w:val="1"/>
          <w:bCs w:val="1"/>
          <w:color w:val="32406B"/>
        </w:rPr>
        <w:t>Executive Compensation Tables</w:t>
      </w:r>
    </w:p>
    <w:p>
      <w:pPr>
        <w:spacing w:after="0" w:line="235"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32406B"/>
        </w:rPr>
        <w:t>Summary Compensation Table</w:t>
      </w:r>
    </w:p>
    <w:p>
      <w:pPr>
        <w:spacing w:after="0" w:line="10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Summary Compensation Table and notes show all remuneration for 2017 provided to our NEOs, consisting of the following officers: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6"/>
          <w:szCs w:val="16"/>
          <w:color w:val="auto"/>
        </w:rPr>
        <w:t>Our President &amp; CEO;</w:t>
      </w:r>
    </w:p>
    <w:p>
      <w:pPr>
        <w:spacing w:after="0" w:line="7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Our Senior Vice President &amp; Chief Financial Officer; and</w:t>
      </w:r>
    </w:p>
    <w:p>
      <w:pPr>
        <w:spacing w:after="0" w:line="86" w:lineRule="exact"/>
        <w:rPr>
          <w:sz w:val="20"/>
          <w:szCs w:val="20"/>
          <w:color w:val="auto"/>
        </w:rPr>
      </w:pPr>
    </w:p>
    <w:p>
      <w:pPr>
        <w:ind w:left="540"/>
        <w:spacing w:after="0"/>
        <w:rPr>
          <w:sz w:val="20"/>
          <w:szCs w:val="20"/>
          <w:color w:val="auto"/>
        </w:rPr>
      </w:pPr>
      <w:r>
        <w:rPr>
          <w:rFonts w:ascii="Arial" w:cs="Arial" w:eastAsia="Arial" w:hAnsi="Arial"/>
          <w:sz w:val="16"/>
          <w:szCs w:val="16"/>
          <w:color w:val="auto"/>
        </w:rPr>
        <w:t>Our three other most highly compensated executive officers as of the end of 2017.</w:t>
      </w:r>
    </w:p>
    <w:p>
      <w:pPr>
        <w:spacing w:after="0" w:line="221" w:lineRule="exact"/>
        <w:rPr>
          <w:sz w:val="20"/>
          <w:szCs w:val="20"/>
          <w:color w:val="auto"/>
        </w:rPr>
      </w:pPr>
    </w:p>
    <w:p>
      <w:pPr>
        <w:ind w:left="220" w:right="140"/>
        <w:spacing w:after="0" w:line="260" w:lineRule="auto"/>
        <w:rPr>
          <w:sz w:val="20"/>
          <w:szCs w:val="20"/>
          <w:color w:val="auto"/>
        </w:rPr>
      </w:pPr>
      <w:r>
        <w:rPr>
          <w:rFonts w:ascii="Arial" w:cs="Arial" w:eastAsia="Arial" w:hAnsi="Arial"/>
          <w:sz w:val="16"/>
          <w:szCs w:val="16"/>
          <w:color w:val="auto"/>
        </w:rPr>
        <w:t>The determination of the most highly compensated executive officers is based on total compensation paid or accrued for 2017, excluding changes in the actuarial value of defined benefit plans and earnings on nonqualified deferred compensation balances.</w:t>
      </w:r>
    </w:p>
    <w:p>
      <w:pPr>
        <w:spacing w:after="0" w:line="200"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6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ind w:left="80"/>
              <w:spacing w:after="0"/>
              <w:rPr>
                <w:sz w:val="20"/>
                <w:szCs w:val="20"/>
                <w:color w:val="auto"/>
              </w:rPr>
            </w:pPr>
            <w:r>
              <w:rPr>
                <w:rFonts w:ascii="Arial" w:cs="Arial" w:eastAsia="Arial" w:hAnsi="Arial"/>
                <w:sz w:val="14"/>
                <w:szCs w:val="14"/>
                <w:b w:val="1"/>
                <w:bCs w:val="1"/>
                <w:color w:val="auto"/>
              </w:rPr>
              <w:t>Change in</w:t>
            </w:r>
          </w:p>
        </w:tc>
        <w:tc>
          <w:tcPr>
            <w:tcW w:w="11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80" w:type="dxa"/>
            <w:vAlign w:val="bottom"/>
          </w:tcPr>
          <w:p>
            <w:pPr>
              <w:ind w:left="80"/>
              <w:spacing w:after="0"/>
              <w:rPr>
                <w:sz w:val="20"/>
                <w:szCs w:val="20"/>
                <w:color w:val="auto"/>
              </w:rPr>
            </w:pPr>
            <w:r>
              <w:rPr>
                <w:rFonts w:ascii="Arial" w:cs="Arial" w:eastAsia="Arial" w:hAnsi="Arial"/>
                <w:sz w:val="14"/>
                <w:szCs w:val="14"/>
                <w:b w:val="1"/>
                <w:bCs w:val="1"/>
                <w:color w:val="auto"/>
              </w:rPr>
              <w:t>Pension Value</w:t>
            </w: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80" w:type="dxa"/>
            <w:vAlign w:val="bottom"/>
          </w:tcPr>
          <w:p>
            <w:pPr>
              <w:ind w:left="80"/>
              <w:spacing w:after="0"/>
              <w:rPr>
                <w:sz w:val="20"/>
                <w:szCs w:val="20"/>
                <w:color w:val="auto"/>
              </w:rPr>
            </w:pPr>
            <w:r>
              <w:rPr>
                <w:rFonts w:ascii="Arial" w:cs="Arial" w:eastAsia="Arial" w:hAnsi="Arial"/>
                <w:sz w:val="14"/>
                <w:szCs w:val="14"/>
                <w:b w:val="1"/>
                <w:bCs w:val="1"/>
                <w:color w:val="auto"/>
              </w:rPr>
              <w:t>and</w:t>
            </w: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80" w:type="dxa"/>
            <w:vAlign w:val="bottom"/>
          </w:tcPr>
          <w:p>
            <w:pPr>
              <w:ind w:left="80"/>
              <w:spacing w:after="0"/>
              <w:rPr>
                <w:sz w:val="20"/>
                <w:szCs w:val="20"/>
                <w:color w:val="auto"/>
              </w:rPr>
            </w:pPr>
            <w:r>
              <w:rPr>
                <w:rFonts w:ascii="Arial" w:cs="Arial" w:eastAsia="Arial" w:hAnsi="Arial"/>
                <w:sz w:val="14"/>
                <w:szCs w:val="14"/>
                <w:b w:val="1"/>
                <w:bCs w:val="1"/>
                <w:color w:val="auto"/>
              </w:rPr>
              <w:t>Nonqualified</w:t>
            </w: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80" w:type="dxa"/>
            <w:vAlign w:val="bottom"/>
          </w:tcPr>
          <w:p>
            <w:pPr>
              <w:ind w:left="80"/>
              <w:spacing w:after="0"/>
              <w:rPr>
                <w:sz w:val="20"/>
                <w:szCs w:val="20"/>
                <w:color w:val="auto"/>
              </w:rPr>
            </w:pPr>
            <w:r>
              <w:rPr>
                <w:rFonts w:ascii="Arial" w:cs="Arial" w:eastAsia="Arial" w:hAnsi="Arial"/>
                <w:sz w:val="14"/>
                <w:szCs w:val="14"/>
                <w:b w:val="1"/>
                <w:bCs w:val="1"/>
                <w:color w:val="auto"/>
              </w:rPr>
              <w:t>Non-Equity</w:t>
            </w:r>
          </w:p>
        </w:tc>
        <w:tc>
          <w:tcPr>
            <w:tcW w:w="1180" w:type="dxa"/>
            <w:vAlign w:val="bottom"/>
          </w:tcPr>
          <w:p>
            <w:pPr>
              <w:ind w:left="80"/>
              <w:spacing w:after="0"/>
              <w:rPr>
                <w:sz w:val="20"/>
                <w:szCs w:val="20"/>
                <w:color w:val="auto"/>
              </w:rPr>
            </w:pPr>
            <w:r>
              <w:rPr>
                <w:rFonts w:ascii="Arial" w:cs="Arial" w:eastAsia="Arial" w:hAnsi="Arial"/>
                <w:sz w:val="14"/>
                <w:szCs w:val="14"/>
                <w:b w:val="1"/>
                <w:bCs w:val="1"/>
                <w:color w:val="auto"/>
              </w:rPr>
              <w:t>Deferred</w:t>
            </w: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4"/>
                <w:szCs w:val="14"/>
                <w:b w:val="1"/>
                <w:bCs w:val="1"/>
                <w:color w:val="auto"/>
              </w:rPr>
              <w:t>Stock</w:t>
            </w:r>
          </w:p>
        </w:tc>
        <w:tc>
          <w:tcPr>
            <w:tcW w:w="840" w:type="dxa"/>
            <w:vAlign w:val="bottom"/>
          </w:tcPr>
          <w:p>
            <w:pPr>
              <w:ind w:left="80"/>
              <w:spacing w:after="0"/>
              <w:rPr>
                <w:sz w:val="20"/>
                <w:szCs w:val="20"/>
                <w:color w:val="auto"/>
              </w:rPr>
            </w:pPr>
            <w:r>
              <w:rPr>
                <w:rFonts w:ascii="Arial" w:cs="Arial" w:eastAsia="Arial" w:hAnsi="Arial"/>
                <w:sz w:val="14"/>
                <w:szCs w:val="14"/>
                <w:b w:val="1"/>
                <w:bCs w:val="1"/>
                <w:color w:val="auto"/>
              </w:rPr>
              <w:t>Option</w:t>
            </w:r>
          </w:p>
        </w:tc>
        <w:tc>
          <w:tcPr>
            <w:tcW w:w="1180" w:type="dxa"/>
            <w:vAlign w:val="bottom"/>
          </w:tcPr>
          <w:p>
            <w:pPr>
              <w:ind w:left="80"/>
              <w:spacing w:after="0"/>
              <w:rPr>
                <w:sz w:val="20"/>
                <w:szCs w:val="20"/>
                <w:color w:val="auto"/>
              </w:rPr>
            </w:pPr>
            <w:r>
              <w:rPr>
                <w:rFonts w:ascii="Arial" w:cs="Arial" w:eastAsia="Arial" w:hAnsi="Arial"/>
                <w:sz w:val="14"/>
                <w:szCs w:val="14"/>
                <w:b w:val="1"/>
                <w:bCs w:val="1"/>
                <w:color w:val="auto"/>
              </w:rPr>
              <w:t>Incentive Plan</w:t>
            </w:r>
          </w:p>
        </w:tc>
        <w:tc>
          <w:tcPr>
            <w:tcW w:w="1180" w:type="dxa"/>
            <w:vAlign w:val="bottom"/>
          </w:tcPr>
          <w:p>
            <w:pPr>
              <w:ind w:left="80"/>
              <w:spacing w:after="0"/>
              <w:rPr>
                <w:sz w:val="20"/>
                <w:szCs w:val="20"/>
                <w:color w:val="auto"/>
              </w:rPr>
            </w:pPr>
            <w:r>
              <w:rPr>
                <w:rFonts w:ascii="Arial" w:cs="Arial" w:eastAsia="Arial" w:hAnsi="Arial"/>
                <w:sz w:val="14"/>
                <w:szCs w:val="14"/>
                <w:b w:val="1"/>
                <w:bCs w:val="1"/>
                <w:color w:val="auto"/>
              </w:rPr>
              <w:t>Compensation</w:t>
            </w:r>
          </w:p>
        </w:tc>
        <w:tc>
          <w:tcPr>
            <w:tcW w:w="1120" w:type="dxa"/>
            <w:vAlign w:val="bottom"/>
          </w:tcPr>
          <w:p>
            <w:pPr>
              <w:ind w:left="80"/>
              <w:spacing w:after="0"/>
              <w:rPr>
                <w:sz w:val="20"/>
                <w:szCs w:val="20"/>
                <w:color w:val="auto"/>
              </w:rPr>
            </w:pPr>
            <w:r>
              <w:rPr>
                <w:rFonts w:ascii="Arial" w:cs="Arial" w:eastAsia="Arial" w:hAnsi="Arial"/>
                <w:sz w:val="14"/>
                <w:szCs w:val="14"/>
                <w:b w:val="1"/>
                <w:bCs w:val="1"/>
                <w:color w:val="auto"/>
              </w:rPr>
              <w:t>All Other</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4"/>
                <w:szCs w:val="14"/>
                <w:b w:val="1"/>
                <w:bCs w:val="1"/>
                <w:color w:val="auto"/>
              </w:rPr>
              <w:t>Salary</w:t>
            </w:r>
          </w:p>
        </w:tc>
        <w:tc>
          <w:tcPr>
            <w:tcW w:w="840" w:type="dxa"/>
            <w:vAlign w:val="bottom"/>
          </w:tcPr>
          <w:p>
            <w:pPr>
              <w:ind w:left="80"/>
              <w:spacing w:after="0"/>
              <w:rPr>
                <w:sz w:val="20"/>
                <w:szCs w:val="20"/>
                <w:color w:val="auto"/>
              </w:rPr>
            </w:pPr>
            <w:r>
              <w:rPr>
                <w:rFonts w:ascii="Arial" w:cs="Arial" w:eastAsia="Arial" w:hAnsi="Arial"/>
                <w:sz w:val="14"/>
                <w:szCs w:val="14"/>
                <w:b w:val="1"/>
                <w:bCs w:val="1"/>
                <w:color w:val="auto"/>
              </w:rPr>
              <w:t>Bonus</w:t>
            </w:r>
          </w:p>
        </w:tc>
        <w:tc>
          <w:tcPr>
            <w:tcW w:w="860" w:type="dxa"/>
            <w:vAlign w:val="bottom"/>
          </w:tcPr>
          <w:p>
            <w:pPr>
              <w:ind w:left="80"/>
              <w:spacing w:after="0"/>
              <w:rPr>
                <w:sz w:val="20"/>
                <w:szCs w:val="20"/>
                <w:color w:val="auto"/>
              </w:rPr>
            </w:pPr>
            <w:r>
              <w:rPr>
                <w:rFonts w:ascii="Arial" w:cs="Arial" w:eastAsia="Arial" w:hAnsi="Arial"/>
                <w:sz w:val="14"/>
                <w:szCs w:val="14"/>
                <w:b w:val="1"/>
                <w:bCs w:val="1"/>
                <w:color w:val="auto"/>
              </w:rPr>
              <w:t>Awards</w:t>
            </w:r>
          </w:p>
        </w:tc>
        <w:tc>
          <w:tcPr>
            <w:tcW w:w="840" w:type="dxa"/>
            <w:vAlign w:val="bottom"/>
          </w:tcPr>
          <w:p>
            <w:pPr>
              <w:ind w:left="80"/>
              <w:spacing w:after="0"/>
              <w:rPr>
                <w:sz w:val="20"/>
                <w:szCs w:val="20"/>
                <w:color w:val="auto"/>
              </w:rPr>
            </w:pPr>
            <w:r>
              <w:rPr>
                <w:rFonts w:ascii="Arial" w:cs="Arial" w:eastAsia="Arial" w:hAnsi="Arial"/>
                <w:sz w:val="14"/>
                <w:szCs w:val="14"/>
                <w:b w:val="1"/>
                <w:bCs w:val="1"/>
                <w:color w:val="auto"/>
              </w:rPr>
              <w:t>Awards</w:t>
            </w:r>
          </w:p>
        </w:tc>
        <w:tc>
          <w:tcPr>
            <w:tcW w:w="1180" w:type="dxa"/>
            <w:vAlign w:val="bottom"/>
          </w:tcPr>
          <w:p>
            <w:pPr>
              <w:ind w:left="80"/>
              <w:spacing w:after="0"/>
              <w:rPr>
                <w:sz w:val="20"/>
                <w:szCs w:val="20"/>
                <w:color w:val="auto"/>
              </w:rPr>
            </w:pPr>
            <w:r>
              <w:rPr>
                <w:rFonts w:ascii="Arial" w:cs="Arial" w:eastAsia="Arial" w:hAnsi="Arial"/>
                <w:sz w:val="14"/>
                <w:szCs w:val="14"/>
                <w:b w:val="1"/>
                <w:bCs w:val="1"/>
                <w:color w:val="auto"/>
              </w:rPr>
              <w:t>Compensation</w:t>
            </w:r>
          </w:p>
        </w:tc>
        <w:tc>
          <w:tcPr>
            <w:tcW w:w="1180" w:type="dxa"/>
            <w:vAlign w:val="bottom"/>
          </w:tcPr>
          <w:p>
            <w:pPr>
              <w:ind w:left="80"/>
              <w:spacing w:after="0"/>
              <w:rPr>
                <w:sz w:val="20"/>
                <w:szCs w:val="20"/>
                <w:color w:val="auto"/>
              </w:rPr>
            </w:pPr>
            <w:r>
              <w:rPr>
                <w:rFonts w:ascii="Arial" w:cs="Arial" w:eastAsia="Arial" w:hAnsi="Arial"/>
                <w:sz w:val="14"/>
                <w:szCs w:val="14"/>
                <w:b w:val="1"/>
                <w:bCs w:val="1"/>
                <w:color w:val="auto"/>
              </w:rPr>
              <w:t>Earnings</w:t>
            </w:r>
          </w:p>
        </w:tc>
        <w:tc>
          <w:tcPr>
            <w:tcW w:w="1120" w:type="dxa"/>
            <w:vAlign w:val="bottom"/>
          </w:tcPr>
          <w:p>
            <w:pPr>
              <w:ind w:left="80"/>
              <w:spacing w:after="0"/>
              <w:rPr>
                <w:sz w:val="20"/>
                <w:szCs w:val="20"/>
                <w:color w:val="auto"/>
              </w:rPr>
            </w:pPr>
            <w:r>
              <w:rPr>
                <w:rFonts w:ascii="Arial" w:cs="Arial" w:eastAsia="Arial" w:hAnsi="Arial"/>
                <w:sz w:val="14"/>
                <w:szCs w:val="14"/>
                <w:b w:val="1"/>
                <w:bCs w:val="1"/>
                <w:color w:val="auto"/>
              </w:rPr>
              <w:t>Compensation</w:t>
            </w:r>
          </w:p>
        </w:tc>
        <w:tc>
          <w:tcPr>
            <w:tcW w:w="860" w:type="dxa"/>
            <w:vAlign w:val="bottom"/>
          </w:tcPr>
          <w:p>
            <w:pPr>
              <w:ind w:left="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2700" w:type="dxa"/>
            <w:vAlign w:val="bottom"/>
            <w:gridSpan w:val="2"/>
          </w:tcPr>
          <w:p>
            <w:pPr>
              <w:spacing w:after="0"/>
              <w:rPr>
                <w:sz w:val="20"/>
                <w:szCs w:val="20"/>
                <w:color w:val="auto"/>
              </w:rPr>
            </w:pPr>
            <w:r>
              <w:rPr>
                <w:rFonts w:ascii="Arial" w:cs="Arial" w:eastAsia="Arial" w:hAnsi="Arial"/>
                <w:sz w:val="14"/>
                <w:szCs w:val="14"/>
                <w:b w:val="1"/>
                <w:bCs w:val="1"/>
                <w:color w:val="auto"/>
              </w:rPr>
              <w:t>Name and Principal Position</w:t>
            </w:r>
          </w:p>
        </w:tc>
        <w:tc>
          <w:tcPr>
            <w:tcW w:w="56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Year</w:t>
            </w:r>
          </w:p>
        </w:tc>
        <w:tc>
          <w:tcPr>
            <w:tcW w:w="860" w:type="dxa"/>
            <w:vAlign w:val="bottom"/>
          </w:tcPr>
          <w:p>
            <w:pPr>
              <w:ind w:left="80"/>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ind w:left="80"/>
              <w:spacing w:after="0"/>
              <w:rPr>
                <w:sz w:val="20"/>
                <w:szCs w:val="20"/>
                <w:color w:val="auto"/>
              </w:rPr>
            </w:pPr>
            <w:r>
              <w:rPr>
                <w:rFonts w:ascii="Arial" w:cs="Arial" w:eastAsia="Arial" w:hAnsi="Arial"/>
                <w:sz w:val="14"/>
                <w:szCs w:val="14"/>
                <w:b w:val="1"/>
                <w:bCs w:val="1"/>
                <w:color w:val="auto"/>
              </w:rPr>
              <w:t>($)(1)</w:t>
            </w:r>
          </w:p>
        </w:tc>
        <w:tc>
          <w:tcPr>
            <w:tcW w:w="860" w:type="dxa"/>
            <w:vAlign w:val="bottom"/>
          </w:tcPr>
          <w:p>
            <w:pPr>
              <w:ind w:left="80"/>
              <w:spacing w:after="0"/>
              <w:rPr>
                <w:sz w:val="20"/>
                <w:szCs w:val="20"/>
                <w:color w:val="auto"/>
              </w:rPr>
            </w:pPr>
            <w:r>
              <w:rPr>
                <w:rFonts w:ascii="Arial" w:cs="Arial" w:eastAsia="Arial" w:hAnsi="Arial"/>
                <w:sz w:val="14"/>
                <w:szCs w:val="14"/>
                <w:b w:val="1"/>
                <w:bCs w:val="1"/>
                <w:color w:val="auto"/>
              </w:rPr>
              <w:t>($)(2)</w:t>
            </w:r>
          </w:p>
        </w:tc>
        <w:tc>
          <w:tcPr>
            <w:tcW w:w="840" w:type="dxa"/>
            <w:vAlign w:val="bottom"/>
          </w:tcPr>
          <w:p>
            <w:pPr>
              <w:ind w:left="80"/>
              <w:spacing w:after="0"/>
              <w:rPr>
                <w:sz w:val="20"/>
                <w:szCs w:val="20"/>
                <w:color w:val="auto"/>
              </w:rPr>
            </w:pPr>
            <w:r>
              <w:rPr>
                <w:rFonts w:ascii="Arial" w:cs="Arial" w:eastAsia="Arial" w:hAnsi="Arial"/>
                <w:sz w:val="14"/>
                <w:szCs w:val="14"/>
                <w:b w:val="1"/>
                <w:bCs w:val="1"/>
                <w:color w:val="auto"/>
              </w:rPr>
              <w:t>($)(3)</w:t>
            </w:r>
          </w:p>
        </w:tc>
        <w:tc>
          <w:tcPr>
            <w:tcW w:w="11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11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120" w:type="dxa"/>
            <w:vAlign w:val="bottom"/>
          </w:tcPr>
          <w:p>
            <w:pPr>
              <w:ind w:left="80"/>
              <w:spacing w:after="0"/>
              <w:rPr>
                <w:sz w:val="20"/>
                <w:szCs w:val="20"/>
                <w:color w:val="auto"/>
              </w:rPr>
            </w:pPr>
            <w:r>
              <w:rPr>
                <w:rFonts w:ascii="Arial" w:cs="Arial" w:eastAsia="Arial" w:hAnsi="Arial"/>
                <w:sz w:val="14"/>
                <w:szCs w:val="14"/>
                <w:b w:val="1"/>
                <w:bCs w:val="1"/>
                <w:color w:val="auto"/>
              </w:rPr>
              <w:t>($)(6)</w:t>
            </w:r>
          </w:p>
        </w:tc>
        <w:tc>
          <w:tcPr>
            <w:tcW w:w="86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680" w:type="dxa"/>
            <w:vAlign w:val="bottom"/>
            <w:tcBorders>
              <w:top w:val="single" w:sz="8" w:color="auto"/>
            </w:tcBorders>
            <w:shd w:val="clear" w:color="auto" w:fill="D8D8D8"/>
          </w:tcPr>
          <w:p>
            <w:pPr>
              <w:spacing w:after="0" w:line="155" w:lineRule="exact"/>
              <w:rPr>
                <w:sz w:val="20"/>
                <w:szCs w:val="20"/>
                <w:color w:val="auto"/>
              </w:rPr>
            </w:pPr>
            <w:r>
              <w:rPr>
                <w:rFonts w:ascii="Arial" w:cs="Arial" w:eastAsia="Arial" w:hAnsi="Arial"/>
                <w:sz w:val="14"/>
                <w:szCs w:val="14"/>
                <w:b w:val="1"/>
                <w:bCs w:val="1"/>
                <w:color w:val="auto"/>
              </w:rPr>
              <w:t>Robert A. Livingston</w:t>
            </w:r>
          </w:p>
        </w:tc>
        <w:tc>
          <w:tcPr>
            <w:tcW w:w="560" w:type="dxa"/>
            <w:vAlign w:val="bottom"/>
            <w:tcBorders>
              <w:top w:val="single" w:sz="8" w:color="auto"/>
            </w:tcBorders>
            <w:gridSpan w:val="2"/>
            <w:shd w:val="clear" w:color="auto" w:fill="D8D8D8"/>
          </w:tcPr>
          <w:p>
            <w:pPr>
              <w:jc w:val="right"/>
              <w:ind w:right="8"/>
              <w:spacing w:after="0" w:line="155" w:lineRule="exact"/>
              <w:rPr>
                <w:sz w:val="20"/>
                <w:szCs w:val="20"/>
                <w:color w:val="auto"/>
              </w:rPr>
            </w:pPr>
            <w:r>
              <w:rPr>
                <w:rFonts w:ascii="Arial" w:cs="Arial" w:eastAsia="Arial" w:hAnsi="Arial"/>
                <w:sz w:val="14"/>
                <w:szCs w:val="14"/>
                <w:color w:val="auto"/>
              </w:rPr>
              <w:t>2017</w:t>
            </w:r>
          </w:p>
        </w:tc>
        <w:tc>
          <w:tcPr>
            <w:tcW w:w="860" w:type="dxa"/>
            <w:vAlign w:val="bottom"/>
            <w:tcBorders>
              <w:top w:val="single" w:sz="8" w:color="auto"/>
            </w:tcBorders>
            <w:shd w:val="clear" w:color="auto" w:fill="D8D8D8"/>
          </w:tcPr>
          <w:p>
            <w:pPr>
              <w:jc w:val="right"/>
              <w:ind w:right="8"/>
              <w:spacing w:after="0" w:line="155" w:lineRule="exact"/>
              <w:rPr>
                <w:sz w:val="20"/>
                <w:szCs w:val="20"/>
                <w:color w:val="auto"/>
              </w:rPr>
            </w:pPr>
            <w:r>
              <w:rPr>
                <w:rFonts w:ascii="Arial" w:cs="Arial" w:eastAsia="Arial" w:hAnsi="Arial"/>
                <w:sz w:val="14"/>
                <w:szCs w:val="14"/>
                <w:color w:val="auto"/>
              </w:rPr>
              <w:t>1,060,000</w:t>
            </w:r>
          </w:p>
        </w:tc>
        <w:tc>
          <w:tcPr>
            <w:tcW w:w="840" w:type="dxa"/>
            <w:vAlign w:val="bottom"/>
            <w:tcBorders>
              <w:top w:val="single" w:sz="8" w:color="auto"/>
            </w:tcBorders>
            <w:shd w:val="clear" w:color="auto" w:fill="D8D8D8"/>
          </w:tcPr>
          <w:p>
            <w:pPr>
              <w:jc w:val="right"/>
              <w:ind w:right="8"/>
              <w:spacing w:after="0" w:line="155" w:lineRule="exact"/>
              <w:rPr>
                <w:sz w:val="20"/>
                <w:szCs w:val="20"/>
                <w:color w:val="auto"/>
              </w:rPr>
            </w:pPr>
            <w:r>
              <w:rPr>
                <w:rFonts w:ascii="Arial" w:cs="Arial" w:eastAsia="Arial" w:hAnsi="Arial"/>
                <w:sz w:val="14"/>
                <w:szCs w:val="14"/>
                <w:color w:val="auto"/>
              </w:rPr>
              <w:t>1,725,000</w:t>
            </w:r>
          </w:p>
        </w:tc>
        <w:tc>
          <w:tcPr>
            <w:tcW w:w="860" w:type="dxa"/>
            <w:vAlign w:val="bottom"/>
            <w:tcBorders>
              <w:top w:val="single" w:sz="8" w:color="auto"/>
            </w:tcBorders>
            <w:shd w:val="clear" w:color="auto" w:fill="D8D8D8"/>
          </w:tcPr>
          <w:p>
            <w:pPr>
              <w:jc w:val="right"/>
              <w:ind w:right="8"/>
              <w:spacing w:after="0" w:line="155" w:lineRule="exact"/>
              <w:rPr>
                <w:sz w:val="20"/>
                <w:szCs w:val="20"/>
                <w:color w:val="auto"/>
              </w:rPr>
            </w:pPr>
            <w:r>
              <w:rPr>
                <w:rFonts w:ascii="Arial" w:cs="Arial" w:eastAsia="Arial" w:hAnsi="Arial"/>
                <w:sz w:val="14"/>
                <w:szCs w:val="14"/>
                <w:color w:val="auto"/>
              </w:rPr>
              <w:t>2,699,960</w:t>
            </w:r>
          </w:p>
        </w:tc>
        <w:tc>
          <w:tcPr>
            <w:tcW w:w="840" w:type="dxa"/>
            <w:vAlign w:val="bottom"/>
            <w:tcBorders>
              <w:top w:val="single" w:sz="8" w:color="auto"/>
            </w:tcBorders>
            <w:shd w:val="clear" w:color="auto" w:fill="D8D8D8"/>
          </w:tcPr>
          <w:p>
            <w:pPr>
              <w:jc w:val="right"/>
              <w:ind w:right="8"/>
              <w:spacing w:after="0" w:line="155" w:lineRule="exact"/>
              <w:rPr>
                <w:sz w:val="20"/>
                <w:szCs w:val="20"/>
                <w:color w:val="auto"/>
              </w:rPr>
            </w:pPr>
            <w:r>
              <w:rPr>
                <w:rFonts w:ascii="Arial" w:cs="Arial" w:eastAsia="Arial" w:hAnsi="Arial"/>
                <w:sz w:val="14"/>
                <w:szCs w:val="14"/>
                <w:color w:val="auto"/>
              </w:rPr>
              <w:t>2,580,618</w:t>
            </w:r>
          </w:p>
        </w:tc>
        <w:tc>
          <w:tcPr>
            <w:tcW w:w="1180" w:type="dxa"/>
            <w:vAlign w:val="bottom"/>
            <w:tcBorders>
              <w:top w:val="single" w:sz="8" w:color="auto"/>
            </w:tcBorders>
            <w:shd w:val="clear" w:color="auto" w:fill="D8D8D8"/>
          </w:tcPr>
          <w:p>
            <w:pPr>
              <w:jc w:val="right"/>
              <w:ind w:right="8"/>
              <w:spacing w:after="0" w:line="155" w:lineRule="exact"/>
              <w:rPr>
                <w:sz w:val="20"/>
                <w:szCs w:val="20"/>
                <w:color w:val="auto"/>
              </w:rPr>
            </w:pPr>
            <w:r>
              <w:rPr>
                <w:rFonts w:ascii="Arial" w:cs="Arial" w:eastAsia="Arial" w:hAnsi="Arial"/>
                <w:sz w:val="14"/>
                <w:szCs w:val="14"/>
                <w:color w:val="auto"/>
              </w:rPr>
              <w:t>0</w:t>
            </w:r>
          </w:p>
        </w:tc>
        <w:tc>
          <w:tcPr>
            <w:tcW w:w="1180" w:type="dxa"/>
            <w:vAlign w:val="bottom"/>
            <w:tcBorders>
              <w:top w:val="single" w:sz="8" w:color="auto"/>
            </w:tcBorders>
            <w:shd w:val="clear" w:color="auto" w:fill="D8D8D8"/>
          </w:tcPr>
          <w:p>
            <w:pPr>
              <w:jc w:val="right"/>
              <w:ind w:right="8"/>
              <w:spacing w:after="0" w:line="155" w:lineRule="exact"/>
              <w:rPr>
                <w:sz w:val="20"/>
                <w:szCs w:val="20"/>
                <w:color w:val="auto"/>
              </w:rPr>
            </w:pPr>
            <w:r>
              <w:rPr>
                <w:rFonts w:ascii="Arial" w:cs="Arial" w:eastAsia="Arial" w:hAnsi="Arial"/>
                <w:sz w:val="14"/>
                <w:szCs w:val="14"/>
                <w:color w:val="auto"/>
              </w:rPr>
              <w:t>1,814,023</w:t>
            </w:r>
          </w:p>
        </w:tc>
        <w:tc>
          <w:tcPr>
            <w:tcW w:w="1120" w:type="dxa"/>
            <w:vAlign w:val="bottom"/>
            <w:tcBorders>
              <w:top w:val="single" w:sz="8" w:color="auto"/>
            </w:tcBorders>
            <w:shd w:val="clear" w:color="auto" w:fill="D8D8D8"/>
          </w:tcPr>
          <w:p>
            <w:pPr>
              <w:jc w:val="right"/>
              <w:spacing w:after="0" w:line="155" w:lineRule="exact"/>
              <w:rPr>
                <w:sz w:val="20"/>
                <w:szCs w:val="20"/>
                <w:color w:val="auto"/>
              </w:rPr>
            </w:pPr>
            <w:r>
              <w:rPr>
                <w:rFonts w:ascii="Arial" w:cs="Arial" w:eastAsia="Arial" w:hAnsi="Arial"/>
                <w:sz w:val="14"/>
                <w:szCs w:val="14"/>
                <w:color w:val="auto"/>
              </w:rPr>
              <w:t>73,765</w:t>
            </w:r>
          </w:p>
        </w:tc>
        <w:tc>
          <w:tcPr>
            <w:tcW w:w="860" w:type="dxa"/>
            <w:vAlign w:val="bottom"/>
            <w:tcBorders>
              <w:top w:val="single" w:sz="8" w:color="auto"/>
            </w:tcBorders>
            <w:shd w:val="clear" w:color="auto" w:fill="D8D8D8"/>
          </w:tcPr>
          <w:p>
            <w:pPr>
              <w:jc w:val="right"/>
              <w:ind w:right="48"/>
              <w:spacing w:after="0" w:line="155" w:lineRule="exact"/>
              <w:rPr>
                <w:sz w:val="20"/>
                <w:szCs w:val="20"/>
                <w:color w:val="auto"/>
              </w:rPr>
            </w:pPr>
            <w:r>
              <w:rPr>
                <w:rFonts w:ascii="Arial" w:cs="Arial" w:eastAsia="Arial" w:hAnsi="Arial"/>
                <w:sz w:val="14"/>
                <w:szCs w:val="14"/>
                <w:color w:val="auto"/>
              </w:rPr>
              <w:t>9,953,366</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80" w:type="dxa"/>
            <w:vAlign w:val="bottom"/>
            <w:shd w:val="clear" w:color="auto" w:fill="D8D8D8"/>
          </w:tcPr>
          <w:p>
            <w:pPr>
              <w:spacing w:after="0"/>
              <w:rPr>
                <w:sz w:val="20"/>
                <w:szCs w:val="20"/>
                <w:color w:val="auto"/>
              </w:rPr>
            </w:pPr>
            <w:r>
              <w:rPr>
                <w:rFonts w:ascii="Arial" w:cs="Arial" w:eastAsia="Arial" w:hAnsi="Arial"/>
                <w:sz w:val="14"/>
                <w:szCs w:val="14"/>
                <w:color w:val="auto"/>
              </w:rPr>
              <w:t>President &amp; Chief</w:t>
            </w:r>
          </w:p>
        </w:tc>
        <w:tc>
          <w:tcPr>
            <w:tcW w:w="160" w:type="dxa"/>
            <w:vAlign w:val="bottom"/>
            <w:shd w:val="clear" w:color="auto" w:fill="D8D8D8"/>
          </w:tcPr>
          <w:p>
            <w:pPr>
              <w:spacing w:after="0"/>
              <w:rPr>
                <w:sz w:val="14"/>
                <w:szCs w:val="14"/>
                <w:color w:val="auto"/>
              </w:rPr>
            </w:pPr>
          </w:p>
        </w:tc>
        <w:tc>
          <w:tcPr>
            <w:tcW w:w="400" w:type="dxa"/>
            <w:vAlign w:val="bottom"/>
            <w:shd w:val="clear" w:color="auto" w:fill="D8D8D8"/>
          </w:tcPr>
          <w:p>
            <w:pPr>
              <w:jc w:val="right"/>
              <w:ind w:right="8"/>
              <w:spacing w:after="0"/>
              <w:rPr>
                <w:sz w:val="20"/>
                <w:szCs w:val="20"/>
                <w:color w:val="auto"/>
              </w:rPr>
            </w:pPr>
            <w:r>
              <w:rPr>
                <w:rFonts w:ascii="Arial" w:cs="Arial" w:eastAsia="Arial" w:hAnsi="Arial"/>
                <w:sz w:val="14"/>
                <w:szCs w:val="14"/>
                <w:color w:val="auto"/>
                <w:w w:val="96"/>
              </w:rPr>
              <w:t>2016</w:t>
            </w:r>
          </w:p>
        </w:tc>
        <w:tc>
          <w:tcPr>
            <w:tcW w:w="860" w:type="dxa"/>
            <w:vAlign w:val="bottom"/>
            <w:shd w:val="clear" w:color="auto" w:fill="D8D8D8"/>
          </w:tcPr>
          <w:p>
            <w:pPr>
              <w:jc w:val="right"/>
              <w:ind w:right="28"/>
              <w:spacing w:after="0"/>
              <w:rPr>
                <w:sz w:val="20"/>
                <w:szCs w:val="20"/>
                <w:color w:val="auto"/>
              </w:rPr>
            </w:pPr>
            <w:r>
              <w:rPr>
                <w:rFonts w:ascii="Arial" w:cs="Arial" w:eastAsia="Arial" w:hAnsi="Arial"/>
                <w:sz w:val="14"/>
                <w:szCs w:val="14"/>
                <w:color w:val="auto"/>
              </w:rPr>
              <w:t>1,030,000</w:t>
            </w:r>
          </w:p>
        </w:tc>
        <w:tc>
          <w:tcPr>
            <w:tcW w:w="840" w:type="dxa"/>
            <w:vAlign w:val="bottom"/>
            <w:shd w:val="clear" w:color="auto" w:fill="D8D8D8"/>
          </w:tcPr>
          <w:p>
            <w:pPr>
              <w:jc w:val="right"/>
              <w:ind w:right="8"/>
              <w:spacing w:after="0"/>
              <w:rPr>
                <w:sz w:val="20"/>
                <w:szCs w:val="20"/>
                <w:color w:val="auto"/>
              </w:rPr>
            </w:pPr>
            <w:r>
              <w:rPr>
                <w:rFonts w:ascii="Arial" w:cs="Arial" w:eastAsia="Arial" w:hAnsi="Arial"/>
                <w:sz w:val="14"/>
                <w:szCs w:val="14"/>
                <w:color w:val="auto"/>
              </w:rPr>
              <w:t>880,000</w:t>
            </w:r>
          </w:p>
        </w:tc>
        <w:tc>
          <w:tcPr>
            <w:tcW w:w="860" w:type="dxa"/>
            <w:vAlign w:val="bottom"/>
            <w:shd w:val="clear" w:color="auto" w:fill="D8D8D8"/>
          </w:tcPr>
          <w:p>
            <w:pPr>
              <w:jc w:val="right"/>
              <w:ind w:right="8"/>
              <w:spacing w:after="0"/>
              <w:rPr>
                <w:sz w:val="20"/>
                <w:szCs w:val="20"/>
                <w:color w:val="auto"/>
              </w:rPr>
            </w:pPr>
            <w:r>
              <w:rPr>
                <w:rFonts w:ascii="Arial" w:cs="Arial" w:eastAsia="Arial" w:hAnsi="Arial"/>
                <w:sz w:val="14"/>
                <w:szCs w:val="14"/>
                <w:color w:val="auto"/>
              </w:rPr>
              <w:t>2,599,952</w:t>
            </w:r>
          </w:p>
        </w:tc>
        <w:tc>
          <w:tcPr>
            <w:tcW w:w="840" w:type="dxa"/>
            <w:vAlign w:val="bottom"/>
            <w:shd w:val="clear" w:color="auto" w:fill="D8D8D8"/>
          </w:tcPr>
          <w:p>
            <w:pPr>
              <w:jc w:val="right"/>
              <w:ind w:right="8"/>
              <w:spacing w:after="0"/>
              <w:rPr>
                <w:sz w:val="20"/>
                <w:szCs w:val="20"/>
                <w:color w:val="auto"/>
              </w:rPr>
            </w:pPr>
            <w:r>
              <w:rPr>
                <w:rFonts w:ascii="Arial" w:cs="Arial" w:eastAsia="Arial" w:hAnsi="Arial"/>
                <w:sz w:val="14"/>
                <w:szCs w:val="14"/>
                <w:color w:val="auto"/>
              </w:rPr>
              <w:t>2,519,488</w:t>
            </w:r>
          </w:p>
        </w:tc>
        <w:tc>
          <w:tcPr>
            <w:tcW w:w="1180" w:type="dxa"/>
            <w:vAlign w:val="bottom"/>
            <w:shd w:val="clear" w:color="auto" w:fill="D8D8D8"/>
          </w:tcPr>
          <w:p>
            <w:pPr>
              <w:jc w:val="right"/>
              <w:ind w:right="8"/>
              <w:spacing w:after="0"/>
              <w:rPr>
                <w:sz w:val="20"/>
                <w:szCs w:val="20"/>
                <w:color w:val="auto"/>
              </w:rPr>
            </w:pPr>
            <w:r>
              <w:rPr>
                <w:rFonts w:ascii="Arial" w:cs="Arial" w:eastAsia="Arial" w:hAnsi="Arial"/>
                <w:sz w:val="14"/>
                <w:szCs w:val="14"/>
                <w:color w:val="auto"/>
              </w:rPr>
              <w:t>0</w:t>
            </w:r>
          </w:p>
        </w:tc>
        <w:tc>
          <w:tcPr>
            <w:tcW w:w="1180" w:type="dxa"/>
            <w:vAlign w:val="bottom"/>
            <w:shd w:val="clear" w:color="auto" w:fill="D8D8D8"/>
          </w:tcPr>
          <w:p>
            <w:pPr>
              <w:jc w:val="right"/>
              <w:ind w:right="8"/>
              <w:spacing w:after="0"/>
              <w:rPr>
                <w:sz w:val="20"/>
                <w:szCs w:val="20"/>
                <w:color w:val="auto"/>
              </w:rPr>
            </w:pPr>
            <w:r>
              <w:rPr>
                <w:rFonts w:ascii="Arial" w:cs="Arial" w:eastAsia="Arial" w:hAnsi="Arial"/>
                <w:sz w:val="14"/>
                <w:szCs w:val="14"/>
                <w:color w:val="auto"/>
              </w:rPr>
              <w:t>1,225,883</w:t>
            </w:r>
          </w:p>
        </w:tc>
        <w:tc>
          <w:tcPr>
            <w:tcW w:w="1120" w:type="dxa"/>
            <w:vAlign w:val="bottom"/>
            <w:shd w:val="clear" w:color="auto" w:fill="D8D8D8"/>
          </w:tcPr>
          <w:p>
            <w:pPr>
              <w:jc w:val="right"/>
              <w:spacing w:after="0"/>
              <w:rPr>
                <w:sz w:val="20"/>
                <w:szCs w:val="20"/>
                <w:color w:val="auto"/>
              </w:rPr>
            </w:pPr>
            <w:r>
              <w:rPr>
                <w:rFonts w:ascii="Arial" w:cs="Arial" w:eastAsia="Arial" w:hAnsi="Arial"/>
                <w:sz w:val="14"/>
                <w:szCs w:val="14"/>
                <w:color w:val="auto"/>
              </w:rPr>
              <w:t>37,932</w:t>
            </w:r>
          </w:p>
        </w:tc>
        <w:tc>
          <w:tcPr>
            <w:tcW w:w="860" w:type="dxa"/>
            <w:vAlign w:val="bottom"/>
            <w:shd w:val="clear" w:color="auto" w:fill="D8D8D8"/>
          </w:tcPr>
          <w:p>
            <w:pPr>
              <w:jc w:val="right"/>
              <w:ind w:right="48"/>
              <w:spacing w:after="0"/>
              <w:rPr>
                <w:sz w:val="20"/>
                <w:szCs w:val="20"/>
                <w:color w:val="auto"/>
              </w:rPr>
            </w:pPr>
            <w:r>
              <w:rPr>
                <w:rFonts w:ascii="Arial" w:cs="Arial" w:eastAsia="Arial" w:hAnsi="Arial"/>
                <w:sz w:val="14"/>
                <w:szCs w:val="14"/>
                <w:color w:val="auto"/>
              </w:rPr>
              <w:t>8,293,255</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680" w:type="dxa"/>
            <w:vAlign w:val="bottom"/>
            <w:tcBorders>
              <w:bottom w:val="single" w:sz="8" w:color="D8D8D8"/>
            </w:tcBorders>
            <w:shd w:val="clear" w:color="auto" w:fill="D8D8D8"/>
          </w:tcPr>
          <w:p>
            <w:pPr>
              <w:spacing w:after="0"/>
              <w:rPr>
                <w:sz w:val="20"/>
                <w:szCs w:val="20"/>
                <w:color w:val="auto"/>
              </w:rPr>
            </w:pPr>
            <w:r>
              <w:rPr>
                <w:rFonts w:ascii="Arial" w:cs="Arial" w:eastAsia="Arial" w:hAnsi="Arial"/>
                <w:sz w:val="14"/>
                <w:szCs w:val="14"/>
                <w:color w:val="auto"/>
              </w:rPr>
              <w:t>Executive Officer</w:t>
            </w:r>
          </w:p>
        </w:tc>
        <w:tc>
          <w:tcPr>
            <w:tcW w:w="160" w:type="dxa"/>
            <w:vAlign w:val="bottom"/>
            <w:tcBorders>
              <w:bottom w:val="single" w:sz="8" w:color="D8D8D8"/>
            </w:tcBorders>
            <w:shd w:val="clear" w:color="auto" w:fill="D8D8D8"/>
          </w:tcPr>
          <w:p>
            <w:pPr>
              <w:spacing w:after="0"/>
              <w:rPr>
                <w:sz w:val="20"/>
                <w:szCs w:val="20"/>
                <w:color w:val="auto"/>
              </w:rPr>
            </w:pPr>
          </w:p>
        </w:tc>
        <w:tc>
          <w:tcPr>
            <w:tcW w:w="400" w:type="dxa"/>
            <w:vAlign w:val="bottom"/>
            <w:tcBorders>
              <w:bottom w:val="single" w:sz="8" w:color="D8D8D8"/>
            </w:tcBorders>
            <w:shd w:val="clear" w:color="auto" w:fill="D8D8D8"/>
          </w:tcPr>
          <w:p>
            <w:pPr>
              <w:jc w:val="right"/>
              <w:ind w:right="8"/>
              <w:spacing w:after="0"/>
              <w:rPr>
                <w:sz w:val="20"/>
                <w:szCs w:val="20"/>
                <w:color w:val="auto"/>
              </w:rPr>
            </w:pPr>
            <w:r>
              <w:rPr>
                <w:rFonts w:ascii="Arial" w:cs="Arial" w:eastAsia="Arial" w:hAnsi="Arial"/>
                <w:sz w:val="14"/>
                <w:szCs w:val="14"/>
                <w:color w:val="auto"/>
                <w:w w:val="96"/>
              </w:rPr>
              <w:t>2015</w:t>
            </w:r>
          </w:p>
        </w:tc>
        <w:tc>
          <w:tcPr>
            <w:tcW w:w="860" w:type="dxa"/>
            <w:vAlign w:val="bottom"/>
            <w:tcBorders>
              <w:bottom w:val="single" w:sz="8" w:color="D8D8D8"/>
            </w:tcBorders>
            <w:shd w:val="clear" w:color="auto" w:fill="D8D8D8"/>
          </w:tcPr>
          <w:p>
            <w:pPr>
              <w:jc w:val="right"/>
              <w:ind w:right="28"/>
              <w:spacing w:after="0"/>
              <w:rPr>
                <w:sz w:val="20"/>
                <w:szCs w:val="20"/>
                <w:color w:val="auto"/>
              </w:rPr>
            </w:pPr>
            <w:r>
              <w:rPr>
                <w:rFonts w:ascii="Arial" w:cs="Arial" w:eastAsia="Arial" w:hAnsi="Arial"/>
                <w:sz w:val="14"/>
                <w:szCs w:val="14"/>
                <w:color w:val="auto"/>
              </w:rPr>
              <w:t>1,000,000</w:t>
            </w:r>
          </w:p>
        </w:tc>
        <w:tc>
          <w:tcPr>
            <w:tcW w:w="840" w:type="dxa"/>
            <w:vAlign w:val="bottom"/>
            <w:tcBorders>
              <w:bottom w:val="single" w:sz="8" w:color="D8D8D8"/>
            </w:tcBorders>
            <w:shd w:val="clear" w:color="auto" w:fill="D8D8D8"/>
          </w:tcPr>
          <w:p>
            <w:pPr>
              <w:jc w:val="right"/>
              <w:ind w:right="8"/>
              <w:spacing w:after="0"/>
              <w:rPr>
                <w:sz w:val="20"/>
                <w:szCs w:val="20"/>
                <w:color w:val="auto"/>
              </w:rPr>
            </w:pPr>
            <w:r>
              <w:rPr>
                <w:rFonts w:ascii="Arial" w:cs="Arial" w:eastAsia="Arial" w:hAnsi="Arial"/>
                <w:sz w:val="14"/>
                <w:szCs w:val="14"/>
                <w:color w:val="auto"/>
              </w:rPr>
              <w:t>988,125</w:t>
            </w:r>
          </w:p>
        </w:tc>
        <w:tc>
          <w:tcPr>
            <w:tcW w:w="860" w:type="dxa"/>
            <w:vAlign w:val="bottom"/>
            <w:tcBorders>
              <w:bottom w:val="single" w:sz="8" w:color="D8D8D8"/>
            </w:tcBorders>
            <w:shd w:val="clear" w:color="auto" w:fill="D8D8D8"/>
          </w:tcPr>
          <w:p>
            <w:pPr>
              <w:jc w:val="right"/>
              <w:ind w:right="8"/>
              <w:spacing w:after="0"/>
              <w:rPr>
                <w:sz w:val="20"/>
                <w:szCs w:val="20"/>
                <w:color w:val="auto"/>
              </w:rPr>
            </w:pPr>
            <w:r>
              <w:rPr>
                <w:rFonts w:ascii="Arial" w:cs="Arial" w:eastAsia="Arial" w:hAnsi="Arial"/>
                <w:sz w:val="14"/>
                <w:szCs w:val="14"/>
                <w:color w:val="auto"/>
              </w:rPr>
              <w:t>2,599,974</w:t>
            </w:r>
          </w:p>
        </w:tc>
        <w:tc>
          <w:tcPr>
            <w:tcW w:w="840" w:type="dxa"/>
            <w:vAlign w:val="bottom"/>
            <w:tcBorders>
              <w:bottom w:val="single" w:sz="8" w:color="D8D8D8"/>
            </w:tcBorders>
            <w:shd w:val="clear" w:color="auto" w:fill="D8D8D8"/>
          </w:tcPr>
          <w:p>
            <w:pPr>
              <w:jc w:val="right"/>
              <w:ind w:right="8"/>
              <w:spacing w:after="0"/>
              <w:rPr>
                <w:sz w:val="20"/>
                <w:szCs w:val="20"/>
                <w:color w:val="auto"/>
              </w:rPr>
            </w:pPr>
            <w:r>
              <w:rPr>
                <w:rFonts w:ascii="Arial" w:cs="Arial" w:eastAsia="Arial" w:hAnsi="Arial"/>
                <w:sz w:val="14"/>
                <w:szCs w:val="14"/>
                <w:color w:val="auto"/>
              </w:rPr>
              <w:t>3,097,433</w:t>
            </w:r>
          </w:p>
        </w:tc>
        <w:tc>
          <w:tcPr>
            <w:tcW w:w="1180" w:type="dxa"/>
            <w:vAlign w:val="bottom"/>
            <w:tcBorders>
              <w:bottom w:val="single" w:sz="8" w:color="D8D8D8"/>
            </w:tcBorders>
            <w:shd w:val="clear" w:color="auto" w:fill="D8D8D8"/>
          </w:tcPr>
          <w:p>
            <w:pPr>
              <w:jc w:val="right"/>
              <w:ind w:right="8"/>
              <w:spacing w:after="0"/>
              <w:rPr>
                <w:sz w:val="20"/>
                <w:szCs w:val="20"/>
                <w:color w:val="auto"/>
              </w:rPr>
            </w:pPr>
            <w:r>
              <w:rPr>
                <w:rFonts w:ascii="Arial" w:cs="Arial" w:eastAsia="Arial" w:hAnsi="Arial"/>
                <w:sz w:val="14"/>
                <w:szCs w:val="14"/>
                <w:color w:val="auto"/>
              </w:rPr>
              <w:t>0</w:t>
            </w:r>
          </w:p>
        </w:tc>
        <w:tc>
          <w:tcPr>
            <w:tcW w:w="1180" w:type="dxa"/>
            <w:vAlign w:val="bottom"/>
            <w:tcBorders>
              <w:bottom w:val="single" w:sz="8" w:color="D8D8D8"/>
            </w:tcBorders>
            <w:shd w:val="clear" w:color="auto" w:fill="D8D8D8"/>
          </w:tcPr>
          <w:p>
            <w:pPr>
              <w:jc w:val="right"/>
              <w:ind w:right="8"/>
              <w:spacing w:after="0"/>
              <w:rPr>
                <w:sz w:val="20"/>
                <w:szCs w:val="20"/>
                <w:color w:val="auto"/>
              </w:rPr>
            </w:pPr>
            <w:r>
              <w:rPr>
                <w:rFonts w:ascii="Arial" w:cs="Arial" w:eastAsia="Arial" w:hAnsi="Arial"/>
                <w:sz w:val="14"/>
                <w:szCs w:val="14"/>
                <w:color w:val="auto"/>
              </w:rPr>
              <w:t>586,000</w:t>
            </w:r>
          </w:p>
        </w:tc>
        <w:tc>
          <w:tcPr>
            <w:tcW w:w="1120" w:type="dxa"/>
            <w:vAlign w:val="bottom"/>
            <w:tcBorders>
              <w:bottom w:val="single" w:sz="8" w:color="D8D8D8"/>
            </w:tcBorders>
            <w:shd w:val="clear" w:color="auto" w:fill="D8D8D8"/>
          </w:tcPr>
          <w:p>
            <w:pPr>
              <w:jc w:val="right"/>
              <w:spacing w:after="0"/>
              <w:rPr>
                <w:sz w:val="20"/>
                <w:szCs w:val="20"/>
                <w:color w:val="auto"/>
              </w:rPr>
            </w:pPr>
            <w:r>
              <w:rPr>
                <w:rFonts w:ascii="Arial" w:cs="Arial" w:eastAsia="Arial" w:hAnsi="Arial"/>
                <w:sz w:val="14"/>
                <w:szCs w:val="14"/>
                <w:color w:val="auto"/>
              </w:rPr>
              <w:t>19,341</w:t>
            </w:r>
          </w:p>
        </w:tc>
        <w:tc>
          <w:tcPr>
            <w:tcW w:w="860" w:type="dxa"/>
            <w:vAlign w:val="bottom"/>
            <w:tcBorders>
              <w:bottom w:val="single" w:sz="8" w:color="D8D8D8"/>
            </w:tcBorders>
            <w:shd w:val="clear" w:color="auto" w:fill="D8D8D8"/>
          </w:tcPr>
          <w:p>
            <w:pPr>
              <w:jc w:val="right"/>
              <w:ind w:right="48"/>
              <w:spacing w:after="0"/>
              <w:rPr>
                <w:sz w:val="20"/>
                <w:szCs w:val="20"/>
                <w:color w:val="auto"/>
              </w:rPr>
            </w:pPr>
            <w:r>
              <w:rPr>
                <w:rFonts w:ascii="Arial" w:cs="Arial" w:eastAsia="Arial" w:hAnsi="Arial"/>
                <w:sz w:val="14"/>
                <w:szCs w:val="14"/>
                <w:color w:val="auto"/>
              </w:rPr>
              <w:t>8,290,873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80" w:type="dxa"/>
            <w:vAlign w:val="bottom"/>
          </w:tcPr>
          <w:p>
            <w:pPr>
              <w:spacing w:after="0"/>
              <w:rPr>
                <w:sz w:val="20"/>
                <w:szCs w:val="20"/>
                <w:color w:val="auto"/>
              </w:rPr>
            </w:pPr>
            <w:r>
              <w:rPr>
                <w:rFonts w:ascii="Arial" w:cs="Arial" w:eastAsia="Arial" w:hAnsi="Arial"/>
                <w:sz w:val="14"/>
                <w:szCs w:val="14"/>
                <w:b w:val="1"/>
                <w:bCs w:val="1"/>
                <w:color w:val="auto"/>
              </w:rPr>
              <w:t>Brad M. Cerepak</w:t>
            </w:r>
          </w:p>
        </w:tc>
        <w:tc>
          <w:tcPr>
            <w:tcW w:w="560" w:type="dxa"/>
            <w:vAlign w:val="bottom"/>
            <w:tcBorders>
              <w:bottom w:val="single" w:sz="8" w:color="999999"/>
            </w:tcBorders>
            <w:gridSpan w:val="2"/>
          </w:tcPr>
          <w:p>
            <w:pPr>
              <w:jc w:val="right"/>
              <w:ind w:right="8"/>
              <w:spacing w:after="0"/>
              <w:rPr>
                <w:sz w:val="20"/>
                <w:szCs w:val="20"/>
                <w:color w:val="auto"/>
              </w:rPr>
            </w:pPr>
            <w:r>
              <w:rPr>
                <w:rFonts w:ascii="Arial" w:cs="Arial" w:eastAsia="Arial" w:hAnsi="Arial"/>
                <w:sz w:val="14"/>
                <w:szCs w:val="14"/>
                <w:color w:val="auto"/>
              </w:rPr>
              <w:t>2017</w:t>
            </w:r>
          </w:p>
        </w:tc>
        <w:tc>
          <w:tcPr>
            <w:tcW w:w="860" w:type="dxa"/>
            <w:vAlign w:val="bottom"/>
            <w:tcBorders>
              <w:bottom w:val="single" w:sz="8" w:color="999999"/>
            </w:tcBorders>
          </w:tcPr>
          <w:p>
            <w:pPr>
              <w:jc w:val="right"/>
              <w:ind w:right="8"/>
              <w:spacing w:after="0"/>
              <w:rPr>
                <w:sz w:val="20"/>
                <w:szCs w:val="20"/>
                <w:color w:val="auto"/>
              </w:rPr>
            </w:pPr>
            <w:r>
              <w:rPr>
                <w:rFonts w:ascii="Arial" w:cs="Arial" w:eastAsia="Arial" w:hAnsi="Arial"/>
                <w:sz w:val="14"/>
                <w:szCs w:val="14"/>
                <w:color w:val="auto"/>
              </w:rPr>
              <w:t>685,000</w:t>
            </w:r>
          </w:p>
        </w:tc>
        <w:tc>
          <w:tcPr>
            <w:tcW w:w="840" w:type="dxa"/>
            <w:vAlign w:val="bottom"/>
            <w:tcBorders>
              <w:bottom w:val="single" w:sz="8" w:color="999999"/>
            </w:tcBorders>
          </w:tcPr>
          <w:p>
            <w:pPr>
              <w:jc w:val="right"/>
              <w:ind w:right="8"/>
              <w:spacing w:after="0"/>
              <w:rPr>
                <w:sz w:val="20"/>
                <w:szCs w:val="20"/>
                <w:color w:val="auto"/>
              </w:rPr>
            </w:pPr>
            <w:r>
              <w:rPr>
                <w:rFonts w:ascii="Arial" w:cs="Arial" w:eastAsia="Arial" w:hAnsi="Arial"/>
                <w:sz w:val="14"/>
                <w:szCs w:val="14"/>
                <w:color w:val="auto"/>
              </w:rPr>
              <w:t>970,000</w:t>
            </w:r>
          </w:p>
        </w:tc>
        <w:tc>
          <w:tcPr>
            <w:tcW w:w="860" w:type="dxa"/>
            <w:vAlign w:val="bottom"/>
            <w:tcBorders>
              <w:bottom w:val="single" w:sz="8" w:color="999999"/>
            </w:tcBorders>
          </w:tcPr>
          <w:p>
            <w:pPr>
              <w:jc w:val="right"/>
              <w:ind w:right="8"/>
              <w:spacing w:after="0"/>
              <w:rPr>
                <w:sz w:val="20"/>
                <w:szCs w:val="20"/>
                <w:color w:val="auto"/>
              </w:rPr>
            </w:pPr>
            <w:r>
              <w:rPr>
                <w:rFonts w:ascii="Arial" w:cs="Arial" w:eastAsia="Arial" w:hAnsi="Arial"/>
                <w:sz w:val="14"/>
                <w:szCs w:val="14"/>
                <w:color w:val="auto"/>
              </w:rPr>
              <w:t>799,936</w:t>
            </w:r>
          </w:p>
        </w:tc>
        <w:tc>
          <w:tcPr>
            <w:tcW w:w="840" w:type="dxa"/>
            <w:vAlign w:val="bottom"/>
            <w:tcBorders>
              <w:bottom w:val="single" w:sz="8" w:color="999999"/>
            </w:tcBorders>
          </w:tcPr>
          <w:p>
            <w:pPr>
              <w:jc w:val="right"/>
              <w:ind w:right="8"/>
              <w:spacing w:after="0"/>
              <w:rPr>
                <w:sz w:val="20"/>
                <w:szCs w:val="20"/>
                <w:color w:val="auto"/>
              </w:rPr>
            </w:pPr>
            <w:r>
              <w:rPr>
                <w:rFonts w:ascii="Arial" w:cs="Arial" w:eastAsia="Arial" w:hAnsi="Arial"/>
                <w:sz w:val="14"/>
                <w:szCs w:val="14"/>
                <w:color w:val="auto"/>
              </w:rPr>
              <w:t>764,629</w:t>
            </w:r>
          </w:p>
        </w:tc>
        <w:tc>
          <w:tcPr>
            <w:tcW w:w="1180" w:type="dxa"/>
            <w:vAlign w:val="bottom"/>
            <w:tcBorders>
              <w:bottom w:val="single" w:sz="8" w:color="999999"/>
            </w:tcBorders>
          </w:tcPr>
          <w:p>
            <w:pPr>
              <w:jc w:val="right"/>
              <w:ind w:right="8"/>
              <w:spacing w:after="0"/>
              <w:rPr>
                <w:sz w:val="20"/>
                <w:szCs w:val="20"/>
                <w:color w:val="auto"/>
              </w:rPr>
            </w:pPr>
            <w:r>
              <w:rPr>
                <w:rFonts w:ascii="Arial" w:cs="Arial" w:eastAsia="Arial" w:hAnsi="Arial"/>
                <w:sz w:val="14"/>
                <w:szCs w:val="14"/>
                <w:color w:val="auto"/>
              </w:rPr>
              <w:t>0</w:t>
            </w:r>
          </w:p>
        </w:tc>
        <w:tc>
          <w:tcPr>
            <w:tcW w:w="1180" w:type="dxa"/>
            <w:vAlign w:val="bottom"/>
            <w:tcBorders>
              <w:bottom w:val="single" w:sz="8" w:color="999999"/>
            </w:tcBorders>
          </w:tcPr>
          <w:p>
            <w:pPr>
              <w:jc w:val="right"/>
              <w:ind w:right="8"/>
              <w:spacing w:after="0"/>
              <w:rPr>
                <w:sz w:val="20"/>
                <w:szCs w:val="20"/>
                <w:color w:val="auto"/>
              </w:rPr>
            </w:pPr>
            <w:r>
              <w:rPr>
                <w:rFonts w:ascii="Arial" w:cs="Arial" w:eastAsia="Arial" w:hAnsi="Arial"/>
                <w:sz w:val="14"/>
                <w:szCs w:val="14"/>
                <w:color w:val="auto"/>
              </w:rPr>
              <w:t>397,072</w:t>
            </w:r>
          </w:p>
        </w:tc>
        <w:tc>
          <w:tcPr>
            <w:tcW w:w="1120" w:type="dxa"/>
            <w:vAlign w:val="bottom"/>
            <w:tcBorders>
              <w:bottom w:val="single" w:sz="8" w:color="999999"/>
            </w:tcBorders>
          </w:tcPr>
          <w:p>
            <w:pPr>
              <w:jc w:val="right"/>
              <w:spacing w:after="0"/>
              <w:rPr>
                <w:sz w:val="20"/>
                <w:szCs w:val="20"/>
                <w:color w:val="auto"/>
              </w:rPr>
            </w:pPr>
            <w:r>
              <w:rPr>
                <w:rFonts w:ascii="Arial" w:cs="Arial" w:eastAsia="Arial" w:hAnsi="Arial"/>
                <w:sz w:val="14"/>
                <w:szCs w:val="14"/>
                <w:color w:val="auto"/>
              </w:rPr>
              <w:t>27,872</w:t>
            </w:r>
          </w:p>
        </w:tc>
        <w:tc>
          <w:tcPr>
            <w:tcW w:w="860" w:type="dxa"/>
            <w:vAlign w:val="bottom"/>
            <w:tcBorders>
              <w:bottom w:val="single" w:sz="8" w:color="999999"/>
            </w:tcBorders>
          </w:tcPr>
          <w:p>
            <w:pPr>
              <w:jc w:val="right"/>
              <w:ind w:right="48"/>
              <w:spacing w:after="0"/>
              <w:rPr>
                <w:sz w:val="20"/>
                <w:szCs w:val="20"/>
                <w:color w:val="auto"/>
              </w:rPr>
            </w:pPr>
            <w:r>
              <w:rPr>
                <w:rFonts w:ascii="Arial" w:cs="Arial" w:eastAsia="Arial" w:hAnsi="Arial"/>
                <w:sz w:val="14"/>
                <w:szCs w:val="14"/>
                <w:color w:val="auto"/>
              </w:rPr>
              <w:t>3,644,376</w:t>
            </w:r>
          </w:p>
        </w:tc>
        <w:tc>
          <w:tcPr>
            <w:tcW w:w="0" w:type="dxa"/>
            <w:vAlign w:val="bottom"/>
          </w:tcPr>
          <w:p>
            <w:pPr>
              <w:spacing w:after="0"/>
              <w:rPr>
                <w:sz w:val="1"/>
                <w:szCs w:val="1"/>
                <w:color w:val="auto"/>
              </w:rPr>
            </w:pPr>
          </w:p>
        </w:tc>
      </w:tr>
      <w:tr>
        <w:trPr>
          <w:trHeight w:val="149"/>
        </w:trPr>
        <w:tc>
          <w:tcPr>
            <w:tcW w:w="2700" w:type="dxa"/>
            <w:vAlign w:val="bottom"/>
            <w:gridSpan w:val="2"/>
          </w:tcPr>
          <w:p>
            <w:pPr>
              <w:spacing w:after="0" w:line="147" w:lineRule="exact"/>
              <w:rPr>
                <w:sz w:val="20"/>
                <w:szCs w:val="20"/>
                <w:color w:val="auto"/>
              </w:rPr>
            </w:pPr>
            <w:r>
              <w:rPr>
                <w:rFonts w:ascii="Arial" w:cs="Arial" w:eastAsia="Arial" w:hAnsi="Arial"/>
                <w:sz w:val="14"/>
                <w:szCs w:val="14"/>
                <w:color w:val="auto"/>
              </w:rPr>
              <w:t>Senior Vice President &amp; Chief</w:t>
            </w:r>
          </w:p>
        </w:tc>
        <w:tc>
          <w:tcPr>
            <w:tcW w:w="560" w:type="dxa"/>
            <w:vAlign w:val="bottom"/>
            <w:tcBorders>
              <w:bottom w:val="single" w:sz="8" w:color="999999"/>
            </w:tcBorders>
            <w:gridSpan w:val="2"/>
          </w:tcPr>
          <w:p>
            <w:pPr>
              <w:jc w:val="right"/>
              <w:ind w:right="8"/>
              <w:spacing w:after="0" w:line="147" w:lineRule="exact"/>
              <w:rPr>
                <w:sz w:val="20"/>
                <w:szCs w:val="20"/>
                <w:color w:val="auto"/>
              </w:rPr>
            </w:pPr>
            <w:r>
              <w:rPr>
                <w:rFonts w:ascii="Arial" w:cs="Arial" w:eastAsia="Arial" w:hAnsi="Arial"/>
                <w:sz w:val="14"/>
                <w:szCs w:val="14"/>
                <w:color w:val="auto"/>
              </w:rPr>
              <w:t>2016</w:t>
            </w:r>
          </w:p>
        </w:tc>
        <w:tc>
          <w:tcPr>
            <w:tcW w:w="860" w:type="dxa"/>
            <w:vAlign w:val="bottom"/>
            <w:tcBorders>
              <w:bottom w:val="single" w:sz="8" w:color="999999"/>
            </w:tcBorders>
          </w:tcPr>
          <w:p>
            <w:pPr>
              <w:jc w:val="right"/>
              <w:ind w:right="8"/>
              <w:spacing w:after="0" w:line="147" w:lineRule="exact"/>
              <w:rPr>
                <w:sz w:val="20"/>
                <w:szCs w:val="20"/>
                <w:color w:val="auto"/>
              </w:rPr>
            </w:pPr>
            <w:r>
              <w:rPr>
                <w:rFonts w:ascii="Arial" w:cs="Arial" w:eastAsia="Arial" w:hAnsi="Arial"/>
                <w:sz w:val="14"/>
                <w:szCs w:val="14"/>
                <w:color w:val="auto"/>
              </w:rPr>
              <w:t>670,000</w:t>
            </w:r>
          </w:p>
        </w:tc>
        <w:tc>
          <w:tcPr>
            <w:tcW w:w="840" w:type="dxa"/>
            <w:vAlign w:val="bottom"/>
            <w:tcBorders>
              <w:bottom w:val="single" w:sz="8" w:color="999999"/>
            </w:tcBorders>
          </w:tcPr>
          <w:p>
            <w:pPr>
              <w:jc w:val="right"/>
              <w:ind w:right="8"/>
              <w:spacing w:after="0" w:line="147" w:lineRule="exact"/>
              <w:rPr>
                <w:sz w:val="20"/>
                <w:szCs w:val="20"/>
                <w:color w:val="auto"/>
              </w:rPr>
            </w:pPr>
            <w:r>
              <w:rPr>
                <w:rFonts w:ascii="Arial" w:cs="Arial" w:eastAsia="Arial" w:hAnsi="Arial"/>
                <w:sz w:val="14"/>
                <w:szCs w:val="14"/>
                <w:color w:val="auto"/>
              </w:rPr>
              <w:t>530,000</w:t>
            </w:r>
          </w:p>
        </w:tc>
        <w:tc>
          <w:tcPr>
            <w:tcW w:w="860" w:type="dxa"/>
            <w:vAlign w:val="bottom"/>
            <w:tcBorders>
              <w:bottom w:val="single" w:sz="8" w:color="999999"/>
            </w:tcBorders>
          </w:tcPr>
          <w:p>
            <w:pPr>
              <w:jc w:val="right"/>
              <w:ind w:right="8"/>
              <w:spacing w:after="0" w:line="147" w:lineRule="exact"/>
              <w:rPr>
                <w:sz w:val="20"/>
                <w:szCs w:val="20"/>
                <w:color w:val="auto"/>
              </w:rPr>
            </w:pPr>
            <w:r>
              <w:rPr>
                <w:rFonts w:ascii="Arial" w:cs="Arial" w:eastAsia="Arial" w:hAnsi="Arial"/>
                <w:sz w:val="14"/>
                <w:szCs w:val="14"/>
                <w:color w:val="auto"/>
              </w:rPr>
              <w:t>740,014</w:t>
            </w:r>
          </w:p>
        </w:tc>
        <w:tc>
          <w:tcPr>
            <w:tcW w:w="840" w:type="dxa"/>
            <w:vAlign w:val="bottom"/>
            <w:tcBorders>
              <w:bottom w:val="single" w:sz="8" w:color="999999"/>
            </w:tcBorders>
          </w:tcPr>
          <w:p>
            <w:pPr>
              <w:jc w:val="right"/>
              <w:ind w:right="8"/>
              <w:spacing w:after="0" w:line="147" w:lineRule="exact"/>
              <w:rPr>
                <w:sz w:val="20"/>
                <w:szCs w:val="20"/>
                <w:color w:val="auto"/>
              </w:rPr>
            </w:pPr>
            <w:r>
              <w:rPr>
                <w:rFonts w:ascii="Arial" w:cs="Arial" w:eastAsia="Arial" w:hAnsi="Arial"/>
                <w:sz w:val="14"/>
                <w:szCs w:val="14"/>
                <w:color w:val="auto"/>
              </w:rPr>
              <w:t>717,089</w:t>
            </w:r>
          </w:p>
        </w:tc>
        <w:tc>
          <w:tcPr>
            <w:tcW w:w="1180" w:type="dxa"/>
            <w:vAlign w:val="bottom"/>
            <w:tcBorders>
              <w:bottom w:val="single" w:sz="8" w:color="999999"/>
            </w:tcBorders>
          </w:tcPr>
          <w:p>
            <w:pPr>
              <w:jc w:val="right"/>
              <w:ind w:right="8"/>
              <w:spacing w:after="0" w:line="147" w:lineRule="exact"/>
              <w:rPr>
                <w:sz w:val="20"/>
                <w:szCs w:val="20"/>
                <w:color w:val="auto"/>
              </w:rPr>
            </w:pPr>
            <w:r>
              <w:rPr>
                <w:rFonts w:ascii="Arial" w:cs="Arial" w:eastAsia="Arial" w:hAnsi="Arial"/>
                <w:sz w:val="14"/>
                <w:szCs w:val="14"/>
                <w:color w:val="auto"/>
              </w:rPr>
              <w:t>0</w:t>
            </w:r>
          </w:p>
        </w:tc>
        <w:tc>
          <w:tcPr>
            <w:tcW w:w="1180" w:type="dxa"/>
            <w:vAlign w:val="bottom"/>
            <w:tcBorders>
              <w:bottom w:val="single" w:sz="8" w:color="999999"/>
            </w:tcBorders>
          </w:tcPr>
          <w:p>
            <w:pPr>
              <w:jc w:val="right"/>
              <w:ind w:right="8"/>
              <w:spacing w:after="0" w:line="147" w:lineRule="exact"/>
              <w:rPr>
                <w:sz w:val="20"/>
                <w:szCs w:val="20"/>
                <w:color w:val="auto"/>
              </w:rPr>
            </w:pPr>
            <w:r>
              <w:rPr>
                <w:rFonts w:ascii="Arial" w:cs="Arial" w:eastAsia="Arial" w:hAnsi="Arial"/>
                <w:sz w:val="14"/>
                <w:szCs w:val="14"/>
                <w:color w:val="auto"/>
              </w:rPr>
              <w:t>278,934</w:t>
            </w:r>
          </w:p>
        </w:tc>
        <w:tc>
          <w:tcPr>
            <w:tcW w:w="1120" w:type="dxa"/>
            <w:vAlign w:val="bottom"/>
            <w:tcBorders>
              <w:bottom w:val="single" w:sz="8" w:color="999999"/>
            </w:tcBorders>
          </w:tcPr>
          <w:p>
            <w:pPr>
              <w:jc w:val="right"/>
              <w:spacing w:after="0" w:line="147" w:lineRule="exact"/>
              <w:rPr>
                <w:sz w:val="20"/>
                <w:szCs w:val="20"/>
                <w:color w:val="auto"/>
              </w:rPr>
            </w:pPr>
            <w:r>
              <w:rPr>
                <w:rFonts w:ascii="Arial" w:cs="Arial" w:eastAsia="Arial" w:hAnsi="Arial"/>
                <w:sz w:val="14"/>
                <w:szCs w:val="14"/>
                <w:color w:val="auto"/>
              </w:rPr>
              <w:t>320,331</w:t>
            </w:r>
          </w:p>
        </w:tc>
        <w:tc>
          <w:tcPr>
            <w:tcW w:w="860" w:type="dxa"/>
            <w:vAlign w:val="bottom"/>
            <w:tcBorders>
              <w:bottom w:val="single" w:sz="8" w:color="999999"/>
            </w:tcBorders>
          </w:tcPr>
          <w:p>
            <w:pPr>
              <w:jc w:val="right"/>
              <w:ind w:right="48"/>
              <w:spacing w:after="0" w:line="147" w:lineRule="exact"/>
              <w:rPr>
                <w:sz w:val="20"/>
                <w:szCs w:val="20"/>
                <w:color w:val="auto"/>
              </w:rPr>
            </w:pPr>
            <w:r>
              <w:rPr>
                <w:rFonts w:ascii="Arial" w:cs="Arial" w:eastAsia="Arial" w:hAnsi="Arial"/>
                <w:sz w:val="14"/>
                <w:szCs w:val="14"/>
                <w:color w:val="auto"/>
              </w:rPr>
              <w:t>3,256,368</w:t>
            </w:r>
          </w:p>
        </w:tc>
        <w:tc>
          <w:tcPr>
            <w:tcW w:w="0" w:type="dxa"/>
            <w:vAlign w:val="bottom"/>
          </w:tcPr>
          <w:p>
            <w:pPr>
              <w:spacing w:after="0"/>
              <w:rPr>
                <w:sz w:val="1"/>
                <w:szCs w:val="1"/>
                <w:color w:val="auto"/>
              </w:rPr>
            </w:pPr>
          </w:p>
        </w:tc>
      </w:tr>
      <w:tr>
        <w:trPr>
          <w:trHeight w:val="177"/>
        </w:trPr>
        <w:tc>
          <w:tcPr>
            <w:tcW w:w="2700" w:type="dxa"/>
            <w:vAlign w:val="bottom"/>
            <w:gridSpan w:val="2"/>
          </w:tcPr>
          <w:p>
            <w:pPr>
              <w:spacing w:after="0" w:line="150" w:lineRule="exact"/>
              <w:rPr>
                <w:sz w:val="20"/>
                <w:szCs w:val="20"/>
                <w:color w:val="auto"/>
              </w:rPr>
            </w:pPr>
            <w:r>
              <w:rPr>
                <w:rFonts w:ascii="Arial" w:cs="Arial" w:eastAsia="Arial" w:hAnsi="Arial"/>
                <w:sz w:val="14"/>
                <w:szCs w:val="14"/>
                <w:color w:val="auto"/>
              </w:rPr>
              <w:t>Financial Officer</w:t>
            </w:r>
          </w:p>
        </w:tc>
        <w:tc>
          <w:tcPr>
            <w:tcW w:w="560" w:type="dxa"/>
            <w:vAlign w:val="bottom"/>
            <w:gridSpan w:val="2"/>
          </w:tcPr>
          <w:p>
            <w:pPr>
              <w:jc w:val="right"/>
              <w:ind w:right="8"/>
              <w:spacing w:after="0"/>
              <w:rPr>
                <w:sz w:val="20"/>
                <w:szCs w:val="20"/>
                <w:color w:val="auto"/>
              </w:rPr>
            </w:pPr>
            <w:r>
              <w:rPr>
                <w:rFonts w:ascii="Arial" w:cs="Arial" w:eastAsia="Arial" w:hAnsi="Arial"/>
                <w:sz w:val="14"/>
                <w:szCs w:val="14"/>
                <w:color w:val="auto"/>
              </w:rPr>
              <w:t>2015</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670,000</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530,000</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739,982</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881,585</w:t>
            </w: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0</w:t>
            </w: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229,000</w:t>
            </w:r>
          </w:p>
        </w:tc>
        <w:tc>
          <w:tcPr>
            <w:tcW w:w="1120" w:type="dxa"/>
            <w:vAlign w:val="bottom"/>
          </w:tcPr>
          <w:p>
            <w:pPr>
              <w:jc w:val="right"/>
              <w:spacing w:after="0"/>
              <w:rPr>
                <w:sz w:val="20"/>
                <w:szCs w:val="20"/>
                <w:color w:val="auto"/>
              </w:rPr>
            </w:pPr>
            <w:r>
              <w:rPr>
                <w:rFonts w:ascii="Arial" w:cs="Arial" w:eastAsia="Arial" w:hAnsi="Arial"/>
                <w:sz w:val="14"/>
                <w:szCs w:val="14"/>
                <w:color w:val="auto"/>
              </w:rPr>
              <w:t>11,857</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3,062,424</w:t>
            </w: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2680" w:type="dxa"/>
            <w:vAlign w:val="bottom"/>
          </w:tcPr>
          <w:p>
            <w:pPr>
              <w:spacing w:after="0"/>
              <w:rPr>
                <w:sz w:val="3"/>
                <w:szCs w:val="3"/>
                <w:color w:val="auto"/>
              </w:rPr>
            </w:pPr>
          </w:p>
        </w:tc>
        <w:tc>
          <w:tcPr>
            <w:tcW w:w="560" w:type="dxa"/>
            <w:vAlign w:val="bottom"/>
            <w:gridSpan w:val="2"/>
          </w:tcPr>
          <w:p>
            <w:pPr>
              <w:spacing w:after="0"/>
              <w:rPr>
                <w:sz w:val="3"/>
                <w:szCs w:val="3"/>
                <w:color w:val="auto"/>
              </w:rPr>
            </w:pPr>
          </w:p>
        </w:tc>
        <w:tc>
          <w:tcPr>
            <w:tcW w:w="860" w:type="dxa"/>
            <w:vAlign w:val="bottom"/>
          </w:tcPr>
          <w:p>
            <w:pPr>
              <w:spacing w:after="0"/>
              <w:rPr>
                <w:sz w:val="3"/>
                <w:szCs w:val="3"/>
                <w:color w:val="auto"/>
              </w:rPr>
            </w:pPr>
          </w:p>
        </w:tc>
        <w:tc>
          <w:tcPr>
            <w:tcW w:w="8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vMerge w:val="continue"/>
          </w:tcPr>
          <w:p>
            <w:pPr>
              <w:spacing w:after="0"/>
              <w:rPr>
                <w:sz w:val="14"/>
                <w:szCs w:val="14"/>
                <w:color w:val="auto"/>
              </w:rPr>
            </w:pPr>
          </w:p>
        </w:tc>
        <w:tc>
          <w:tcPr>
            <w:tcW w:w="2680" w:type="dxa"/>
            <w:vAlign w:val="bottom"/>
            <w:shd w:val="clear" w:color="auto" w:fill="D8D8D8"/>
          </w:tcPr>
          <w:p>
            <w:pPr>
              <w:spacing w:after="0"/>
              <w:rPr>
                <w:sz w:val="20"/>
                <w:szCs w:val="20"/>
                <w:color w:val="auto"/>
              </w:rPr>
            </w:pPr>
            <w:r>
              <w:rPr>
                <w:rFonts w:ascii="Arial" w:cs="Arial" w:eastAsia="Arial" w:hAnsi="Arial"/>
                <w:sz w:val="14"/>
                <w:szCs w:val="14"/>
                <w:b w:val="1"/>
                <w:bCs w:val="1"/>
                <w:color w:val="auto"/>
              </w:rPr>
              <w:t>C. Anderson Fincher</w:t>
            </w:r>
          </w:p>
        </w:tc>
        <w:tc>
          <w:tcPr>
            <w:tcW w:w="560" w:type="dxa"/>
            <w:vAlign w:val="bottom"/>
            <w:gridSpan w:val="2"/>
            <w:shd w:val="clear" w:color="auto" w:fill="D8D8D8"/>
          </w:tcPr>
          <w:p>
            <w:pPr>
              <w:jc w:val="right"/>
              <w:ind w:right="8"/>
              <w:spacing w:after="0"/>
              <w:rPr>
                <w:sz w:val="20"/>
                <w:szCs w:val="20"/>
                <w:color w:val="auto"/>
              </w:rPr>
            </w:pPr>
            <w:r>
              <w:rPr>
                <w:rFonts w:ascii="Arial" w:cs="Arial" w:eastAsia="Arial" w:hAnsi="Arial"/>
                <w:sz w:val="14"/>
                <w:szCs w:val="14"/>
                <w:color w:val="auto"/>
              </w:rPr>
              <w:t>2017</w:t>
            </w:r>
          </w:p>
        </w:tc>
        <w:tc>
          <w:tcPr>
            <w:tcW w:w="860" w:type="dxa"/>
            <w:vAlign w:val="bottom"/>
            <w:shd w:val="clear" w:color="auto" w:fill="D8D8D8"/>
          </w:tcPr>
          <w:p>
            <w:pPr>
              <w:jc w:val="right"/>
              <w:ind w:right="8"/>
              <w:spacing w:after="0"/>
              <w:rPr>
                <w:sz w:val="20"/>
                <w:szCs w:val="20"/>
                <w:color w:val="auto"/>
              </w:rPr>
            </w:pPr>
            <w:r>
              <w:rPr>
                <w:rFonts w:ascii="Arial" w:cs="Arial" w:eastAsia="Arial" w:hAnsi="Arial"/>
                <w:sz w:val="14"/>
                <w:szCs w:val="14"/>
                <w:color w:val="auto"/>
              </w:rPr>
              <w:t>545,000</w:t>
            </w:r>
          </w:p>
        </w:tc>
        <w:tc>
          <w:tcPr>
            <w:tcW w:w="840" w:type="dxa"/>
            <w:vAlign w:val="bottom"/>
            <w:shd w:val="clear" w:color="auto" w:fill="D8D8D8"/>
          </w:tcPr>
          <w:p>
            <w:pPr>
              <w:jc w:val="right"/>
              <w:ind w:right="8"/>
              <w:spacing w:after="0"/>
              <w:rPr>
                <w:sz w:val="20"/>
                <w:szCs w:val="20"/>
                <w:color w:val="auto"/>
              </w:rPr>
            </w:pPr>
            <w:r>
              <w:rPr>
                <w:rFonts w:ascii="Arial" w:cs="Arial" w:eastAsia="Arial" w:hAnsi="Arial"/>
                <w:sz w:val="14"/>
                <w:szCs w:val="14"/>
                <w:color w:val="auto"/>
              </w:rPr>
              <w:t>580,000</w:t>
            </w:r>
          </w:p>
        </w:tc>
        <w:tc>
          <w:tcPr>
            <w:tcW w:w="860" w:type="dxa"/>
            <w:vAlign w:val="bottom"/>
            <w:shd w:val="clear" w:color="auto" w:fill="D8D8D8"/>
          </w:tcPr>
          <w:p>
            <w:pPr>
              <w:jc w:val="right"/>
              <w:ind w:right="8"/>
              <w:spacing w:after="0"/>
              <w:rPr>
                <w:sz w:val="20"/>
                <w:szCs w:val="20"/>
                <w:color w:val="auto"/>
              </w:rPr>
            </w:pPr>
            <w:r>
              <w:rPr>
                <w:rFonts w:ascii="Arial" w:cs="Arial" w:eastAsia="Arial" w:hAnsi="Arial"/>
                <w:sz w:val="14"/>
                <w:szCs w:val="14"/>
                <w:color w:val="auto"/>
              </w:rPr>
              <w:t>549,965</w:t>
            </w:r>
          </w:p>
        </w:tc>
        <w:tc>
          <w:tcPr>
            <w:tcW w:w="840" w:type="dxa"/>
            <w:vAlign w:val="bottom"/>
            <w:shd w:val="clear" w:color="auto" w:fill="D8D8D8"/>
          </w:tcPr>
          <w:p>
            <w:pPr>
              <w:jc w:val="right"/>
              <w:ind w:right="8"/>
              <w:spacing w:after="0"/>
              <w:rPr>
                <w:sz w:val="20"/>
                <w:szCs w:val="20"/>
                <w:color w:val="auto"/>
              </w:rPr>
            </w:pPr>
            <w:r>
              <w:rPr>
                <w:rFonts w:ascii="Arial" w:cs="Arial" w:eastAsia="Arial" w:hAnsi="Arial"/>
                <w:sz w:val="14"/>
                <w:szCs w:val="14"/>
                <w:color w:val="auto"/>
              </w:rPr>
              <w:t>350,458</w:t>
            </w:r>
          </w:p>
        </w:tc>
        <w:tc>
          <w:tcPr>
            <w:tcW w:w="1180" w:type="dxa"/>
            <w:vAlign w:val="bottom"/>
            <w:shd w:val="clear" w:color="auto" w:fill="D8D8D8"/>
          </w:tcPr>
          <w:p>
            <w:pPr>
              <w:jc w:val="right"/>
              <w:ind w:right="8"/>
              <w:spacing w:after="0"/>
              <w:rPr>
                <w:sz w:val="20"/>
                <w:szCs w:val="20"/>
                <w:color w:val="auto"/>
              </w:rPr>
            </w:pPr>
            <w:r>
              <w:rPr>
                <w:rFonts w:ascii="Arial" w:cs="Arial" w:eastAsia="Arial" w:hAnsi="Arial"/>
                <w:sz w:val="14"/>
                <w:szCs w:val="14"/>
                <w:color w:val="auto"/>
              </w:rPr>
              <w:t>0</w:t>
            </w:r>
          </w:p>
        </w:tc>
        <w:tc>
          <w:tcPr>
            <w:tcW w:w="1180" w:type="dxa"/>
            <w:vAlign w:val="bottom"/>
            <w:shd w:val="clear" w:color="auto" w:fill="D8D8D8"/>
          </w:tcPr>
          <w:p>
            <w:pPr>
              <w:jc w:val="right"/>
              <w:ind w:right="8"/>
              <w:spacing w:after="0"/>
              <w:rPr>
                <w:sz w:val="20"/>
                <w:szCs w:val="20"/>
                <w:color w:val="auto"/>
              </w:rPr>
            </w:pPr>
            <w:r>
              <w:rPr>
                <w:rFonts w:ascii="Arial" w:cs="Arial" w:eastAsia="Arial" w:hAnsi="Arial"/>
                <w:sz w:val="14"/>
                <w:szCs w:val="14"/>
                <w:color w:val="auto"/>
              </w:rPr>
              <w:t>607,677</w:t>
            </w:r>
          </w:p>
        </w:tc>
        <w:tc>
          <w:tcPr>
            <w:tcW w:w="1120" w:type="dxa"/>
            <w:vAlign w:val="bottom"/>
            <w:shd w:val="clear" w:color="auto" w:fill="D8D8D8"/>
          </w:tcPr>
          <w:p>
            <w:pPr>
              <w:jc w:val="right"/>
              <w:spacing w:after="0"/>
              <w:rPr>
                <w:sz w:val="20"/>
                <w:szCs w:val="20"/>
                <w:color w:val="auto"/>
              </w:rPr>
            </w:pPr>
            <w:r>
              <w:rPr>
                <w:rFonts w:ascii="Arial" w:cs="Arial" w:eastAsia="Arial" w:hAnsi="Arial"/>
                <w:sz w:val="14"/>
                <w:szCs w:val="14"/>
                <w:color w:val="auto"/>
              </w:rPr>
              <w:t>19,903</w:t>
            </w:r>
          </w:p>
        </w:tc>
        <w:tc>
          <w:tcPr>
            <w:tcW w:w="860" w:type="dxa"/>
            <w:vAlign w:val="bottom"/>
            <w:shd w:val="clear" w:color="auto" w:fill="D8D8D8"/>
          </w:tcPr>
          <w:p>
            <w:pPr>
              <w:jc w:val="right"/>
              <w:ind w:right="48"/>
              <w:spacing w:after="0"/>
              <w:rPr>
                <w:sz w:val="20"/>
                <w:szCs w:val="20"/>
                <w:color w:val="auto"/>
              </w:rPr>
            </w:pPr>
            <w:r>
              <w:rPr>
                <w:rFonts w:ascii="Arial" w:cs="Arial" w:eastAsia="Arial" w:hAnsi="Arial"/>
                <w:sz w:val="14"/>
                <w:szCs w:val="14"/>
                <w:color w:val="auto"/>
              </w:rPr>
              <w:t>2,653,003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80" w:type="dxa"/>
            <w:vAlign w:val="bottom"/>
            <w:shd w:val="clear" w:color="auto" w:fill="D8D8D8"/>
          </w:tcPr>
          <w:p>
            <w:pPr>
              <w:spacing w:after="0"/>
              <w:rPr>
                <w:sz w:val="20"/>
                <w:szCs w:val="20"/>
                <w:color w:val="auto"/>
              </w:rPr>
            </w:pPr>
            <w:r>
              <w:rPr>
                <w:rFonts w:ascii="Arial" w:cs="Arial" w:eastAsia="Arial" w:hAnsi="Arial"/>
                <w:sz w:val="14"/>
                <w:szCs w:val="14"/>
                <w:color w:val="auto"/>
              </w:rPr>
              <w:t>President &amp; Chief</w:t>
            </w:r>
          </w:p>
        </w:tc>
        <w:tc>
          <w:tcPr>
            <w:tcW w:w="160" w:type="dxa"/>
            <w:vAlign w:val="bottom"/>
            <w:shd w:val="clear" w:color="auto" w:fill="D8D8D8"/>
          </w:tcPr>
          <w:p>
            <w:pPr>
              <w:spacing w:after="0"/>
              <w:rPr>
                <w:sz w:val="14"/>
                <w:szCs w:val="14"/>
                <w:color w:val="auto"/>
              </w:rPr>
            </w:pPr>
          </w:p>
        </w:tc>
        <w:tc>
          <w:tcPr>
            <w:tcW w:w="400" w:type="dxa"/>
            <w:vAlign w:val="bottom"/>
            <w:vMerge w:val="restart"/>
            <w:shd w:val="clear" w:color="auto" w:fill="D8D8D8"/>
          </w:tcPr>
          <w:p>
            <w:pPr>
              <w:jc w:val="right"/>
              <w:ind w:right="8"/>
              <w:spacing w:after="0"/>
              <w:rPr>
                <w:sz w:val="20"/>
                <w:szCs w:val="20"/>
                <w:color w:val="auto"/>
              </w:rPr>
            </w:pPr>
            <w:r>
              <w:rPr>
                <w:rFonts w:ascii="Arial" w:cs="Arial" w:eastAsia="Arial" w:hAnsi="Arial"/>
                <w:sz w:val="14"/>
                <w:szCs w:val="14"/>
                <w:color w:val="auto"/>
                <w:w w:val="96"/>
              </w:rPr>
              <w:t>2016</w:t>
            </w:r>
          </w:p>
        </w:tc>
        <w:tc>
          <w:tcPr>
            <w:tcW w:w="860" w:type="dxa"/>
            <w:vAlign w:val="bottom"/>
            <w:vMerge w:val="restart"/>
            <w:shd w:val="clear" w:color="auto" w:fill="D8D8D8"/>
          </w:tcPr>
          <w:p>
            <w:pPr>
              <w:jc w:val="right"/>
              <w:ind w:right="8"/>
              <w:spacing w:after="0"/>
              <w:rPr>
                <w:sz w:val="20"/>
                <w:szCs w:val="20"/>
                <w:color w:val="auto"/>
              </w:rPr>
            </w:pPr>
            <w:r>
              <w:rPr>
                <w:rFonts w:ascii="Arial" w:cs="Arial" w:eastAsia="Arial" w:hAnsi="Arial"/>
                <w:sz w:val="14"/>
                <w:szCs w:val="14"/>
                <w:color w:val="auto"/>
              </w:rPr>
              <w:t>530,000</w:t>
            </w:r>
          </w:p>
        </w:tc>
        <w:tc>
          <w:tcPr>
            <w:tcW w:w="840" w:type="dxa"/>
            <w:vAlign w:val="bottom"/>
            <w:vMerge w:val="restart"/>
            <w:shd w:val="clear" w:color="auto" w:fill="D8D8D8"/>
          </w:tcPr>
          <w:p>
            <w:pPr>
              <w:jc w:val="right"/>
              <w:ind w:right="8"/>
              <w:spacing w:after="0"/>
              <w:rPr>
                <w:sz w:val="20"/>
                <w:szCs w:val="20"/>
                <w:color w:val="auto"/>
              </w:rPr>
            </w:pPr>
            <w:r>
              <w:rPr>
                <w:rFonts w:ascii="Arial" w:cs="Arial" w:eastAsia="Arial" w:hAnsi="Arial"/>
                <w:sz w:val="14"/>
                <w:szCs w:val="14"/>
                <w:color w:val="auto"/>
              </w:rPr>
              <w:t>500,000</w:t>
            </w:r>
          </w:p>
        </w:tc>
        <w:tc>
          <w:tcPr>
            <w:tcW w:w="860" w:type="dxa"/>
            <w:vAlign w:val="bottom"/>
            <w:vMerge w:val="restart"/>
            <w:shd w:val="clear" w:color="auto" w:fill="D8D8D8"/>
          </w:tcPr>
          <w:p>
            <w:pPr>
              <w:jc w:val="right"/>
              <w:ind w:right="8"/>
              <w:spacing w:after="0"/>
              <w:rPr>
                <w:sz w:val="20"/>
                <w:szCs w:val="20"/>
                <w:color w:val="auto"/>
              </w:rPr>
            </w:pPr>
            <w:r>
              <w:rPr>
                <w:rFonts w:ascii="Arial" w:cs="Arial" w:eastAsia="Arial" w:hAnsi="Arial"/>
                <w:sz w:val="14"/>
                <w:szCs w:val="14"/>
                <w:color w:val="auto"/>
              </w:rPr>
              <w:t>550,001</w:t>
            </w:r>
          </w:p>
        </w:tc>
        <w:tc>
          <w:tcPr>
            <w:tcW w:w="840" w:type="dxa"/>
            <w:vAlign w:val="bottom"/>
            <w:vMerge w:val="restart"/>
            <w:shd w:val="clear" w:color="auto" w:fill="D8D8D8"/>
          </w:tcPr>
          <w:p>
            <w:pPr>
              <w:jc w:val="right"/>
              <w:ind w:right="8"/>
              <w:spacing w:after="0"/>
              <w:rPr>
                <w:sz w:val="20"/>
                <w:szCs w:val="20"/>
                <w:color w:val="auto"/>
              </w:rPr>
            </w:pPr>
            <w:r>
              <w:rPr>
                <w:rFonts w:ascii="Arial" w:cs="Arial" w:eastAsia="Arial" w:hAnsi="Arial"/>
                <w:sz w:val="14"/>
                <w:szCs w:val="14"/>
                <w:color w:val="auto"/>
              </w:rPr>
              <w:t>355,313</w:t>
            </w:r>
          </w:p>
        </w:tc>
        <w:tc>
          <w:tcPr>
            <w:tcW w:w="1180" w:type="dxa"/>
            <w:vAlign w:val="bottom"/>
            <w:vMerge w:val="restart"/>
            <w:shd w:val="clear" w:color="auto" w:fill="D8D8D8"/>
          </w:tcPr>
          <w:p>
            <w:pPr>
              <w:jc w:val="right"/>
              <w:ind w:right="8"/>
              <w:spacing w:after="0"/>
              <w:rPr>
                <w:sz w:val="20"/>
                <w:szCs w:val="20"/>
                <w:color w:val="auto"/>
              </w:rPr>
            </w:pPr>
            <w:r>
              <w:rPr>
                <w:rFonts w:ascii="Arial" w:cs="Arial" w:eastAsia="Arial" w:hAnsi="Arial"/>
                <w:sz w:val="14"/>
                <w:szCs w:val="14"/>
                <w:color w:val="auto"/>
              </w:rPr>
              <w:t>0</w:t>
            </w:r>
          </w:p>
        </w:tc>
        <w:tc>
          <w:tcPr>
            <w:tcW w:w="1180" w:type="dxa"/>
            <w:vAlign w:val="bottom"/>
            <w:vMerge w:val="restart"/>
            <w:shd w:val="clear" w:color="auto" w:fill="D8D8D8"/>
          </w:tcPr>
          <w:p>
            <w:pPr>
              <w:jc w:val="right"/>
              <w:ind w:right="8"/>
              <w:spacing w:after="0"/>
              <w:rPr>
                <w:sz w:val="20"/>
                <w:szCs w:val="20"/>
                <w:color w:val="auto"/>
              </w:rPr>
            </w:pPr>
            <w:r>
              <w:rPr>
                <w:rFonts w:ascii="Arial" w:cs="Arial" w:eastAsia="Arial" w:hAnsi="Arial"/>
                <w:sz w:val="14"/>
                <w:szCs w:val="14"/>
                <w:color w:val="auto"/>
              </w:rPr>
              <w:t>365,810</w:t>
            </w:r>
          </w:p>
        </w:tc>
        <w:tc>
          <w:tcPr>
            <w:tcW w:w="1120" w:type="dxa"/>
            <w:vAlign w:val="bottom"/>
            <w:vMerge w:val="restart"/>
            <w:shd w:val="clear" w:color="auto" w:fill="D8D8D8"/>
          </w:tcPr>
          <w:p>
            <w:pPr>
              <w:jc w:val="right"/>
              <w:spacing w:after="0"/>
              <w:rPr>
                <w:sz w:val="20"/>
                <w:szCs w:val="20"/>
                <w:color w:val="auto"/>
              </w:rPr>
            </w:pPr>
            <w:r>
              <w:rPr>
                <w:rFonts w:ascii="Arial" w:cs="Arial" w:eastAsia="Arial" w:hAnsi="Arial"/>
                <w:sz w:val="14"/>
                <w:szCs w:val="14"/>
                <w:color w:val="auto"/>
              </w:rPr>
              <w:t>13,832</w:t>
            </w:r>
          </w:p>
        </w:tc>
        <w:tc>
          <w:tcPr>
            <w:tcW w:w="860" w:type="dxa"/>
            <w:vAlign w:val="bottom"/>
            <w:vMerge w:val="restart"/>
            <w:shd w:val="clear" w:color="auto" w:fill="D8D8D8"/>
          </w:tcPr>
          <w:p>
            <w:pPr>
              <w:jc w:val="right"/>
              <w:ind w:right="48"/>
              <w:spacing w:after="0"/>
              <w:rPr>
                <w:sz w:val="20"/>
                <w:szCs w:val="20"/>
                <w:color w:val="auto"/>
              </w:rPr>
            </w:pPr>
            <w:r>
              <w:rPr>
                <w:rFonts w:ascii="Arial" w:cs="Arial" w:eastAsia="Arial" w:hAnsi="Arial"/>
                <w:sz w:val="14"/>
                <w:szCs w:val="14"/>
                <w:color w:val="auto"/>
              </w:rPr>
              <w:t>2,314,956</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680" w:type="dxa"/>
            <w:vAlign w:val="bottom"/>
            <w:vMerge w:val="restart"/>
            <w:shd w:val="clear" w:color="auto" w:fill="D8D8D8"/>
          </w:tcPr>
          <w:p>
            <w:pPr>
              <w:spacing w:after="0"/>
              <w:rPr>
                <w:sz w:val="20"/>
                <w:szCs w:val="20"/>
                <w:color w:val="auto"/>
              </w:rPr>
            </w:pPr>
            <w:r>
              <w:rPr>
                <w:rFonts w:ascii="Arial" w:cs="Arial" w:eastAsia="Arial" w:hAnsi="Arial"/>
                <w:sz w:val="14"/>
                <w:szCs w:val="14"/>
                <w:color w:val="auto"/>
              </w:rPr>
              <w:t>Executive Officer, Dover Engineered</w:t>
            </w:r>
          </w:p>
        </w:tc>
        <w:tc>
          <w:tcPr>
            <w:tcW w:w="160" w:type="dxa"/>
            <w:vAlign w:val="bottom"/>
            <w:shd w:val="clear" w:color="auto" w:fill="D8D8D8"/>
          </w:tcPr>
          <w:p>
            <w:pPr>
              <w:spacing w:after="0"/>
              <w:rPr>
                <w:sz w:val="6"/>
                <w:szCs w:val="6"/>
                <w:color w:val="auto"/>
              </w:rPr>
            </w:pPr>
          </w:p>
        </w:tc>
        <w:tc>
          <w:tcPr>
            <w:tcW w:w="400" w:type="dxa"/>
            <w:vAlign w:val="bottom"/>
            <w:vMerge w:val="continue"/>
            <w:shd w:val="clear" w:color="auto" w:fill="D8D8D8"/>
          </w:tcPr>
          <w:p>
            <w:pPr>
              <w:spacing w:after="0"/>
              <w:rPr>
                <w:sz w:val="6"/>
                <w:szCs w:val="6"/>
                <w:color w:val="auto"/>
              </w:rPr>
            </w:pPr>
          </w:p>
        </w:tc>
        <w:tc>
          <w:tcPr>
            <w:tcW w:w="860" w:type="dxa"/>
            <w:vAlign w:val="bottom"/>
            <w:vMerge w:val="continue"/>
            <w:shd w:val="clear" w:color="auto" w:fill="D8D8D8"/>
          </w:tcPr>
          <w:p>
            <w:pPr>
              <w:spacing w:after="0"/>
              <w:rPr>
                <w:sz w:val="6"/>
                <w:szCs w:val="6"/>
                <w:color w:val="auto"/>
              </w:rPr>
            </w:pPr>
          </w:p>
        </w:tc>
        <w:tc>
          <w:tcPr>
            <w:tcW w:w="840" w:type="dxa"/>
            <w:vAlign w:val="bottom"/>
            <w:vMerge w:val="continue"/>
            <w:shd w:val="clear" w:color="auto" w:fill="D8D8D8"/>
          </w:tcPr>
          <w:p>
            <w:pPr>
              <w:spacing w:after="0"/>
              <w:rPr>
                <w:sz w:val="6"/>
                <w:szCs w:val="6"/>
                <w:color w:val="auto"/>
              </w:rPr>
            </w:pPr>
          </w:p>
        </w:tc>
        <w:tc>
          <w:tcPr>
            <w:tcW w:w="860" w:type="dxa"/>
            <w:vAlign w:val="bottom"/>
            <w:vMerge w:val="continue"/>
            <w:shd w:val="clear" w:color="auto" w:fill="D8D8D8"/>
          </w:tcPr>
          <w:p>
            <w:pPr>
              <w:spacing w:after="0"/>
              <w:rPr>
                <w:sz w:val="6"/>
                <w:szCs w:val="6"/>
                <w:color w:val="auto"/>
              </w:rPr>
            </w:pPr>
          </w:p>
        </w:tc>
        <w:tc>
          <w:tcPr>
            <w:tcW w:w="840" w:type="dxa"/>
            <w:vAlign w:val="bottom"/>
            <w:vMerge w:val="continue"/>
            <w:shd w:val="clear" w:color="auto" w:fill="D8D8D8"/>
          </w:tcPr>
          <w:p>
            <w:pPr>
              <w:spacing w:after="0"/>
              <w:rPr>
                <w:sz w:val="6"/>
                <w:szCs w:val="6"/>
                <w:color w:val="auto"/>
              </w:rPr>
            </w:pPr>
          </w:p>
        </w:tc>
        <w:tc>
          <w:tcPr>
            <w:tcW w:w="1180" w:type="dxa"/>
            <w:vAlign w:val="bottom"/>
            <w:vMerge w:val="continue"/>
            <w:shd w:val="clear" w:color="auto" w:fill="D8D8D8"/>
          </w:tcPr>
          <w:p>
            <w:pPr>
              <w:spacing w:after="0"/>
              <w:rPr>
                <w:sz w:val="6"/>
                <w:szCs w:val="6"/>
                <w:color w:val="auto"/>
              </w:rPr>
            </w:pPr>
          </w:p>
        </w:tc>
        <w:tc>
          <w:tcPr>
            <w:tcW w:w="1180" w:type="dxa"/>
            <w:vAlign w:val="bottom"/>
            <w:vMerge w:val="continue"/>
            <w:shd w:val="clear" w:color="auto" w:fill="D8D8D8"/>
          </w:tcPr>
          <w:p>
            <w:pPr>
              <w:spacing w:after="0"/>
              <w:rPr>
                <w:sz w:val="6"/>
                <w:szCs w:val="6"/>
                <w:color w:val="auto"/>
              </w:rPr>
            </w:pPr>
          </w:p>
        </w:tc>
        <w:tc>
          <w:tcPr>
            <w:tcW w:w="1120" w:type="dxa"/>
            <w:vAlign w:val="bottom"/>
            <w:vMerge w:val="continue"/>
            <w:shd w:val="clear" w:color="auto" w:fill="D8D8D8"/>
          </w:tcPr>
          <w:p>
            <w:pPr>
              <w:spacing w:after="0"/>
              <w:rPr>
                <w:sz w:val="6"/>
                <w:szCs w:val="6"/>
                <w:color w:val="auto"/>
              </w:rPr>
            </w:pPr>
          </w:p>
        </w:tc>
        <w:tc>
          <w:tcPr>
            <w:tcW w:w="860" w:type="dxa"/>
            <w:vAlign w:val="bottom"/>
            <w:vMerge w:val="continue"/>
            <w:shd w:val="clear" w:color="auto" w:fill="D8D8D8"/>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2680" w:type="dxa"/>
            <w:vAlign w:val="bottom"/>
            <w:vMerge w:val="continue"/>
            <w:shd w:val="clear" w:color="auto" w:fill="D8D8D8"/>
          </w:tcPr>
          <w:p>
            <w:pPr>
              <w:spacing w:after="0"/>
              <w:rPr>
                <w:sz w:val="7"/>
                <w:szCs w:val="7"/>
                <w:color w:val="auto"/>
              </w:rPr>
            </w:pPr>
          </w:p>
        </w:tc>
        <w:tc>
          <w:tcPr>
            <w:tcW w:w="160" w:type="dxa"/>
            <w:vAlign w:val="bottom"/>
            <w:shd w:val="clear" w:color="auto" w:fill="D8D8D8"/>
          </w:tcPr>
          <w:p>
            <w:pPr>
              <w:spacing w:after="0"/>
              <w:rPr>
                <w:sz w:val="7"/>
                <w:szCs w:val="7"/>
                <w:color w:val="auto"/>
              </w:rPr>
            </w:pPr>
          </w:p>
        </w:tc>
        <w:tc>
          <w:tcPr>
            <w:tcW w:w="400" w:type="dxa"/>
            <w:vAlign w:val="bottom"/>
            <w:shd w:val="clear" w:color="auto" w:fill="D8D8D8"/>
          </w:tcPr>
          <w:p>
            <w:pPr>
              <w:spacing w:after="0"/>
              <w:rPr>
                <w:sz w:val="7"/>
                <w:szCs w:val="7"/>
                <w:color w:val="auto"/>
              </w:rPr>
            </w:pPr>
          </w:p>
        </w:tc>
        <w:tc>
          <w:tcPr>
            <w:tcW w:w="860" w:type="dxa"/>
            <w:vAlign w:val="bottom"/>
            <w:shd w:val="clear" w:color="auto" w:fill="D8D8D8"/>
          </w:tcPr>
          <w:p>
            <w:pPr>
              <w:spacing w:after="0"/>
              <w:rPr>
                <w:sz w:val="7"/>
                <w:szCs w:val="7"/>
                <w:color w:val="auto"/>
              </w:rPr>
            </w:pPr>
          </w:p>
        </w:tc>
        <w:tc>
          <w:tcPr>
            <w:tcW w:w="840" w:type="dxa"/>
            <w:vAlign w:val="bottom"/>
            <w:shd w:val="clear" w:color="auto" w:fill="D8D8D8"/>
          </w:tcPr>
          <w:p>
            <w:pPr>
              <w:spacing w:after="0"/>
              <w:rPr>
                <w:sz w:val="7"/>
                <w:szCs w:val="7"/>
                <w:color w:val="auto"/>
              </w:rPr>
            </w:pPr>
          </w:p>
        </w:tc>
        <w:tc>
          <w:tcPr>
            <w:tcW w:w="860" w:type="dxa"/>
            <w:vAlign w:val="bottom"/>
            <w:shd w:val="clear" w:color="auto" w:fill="D8D8D8"/>
          </w:tcPr>
          <w:p>
            <w:pPr>
              <w:spacing w:after="0"/>
              <w:rPr>
                <w:sz w:val="7"/>
                <w:szCs w:val="7"/>
                <w:color w:val="auto"/>
              </w:rPr>
            </w:pPr>
          </w:p>
        </w:tc>
        <w:tc>
          <w:tcPr>
            <w:tcW w:w="840" w:type="dxa"/>
            <w:vAlign w:val="bottom"/>
            <w:shd w:val="clear" w:color="auto" w:fill="D8D8D8"/>
          </w:tcPr>
          <w:p>
            <w:pPr>
              <w:spacing w:after="0"/>
              <w:rPr>
                <w:sz w:val="7"/>
                <w:szCs w:val="7"/>
                <w:color w:val="auto"/>
              </w:rPr>
            </w:pPr>
          </w:p>
        </w:tc>
        <w:tc>
          <w:tcPr>
            <w:tcW w:w="1180" w:type="dxa"/>
            <w:vAlign w:val="bottom"/>
            <w:shd w:val="clear" w:color="auto" w:fill="D8D8D8"/>
          </w:tcPr>
          <w:p>
            <w:pPr>
              <w:spacing w:after="0"/>
              <w:rPr>
                <w:sz w:val="7"/>
                <w:szCs w:val="7"/>
                <w:color w:val="auto"/>
              </w:rPr>
            </w:pPr>
          </w:p>
        </w:tc>
        <w:tc>
          <w:tcPr>
            <w:tcW w:w="1180" w:type="dxa"/>
            <w:vAlign w:val="bottom"/>
            <w:shd w:val="clear" w:color="auto" w:fill="D8D8D8"/>
          </w:tcPr>
          <w:p>
            <w:pPr>
              <w:spacing w:after="0"/>
              <w:rPr>
                <w:sz w:val="7"/>
                <w:szCs w:val="7"/>
                <w:color w:val="auto"/>
              </w:rPr>
            </w:pPr>
          </w:p>
        </w:tc>
        <w:tc>
          <w:tcPr>
            <w:tcW w:w="1120" w:type="dxa"/>
            <w:vAlign w:val="bottom"/>
            <w:shd w:val="clear" w:color="auto" w:fill="D8D8D8"/>
          </w:tcPr>
          <w:p>
            <w:pPr>
              <w:spacing w:after="0"/>
              <w:rPr>
                <w:sz w:val="7"/>
                <w:szCs w:val="7"/>
                <w:color w:val="auto"/>
              </w:rPr>
            </w:pPr>
          </w:p>
        </w:tc>
        <w:tc>
          <w:tcPr>
            <w:tcW w:w="860" w:type="dxa"/>
            <w:vAlign w:val="bottom"/>
            <w:shd w:val="clear" w:color="auto" w:fill="D8D8D8"/>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680" w:type="dxa"/>
            <w:vAlign w:val="bottom"/>
            <w:tcBorders>
              <w:bottom w:val="single" w:sz="8" w:color="D8D8D8"/>
            </w:tcBorders>
            <w:shd w:val="clear" w:color="auto" w:fill="D8D8D8"/>
          </w:tcPr>
          <w:p>
            <w:pPr>
              <w:spacing w:after="0"/>
              <w:rPr>
                <w:sz w:val="20"/>
                <w:szCs w:val="20"/>
                <w:color w:val="auto"/>
              </w:rPr>
            </w:pPr>
            <w:r>
              <w:rPr>
                <w:rFonts w:ascii="Arial" w:cs="Arial" w:eastAsia="Arial" w:hAnsi="Arial"/>
                <w:sz w:val="14"/>
                <w:szCs w:val="14"/>
                <w:color w:val="auto"/>
              </w:rPr>
              <w:t>Systems</w:t>
            </w:r>
          </w:p>
        </w:tc>
        <w:tc>
          <w:tcPr>
            <w:tcW w:w="160" w:type="dxa"/>
            <w:vAlign w:val="bottom"/>
            <w:tcBorders>
              <w:bottom w:val="single" w:sz="8" w:color="D8D8D8"/>
            </w:tcBorders>
            <w:shd w:val="clear" w:color="auto" w:fill="D8D8D8"/>
          </w:tcPr>
          <w:p>
            <w:pPr>
              <w:spacing w:after="0"/>
              <w:rPr>
                <w:sz w:val="16"/>
                <w:szCs w:val="16"/>
                <w:color w:val="auto"/>
              </w:rPr>
            </w:pPr>
          </w:p>
        </w:tc>
        <w:tc>
          <w:tcPr>
            <w:tcW w:w="400" w:type="dxa"/>
            <w:vAlign w:val="bottom"/>
            <w:tcBorders>
              <w:bottom w:val="single" w:sz="8" w:color="D8D8D8"/>
            </w:tcBorders>
            <w:shd w:val="clear" w:color="auto" w:fill="D8D8D8"/>
          </w:tcPr>
          <w:p>
            <w:pPr>
              <w:jc w:val="right"/>
              <w:ind w:right="8"/>
              <w:spacing w:after="0"/>
              <w:rPr>
                <w:sz w:val="20"/>
                <w:szCs w:val="20"/>
                <w:color w:val="auto"/>
              </w:rPr>
            </w:pPr>
            <w:r>
              <w:rPr>
                <w:rFonts w:ascii="Arial" w:cs="Arial" w:eastAsia="Arial" w:hAnsi="Arial"/>
                <w:sz w:val="14"/>
                <w:szCs w:val="14"/>
                <w:color w:val="auto"/>
                <w:w w:val="96"/>
              </w:rPr>
              <w:t>2015</w:t>
            </w:r>
          </w:p>
        </w:tc>
        <w:tc>
          <w:tcPr>
            <w:tcW w:w="860" w:type="dxa"/>
            <w:vAlign w:val="bottom"/>
            <w:tcBorders>
              <w:bottom w:val="single" w:sz="8" w:color="D8D8D8"/>
            </w:tcBorders>
            <w:shd w:val="clear" w:color="auto" w:fill="D8D8D8"/>
          </w:tcPr>
          <w:p>
            <w:pPr>
              <w:jc w:val="right"/>
              <w:ind w:right="8"/>
              <w:spacing w:after="0"/>
              <w:rPr>
                <w:sz w:val="20"/>
                <w:szCs w:val="20"/>
                <w:color w:val="auto"/>
              </w:rPr>
            </w:pPr>
            <w:r>
              <w:rPr>
                <w:rFonts w:ascii="Arial" w:cs="Arial" w:eastAsia="Arial" w:hAnsi="Arial"/>
                <w:sz w:val="14"/>
                <w:szCs w:val="14"/>
                <w:color w:val="auto"/>
              </w:rPr>
              <w:t>530,000</w:t>
            </w:r>
          </w:p>
        </w:tc>
        <w:tc>
          <w:tcPr>
            <w:tcW w:w="840" w:type="dxa"/>
            <w:vAlign w:val="bottom"/>
            <w:tcBorders>
              <w:bottom w:val="single" w:sz="8" w:color="D8D8D8"/>
            </w:tcBorders>
            <w:shd w:val="clear" w:color="auto" w:fill="D8D8D8"/>
          </w:tcPr>
          <w:p>
            <w:pPr>
              <w:jc w:val="right"/>
              <w:ind w:right="8"/>
              <w:spacing w:after="0"/>
              <w:rPr>
                <w:sz w:val="20"/>
                <w:szCs w:val="20"/>
                <w:color w:val="auto"/>
              </w:rPr>
            </w:pPr>
            <w:r>
              <w:rPr>
                <w:rFonts w:ascii="Arial" w:cs="Arial" w:eastAsia="Arial" w:hAnsi="Arial"/>
                <w:sz w:val="14"/>
                <w:szCs w:val="14"/>
                <w:color w:val="auto"/>
              </w:rPr>
              <w:t>450,000</w:t>
            </w:r>
          </w:p>
        </w:tc>
        <w:tc>
          <w:tcPr>
            <w:tcW w:w="860" w:type="dxa"/>
            <w:vAlign w:val="bottom"/>
            <w:tcBorders>
              <w:bottom w:val="single" w:sz="8" w:color="D8D8D8"/>
            </w:tcBorders>
            <w:shd w:val="clear" w:color="auto" w:fill="D8D8D8"/>
          </w:tcPr>
          <w:p>
            <w:pPr>
              <w:jc w:val="right"/>
              <w:ind w:right="8"/>
              <w:spacing w:after="0"/>
              <w:rPr>
                <w:sz w:val="20"/>
                <w:szCs w:val="20"/>
                <w:color w:val="auto"/>
              </w:rPr>
            </w:pPr>
            <w:r>
              <w:rPr>
                <w:rFonts w:ascii="Arial" w:cs="Arial" w:eastAsia="Arial" w:hAnsi="Arial"/>
                <w:sz w:val="14"/>
                <w:szCs w:val="14"/>
                <w:color w:val="auto"/>
              </w:rPr>
              <w:t>549,967</w:t>
            </w:r>
          </w:p>
        </w:tc>
        <w:tc>
          <w:tcPr>
            <w:tcW w:w="840" w:type="dxa"/>
            <w:vAlign w:val="bottom"/>
            <w:tcBorders>
              <w:bottom w:val="single" w:sz="8" w:color="D8D8D8"/>
            </w:tcBorders>
            <w:shd w:val="clear" w:color="auto" w:fill="D8D8D8"/>
          </w:tcPr>
          <w:p>
            <w:pPr>
              <w:jc w:val="right"/>
              <w:ind w:right="8"/>
              <w:spacing w:after="0"/>
              <w:rPr>
                <w:sz w:val="20"/>
                <w:szCs w:val="20"/>
                <w:color w:val="auto"/>
              </w:rPr>
            </w:pPr>
            <w:r>
              <w:rPr>
                <w:rFonts w:ascii="Arial" w:cs="Arial" w:eastAsia="Arial" w:hAnsi="Arial"/>
                <w:sz w:val="14"/>
                <w:szCs w:val="14"/>
                <w:color w:val="auto"/>
              </w:rPr>
              <w:t>436,820</w:t>
            </w:r>
          </w:p>
        </w:tc>
        <w:tc>
          <w:tcPr>
            <w:tcW w:w="1180" w:type="dxa"/>
            <w:vAlign w:val="bottom"/>
            <w:tcBorders>
              <w:bottom w:val="single" w:sz="8" w:color="D8D8D8"/>
            </w:tcBorders>
            <w:shd w:val="clear" w:color="auto" w:fill="D8D8D8"/>
          </w:tcPr>
          <w:p>
            <w:pPr>
              <w:jc w:val="right"/>
              <w:ind w:right="8"/>
              <w:spacing w:after="0"/>
              <w:rPr>
                <w:sz w:val="20"/>
                <w:szCs w:val="20"/>
                <w:color w:val="auto"/>
              </w:rPr>
            </w:pPr>
            <w:r>
              <w:rPr>
                <w:rFonts w:ascii="Arial" w:cs="Arial" w:eastAsia="Arial" w:hAnsi="Arial"/>
                <w:sz w:val="14"/>
                <w:szCs w:val="14"/>
                <w:color w:val="auto"/>
              </w:rPr>
              <w:t>269,940</w:t>
            </w:r>
          </w:p>
        </w:tc>
        <w:tc>
          <w:tcPr>
            <w:tcW w:w="1180" w:type="dxa"/>
            <w:vAlign w:val="bottom"/>
            <w:tcBorders>
              <w:bottom w:val="single" w:sz="8" w:color="D8D8D8"/>
            </w:tcBorders>
            <w:shd w:val="clear" w:color="auto" w:fill="D8D8D8"/>
          </w:tcPr>
          <w:p>
            <w:pPr>
              <w:jc w:val="right"/>
              <w:ind w:right="8"/>
              <w:spacing w:after="0"/>
              <w:rPr>
                <w:sz w:val="20"/>
                <w:szCs w:val="20"/>
                <w:color w:val="auto"/>
              </w:rPr>
            </w:pPr>
            <w:r>
              <w:rPr>
                <w:rFonts w:ascii="Arial" w:cs="Arial" w:eastAsia="Arial" w:hAnsi="Arial"/>
                <w:sz w:val="14"/>
                <w:szCs w:val="14"/>
                <w:color w:val="auto"/>
              </w:rPr>
              <w:t>218,000</w:t>
            </w:r>
          </w:p>
        </w:tc>
        <w:tc>
          <w:tcPr>
            <w:tcW w:w="1120" w:type="dxa"/>
            <w:vAlign w:val="bottom"/>
            <w:tcBorders>
              <w:bottom w:val="single" w:sz="8" w:color="D8D8D8"/>
            </w:tcBorders>
            <w:shd w:val="clear" w:color="auto" w:fill="D8D8D8"/>
          </w:tcPr>
          <w:p>
            <w:pPr>
              <w:jc w:val="right"/>
              <w:spacing w:after="0"/>
              <w:rPr>
                <w:sz w:val="20"/>
                <w:szCs w:val="20"/>
                <w:color w:val="auto"/>
              </w:rPr>
            </w:pPr>
            <w:r>
              <w:rPr>
                <w:rFonts w:ascii="Arial" w:cs="Arial" w:eastAsia="Arial" w:hAnsi="Arial"/>
                <w:sz w:val="14"/>
                <w:szCs w:val="14"/>
                <w:color w:val="auto"/>
              </w:rPr>
              <w:t>10,676</w:t>
            </w:r>
          </w:p>
        </w:tc>
        <w:tc>
          <w:tcPr>
            <w:tcW w:w="860" w:type="dxa"/>
            <w:vAlign w:val="bottom"/>
            <w:tcBorders>
              <w:bottom w:val="single" w:sz="8" w:color="D8D8D8"/>
            </w:tcBorders>
            <w:shd w:val="clear" w:color="auto" w:fill="D8D8D8"/>
          </w:tcPr>
          <w:p>
            <w:pPr>
              <w:jc w:val="right"/>
              <w:ind w:right="48"/>
              <w:spacing w:after="0"/>
              <w:rPr>
                <w:sz w:val="20"/>
                <w:szCs w:val="20"/>
                <w:color w:val="auto"/>
              </w:rPr>
            </w:pPr>
            <w:r>
              <w:rPr>
                <w:rFonts w:ascii="Arial" w:cs="Arial" w:eastAsia="Arial" w:hAnsi="Arial"/>
                <w:sz w:val="14"/>
                <w:szCs w:val="14"/>
                <w:color w:val="auto"/>
              </w:rPr>
              <w:t>2,465,403</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80" w:type="dxa"/>
            <w:vAlign w:val="bottom"/>
          </w:tcPr>
          <w:p>
            <w:pPr>
              <w:spacing w:after="0"/>
              <w:rPr>
                <w:sz w:val="20"/>
                <w:szCs w:val="20"/>
                <w:color w:val="auto"/>
              </w:rPr>
            </w:pPr>
            <w:r>
              <w:rPr>
                <w:rFonts w:ascii="Arial" w:cs="Arial" w:eastAsia="Arial" w:hAnsi="Arial"/>
                <w:sz w:val="14"/>
                <w:szCs w:val="14"/>
                <w:b w:val="1"/>
                <w:bCs w:val="1"/>
                <w:color w:val="auto"/>
              </w:rPr>
              <w:t>Sivasankaran Somasundaram</w:t>
            </w:r>
          </w:p>
        </w:tc>
        <w:tc>
          <w:tcPr>
            <w:tcW w:w="560" w:type="dxa"/>
            <w:vAlign w:val="bottom"/>
            <w:gridSpan w:val="2"/>
          </w:tcPr>
          <w:p>
            <w:pPr>
              <w:jc w:val="right"/>
              <w:ind w:right="8"/>
              <w:spacing w:after="0"/>
              <w:rPr>
                <w:sz w:val="20"/>
                <w:szCs w:val="20"/>
                <w:color w:val="auto"/>
              </w:rPr>
            </w:pPr>
            <w:r>
              <w:rPr>
                <w:rFonts w:ascii="Arial" w:cs="Arial" w:eastAsia="Arial" w:hAnsi="Arial"/>
                <w:sz w:val="14"/>
                <w:szCs w:val="14"/>
                <w:color w:val="auto"/>
              </w:rPr>
              <w:t>2017</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535,000</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970,000</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549,965</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350,458</w:t>
            </w: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0</w:t>
            </w: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322,496</w:t>
            </w:r>
          </w:p>
        </w:tc>
        <w:tc>
          <w:tcPr>
            <w:tcW w:w="1120" w:type="dxa"/>
            <w:vAlign w:val="bottom"/>
          </w:tcPr>
          <w:p>
            <w:pPr>
              <w:jc w:val="right"/>
              <w:spacing w:after="0"/>
              <w:rPr>
                <w:sz w:val="20"/>
                <w:szCs w:val="20"/>
                <w:color w:val="auto"/>
              </w:rPr>
            </w:pPr>
            <w:r>
              <w:rPr>
                <w:rFonts w:ascii="Arial" w:cs="Arial" w:eastAsia="Arial" w:hAnsi="Arial"/>
                <w:sz w:val="14"/>
                <w:szCs w:val="14"/>
                <w:color w:val="auto"/>
              </w:rPr>
              <w:t>21,903</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2,749,822</w:t>
            </w:r>
          </w:p>
        </w:tc>
        <w:tc>
          <w:tcPr>
            <w:tcW w:w="0" w:type="dxa"/>
            <w:vAlign w:val="bottom"/>
          </w:tcPr>
          <w:p>
            <w:pPr>
              <w:spacing w:after="0"/>
              <w:rPr>
                <w:sz w:val="1"/>
                <w:szCs w:val="1"/>
                <w:color w:val="auto"/>
              </w:rPr>
            </w:pPr>
          </w:p>
        </w:tc>
      </w:tr>
      <w:tr>
        <w:trPr>
          <w:trHeight w:val="22"/>
        </w:trPr>
        <w:tc>
          <w:tcPr>
            <w:tcW w:w="2700" w:type="dxa"/>
            <w:vAlign w:val="bottom"/>
            <w:gridSpan w:val="2"/>
            <w:vMerge w:val="restart"/>
          </w:tcPr>
          <w:p>
            <w:pPr>
              <w:spacing w:after="0"/>
              <w:rPr>
                <w:sz w:val="20"/>
                <w:szCs w:val="20"/>
                <w:color w:val="auto"/>
              </w:rPr>
            </w:pPr>
            <w:r>
              <w:rPr>
                <w:rFonts w:ascii="Arial" w:cs="Arial" w:eastAsia="Arial" w:hAnsi="Arial"/>
                <w:sz w:val="14"/>
                <w:szCs w:val="14"/>
                <w:color w:val="auto"/>
              </w:rPr>
              <w:t>President &amp; Chief</w:t>
            </w:r>
          </w:p>
        </w:tc>
        <w:tc>
          <w:tcPr>
            <w:tcW w:w="160" w:type="dxa"/>
            <w:vAlign w:val="bottom"/>
            <w:tcBorders>
              <w:bottom w:val="single" w:sz="8" w:color="999999"/>
            </w:tcBorders>
          </w:tcPr>
          <w:p>
            <w:pPr>
              <w:spacing w:after="0" w:line="20" w:lineRule="exact"/>
              <w:rPr>
                <w:sz w:val="1"/>
                <w:szCs w:val="1"/>
                <w:color w:val="auto"/>
              </w:rPr>
            </w:pPr>
          </w:p>
        </w:tc>
        <w:tc>
          <w:tcPr>
            <w:tcW w:w="400" w:type="dxa"/>
            <w:vAlign w:val="bottom"/>
            <w:tcBorders>
              <w:bottom w:val="single" w:sz="8" w:color="999999"/>
            </w:tcBorders>
          </w:tcPr>
          <w:p>
            <w:pPr>
              <w:spacing w:after="0" w:line="20" w:lineRule="exact"/>
              <w:rPr>
                <w:sz w:val="1"/>
                <w:szCs w:val="1"/>
                <w:color w:val="auto"/>
              </w:rPr>
            </w:pPr>
          </w:p>
        </w:tc>
        <w:tc>
          <w:tcPr>
            <w:tcW w:w="860" w:type="dxa"/>
            <w:vAlign w:val="bottom"/>
            <w:tcBorders>
              <w:bottom w:val="single" w:sz="8" w:color="999999"/>
            </w:tcBorders>
          </w:tcPr>
          <w:p>
            <w:pPr>
              <w:spacing w:after="0" w:line="20" w:lineRule="exact"/>
              <w:rPr>
                <w:sz w:val="1"/>
                <w:szCs w:val="1"/>
                <w:color w:val="auto"/>
              </w:rPr>
            </w:pPr>
          </w:p>
        </w:tc>
        <w:tc>
          <w:tcPr>
            <w:tcW w:w="840" w:type="dxa"/>
            <w:vAlign w:val="bottom"/>
            <w:tcBorders>
              <w:bottom w:val="single" w:sz="8" w:color="999999"/>
            </w:tcBorders>
          </w:tcPr>
          <w:p>
            <w:pPr>
              <w:spacing w:after="0" w:line="20" w:lineRule="exact"/>
              <w:rPr>
                <w:sz w:val="1"/>
                <w:szCs w:val="1"/>
                <w:color w:val="auto"/>
              </w:rPr>
            </w:pPr>
          </w:p>
        </w:tc>
        <w:tc>
          <w:tcPr>
            <w:tcW w:w="860" w:type="dxa"/>
            <w:vAlign w:val="bottom"/>
            <w:tcBorders>
              <w:bottom w:val="single" w:sz="8" w:color="999999"/>
            </w:tcBorders>
          </w:tcPr>
          <w:p>
            <w:pPr>
              <w:spacing w:after="0" w:line="20" w:lineRule="exact"/>
              <w:rPr>
                <w:sz w:val="1"/>
                <w:szCs w:val="1"/>
                <w:color w:val="auto"/>
              </w:rPr>
            </w:pPr>
          </w:p>
        </w:tc>
        <w:tc>
          <w:tcPr>
            <w:tcW w:w="840" w:type="dxa"/>
            <w:vAlign w:val="bottom"/>
            <w:tcBorders>
              <w:bottom w:val="single" w:sz="8" w:color="999999"/>
            </w:tcBorders>
          </w:tcPr>
          <w:p>
            <w:pPr>
              <w:spacing w:after="0" w:line="20" w:lineRule="exact"/>
              <w:rPr>
                <w:sz w:val="1"/>
                <w:szCs w:val="1"/>
                <w:color w:val="auto"/>
              </w:rPr>
            </w:pPr>
          </w:p>
        </w:tc>
        <w:tc>
          <w:tcPr>
            <w:tcW w:w="1180" w:type="dxa"/>
            <w:vAlign w:val="bottom"/>
            <w:tcBorders>
              <w:bottom w:val="single" w:sz="8" w:color="999999"/>
            </w:tcBorders>
          </w:tcPr>
          <w:p>
            <w:pPr>
              <w:spacing w:after="0" w:line="20" w:lineRule="exact"/>
              <w:rPr>
                <w:sz w:val="1"/>
                <w:szCs w:val="1"/>
                <w:color w:val="auto"/>
              </w:rPr>
            </w:pPr>
          </w:p>
        </w:tc>
        <w:tc>
          <w:tcPr>
            <w:tcW w:w="1180" w:type="dxa"/>
            <w:vAlign w:val="bottom"/>
            <w:tcBorders>
              <w:bottom w:val="single" w:sz="8" w:color="999999"/>
            </w:tcBorders>
          </w:tcPr>
          <w:p>
            <w:pPr>
              <w:spacing w:after="0" w:line="20" w:lineRule="exact"/>
              <w:rPr>
                <w:sz w:val="1"/>
                <w:szCs w:val="1"/>
                <w:color w:val="auto"/>
              </w:rPr>
            </w:pPr>
          </w:p>
        </w:tc>
        <w:tc>
          <w:tcPr>
            <w:tcW w:w="1120" w:type="dxa"/>
            <w:vAlign w:val="bottom"/>
            <w:tcBorders>
              <w:bottom w:val="single" w:sz="8" w:color="999999"/>
            </w:tcBorders>
          </w:tcPr>
          <w:p>
            <w:pPr>
              <w:spacing w:after="0" w:line="20" w:lineRule="exact"/>
              <w:rPr>
                <w:sz w:val="1"/>
                <w:szCs w:val="1"/>
                <w:color w:val="auto"/>
              </w:rPr>
            </w:pPr>
          </w:p>
        </w:tc>
        <w:tc>
          <w:tcPr>
            <w:tcW w:w="860" w:type="dxa"/>
            <w:vAlign w:val="bottom"/>
            <w:tcBorders>
              <w:bottom w:val="single" w:sz="8" w:color="999999"/>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0"/>
        </w:trPr>
        <w:tc>
          <w:tcPr>
            <w:tcW w:w="2700" w:type="dxa"/>
            <w:vAlign w:val="bottom"/>
            <w:gridSpan w:val="2"/>
            <w:vMerge w:val="continue"/>
          </w:tcPr>
          <w:p>
            <w:pPr>
              <w:spacing w:after="0"/>
              <w:rPr>
                <w:sz w:val="10"/>
                <w:szCs w:val="10"/>
                <w:color w:val="auto"/>
              </w:rPr>
            </w:pPr>
          </w:p>
        </w:tc>
        <w:tc>
          <w:tcPr>
            <w:tcW w:w="560" w:type="dxa"/>
            <w:vAlign w:val="bottom"/>
            <w:gridSpan w:val="2"/>
            <w:vMerge w:val="restart"/>
          </w:tcPr>
          <w:p>
            <w:pPr>
              <w:jc w:val="right"/>
              <w:ind w:right="8"/>
              <w:spacing w:after="0"/>
              <w:rPr>
                <w:sz w:val="20"/>
                <w:szCs w:val="20"/>
                <w:color w:val="auto"/>
              </w:rPr>
            </w:pPr>
            <w:r>
              <w:rPr>
                <w:rFonts w:ascii="Arial" w:cs="Arial" w:eastAsia="Arial" w:hAnsi="Arial"/>
                <w:sz w:val="14"/>
                <w:szCs w:val="14"/>
                <w:color w:val="auto"/>
              </w:rPr>
              <w:t>2016</w:t>
            </w:r>
          </w:p>
        </w:tc>
        <w:tc>
          <w:tcPr>
            <w:tcW w:w="860" w:type="dxa"/>
            <w:vAlign w:val="bottom"/>
            <w:vMerge w:val="restart"/>
          </w:tcPr>
          <w:p>
            <w:pPr>
              <w:jc w:val="right"/>
              <w:ind w:right="8"/>
              <w:spacing w:after="0"/>
              <w:rPr>
                <w:sz w:val="20"/>
                <w:szCs w:val="20"/>
                <w:color w:val="auto"/>
              </w:rPr>
            </w:pPr>
            <w:r>
              <w:rPr>
                <w:rFonts w:ascii="Arial" w:cs="Arial" w:eastAsia="Arial" w:hAnsi="Arial"/>
                <w:sz w:val="14"/>
                <w:szCs w:val="14"/>
                <w:color w:val="auto"/>
              </w:rPr>
              <w:t>502,000</w:t>
            </w:r>
          </w:p>
        </w:tc>
        <w:tc>
          <w:tcPr>
            <w:tcW w:w="840" w:type="dxa"/>
            <w:vAlign w:val="bottom"/>
            <w:vMerge w:val="restart"/>
          </w:tcPr>
          <w:p>
            <w:pPr>
              <w:jc w:val="right"/>
              <w:ind w:right="8"/>
              <w:spacing w:after="0"/>
              <w:rPr>
                <w:sz w:val="20"/>
                <w:szCs w:val="20"/>
                <w:color w:val="auto"/>
              </w:rPr>
            </w:pPr>
            <w:r>
              <w:rPr>
                <w:rFonts w:ascii="Arial" w:cs="Arial" w:eastAsia="Arial" w:hAnsi="Arial"/>
                <w:sz w:val="14"/>
                <w:szCs w:val="14"/>
                <w:color w:val="auto"/>
              </w:rPr>
              <w:t>355,000</w:t>
            </w:r>
          </w:p>
        </w:tc>
        <w:tc>
          <w:tcPr>
            <w:tcW w:w="860" w:type="dxa"/>
            <w:vAlign w:val="bottom"/>
            <w:vMerge w:val="restart"/>
          </w:tcPr>
          <w:p>
            <w:pPr>
              <w:jc w:val="right"/>
              <w:ind w:right="8"/>
              <w:spacing w:after="0"/>
              <w:rPr>
                <w:sz w:val="20"/>
                <w:szCs w:val="20"/>
                <w:color w:val="auto"/>
              </w:rPr>
            </w:pPr>
            <w:r>
              <w:rPr>
                <w:rFonts w:ascii="Arial" w:cs="Arial" w:eastAsia="Arial" w:hAnsi="Arial"/>
                <w:sz w:val="14"/>
                <w:szCs w:val="14"/>
                <w:color w:val="auto"/>
              </w:rPr>
              <w:t>550,001</w:t>
            </w:r>
          </w:p>
        </w:tc>
        <w:tc>
          <w:tcPr>
            <w:tcW w:w="840" w:type="dxa"/>
            <w:vAlign w:val="bottom"/>
            <w:vMerge w:val="restart"/>
          </w:tcPr>
          <w:p>
            <w:pPr>
              <w:jc w:val="right"/>
              <w:ind w:right="8"/>
              <w:spacing w:after="0"/>
              <w:rPr>
                <w:sz w:val="20"/>
                <w:szCs w:val="20"/>
                <w:color w:val="auto"/>
              </w:rPr>
            </w:pPr>
            <w:r>
              <w:rPr>
                <w:rFonts w:ascii="Arial" w:cs="Arial" w:eastAsia="Arial" w:hAnsi="Arial"/>
                <w:sz w:val="14"/>
                <w:szCs w:val="14"/>
                <w:color w:val="auto"/>
              </w:rPr>
              <w:t>355,313</w:t>
            </w:r>
          </w:p>
        </w:tc>
        <w:tc>
          <w:tcPr>
            <w:tcW w:w="1180" w:type="dxa"/>
            <w:vAlign w:val="bottom"/>
            <w:vMerge w:val="restart"/>
          </w:tcPr>
          <w:p>
            <w:pPr>
              <w:jc w:val="right"/>
              <w:ind w:right="8"/>
              <w:spacing w:after="0"/>
              <w:rPr>
                <w:sz w:val="20"/>
                <w:szCs w:val="20"/>
                <w:color w:val="auto"/>
              </w:rPr>
            </w:pPr>
            <w:r>
              <w:rPr>
                <w:rFonts w:ascii="Arial" w:cs="Arial" w:eastAsia="Arial" w:hAnsi="Arial"/>
                <w:sz w:val="14"/>
                <w:szCs w:val="14"/>
                <w:color w:val="auto"/>
              </w:rPr>
              <w:t>0</w:t>
            </w:r>
          </w:p>
        </w:tc>
        <w:tc>
          <w:tcPr>
            <w:tcW w:w="1180" w:type="dxa"/>
            <w:vAlign w:val="bottom"/>
            <w:vMerge w:val="restart"/>
          </w:tcPr>
          <w:p>
            <w:pPr>
              <w:jc w:val="right"/>
              <w:ind w:right="8"/>
              <w:spacing w:after="0"/>
              <w:rPr>
                <w:sz w:val="20"/>
                <w:szCs w:val="20"/>
                <w:color w:val="auto"/>
              </w:rPr>
            </w:pPr>
            <w:r>
              <w:rPr>
                <w:rFonts w:ascii="Arial" w:cs="Arial" w:eastAsia="Arial" w:hAnsi="Arial"/>
                <w:sz w:val="14"/>
                <w:szCs w:val="14"/>
                <w:color w:val="auto"/>
              </w:rPr>
              <w:t>222,090</w:t>
            </w: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13,832</w:t>
            </w:r>
          </w:p>
        </w:tc>
        <w:tc>
          <w:tcPr>
            <w:tcW w:w="860" w:type="dxa"/>
            <w:vAlign w:val="bottom"/>
            <w:vMerge w:val="restart"/>
          </w:tcPr>
          <w:p>
            <w:pPr>
              <w:jc w:val="right"/>
              <w:ind w:right="48"/>
              <w:spacing w:after="0"/>
              <w:rPr>
                <w:sz w:val="20"/>
                <w:szCs w:val="20"/>
                <w:color w:val="auto"/>
              </w:rPr>
            </w:pPr>
            <w:r>
              <w:rPr>
                <w:rFonts w:ascii="Arial" w:cs="Arial" w:eastAsia="Arial" w:hAnsi="Arial"/>
                <w:sz w:val="14"/>
                <w:szCs w:val="14"/>
                <w:color w:val="auto"/>
              </w:rPr>
              <w:t>1,998,236</w:t>
            </w:r>
          </w:p>
        </w:tc>
        <w:tc>
          <w:tcPr>
            <w:tcW w:w="0" w:type="dxa"/>
            <w:vAlign w:val="bottom"/>
          </w:tcPr>
          <w:p>
            <w:pPr>
              <w:spacing w:after="0"/>
              <w:rPr>
                <w:sz w:val="1"/>
                <w:szCs w:val="1"/>
                <w:color w:val="auto"/>
              </w:rPr>
            </w:pPr>
          </w:p>
        </w:tc>
      </w:tr>
      <w:tr>
        <w:trPr>
          <w:trHeight w:val="81"/>
        </w:trPr>
        <w:tc>
          <w:tcPr>
            <w:tcW w:w="2700" w:type="dxa"/>
            <w:vAlign w:val="bottom"/>
            <w:gridSpan w:val="2"/>
            <w:vMerge w:val="restart"/>
          </w:tcPr>
          <w:p>
            <w:pPr>
              <w:spacing w:after="0"/>
              <w:rPr>
                <w:sz w:val="20"/>
                <w:szCs w:val="20"/>
                <w:color w:val="auto"/>
              </w:rPr>
            </w:pPr>
            <w:r>
              <w:rPr>
                <w:rFonts w:ascii="Arial" w:cs="Arial" w:eastAsia="Arial" w:hAnsi="Arial"/>
                <w:sz w:val="14"/>
                <w:szCs w:val="14"/>
                <w:color w:val="auto"/>
              </w:rPr>
              <w:t>Executive Officer, Dover</w:t>
            </w:r>
          </w:p>
        </w:tc>
        <w:tc>
          <w:tcPr>
            <w:tcW w:w="560" w:type="dxa"/>
            <w:vAlign w:val="bottom"/>
            <w:tcBorders>
              <w:bottom w:val="single" w:sz="8" w:color="999999"/>
            </w:tcBorders>
            <w:gridSpan w:val="2"/>
            <w:vMerge w:val="continue"/>
          </w:tcPr>
          <w:p>
            <w:pPr>
              <w:spacing w:after="0"/>
              <w:rPr>
                <w:sz w:val="6"/>
                <w:szCs w:val="6"/>
                <w:color w:val="auto"/>
              </w:rPr>
            </w:pPr>
          </w:p>
        </w:tc>
        <w:tc>
          <w:tcPr>
            <w:tcW w:w="860" w:type="dxa"/>
            <w:vAlign w:val="bottom"/>
            <w:tcBorders>
              <w:bottom w:val="single" w:sz="8" w:color="999999"/>
            </w:tcBorders>
            <w:vMerge w:val="continue"/>
          </w:tcPr>
          <w:p>
            <w:pPr>
              <w:spacing w:after="0"/>
              <w:rPr>
                <w:sz w:val="6"/>
                <w:szCs w:val="6"/>
                <w:color w:val="auto"/>
              </w:rPr>
            </w:pPr>
          </w:p>
        </w:tc>
        <w:tc>
          <w:tcPr>
            <w:tcW w:w="840" w:type="dxa"/>
            <w:vAlign w:val="bottom"/>
            <w:tcBorders>
              <w:bottom w:val="single" w:sz="8" w:color="999999"/>
            </w:tcBorders>
            <w:vMerge w:val="continue"/>
          </w:tcPr>
          <w:p>
            <w:pPr>
              <w:spacing w:after="0"/>
              <w:rPr>
                <w:sz w:val="6"/>
                <w:szCs w:val="6"/>
                <w:color w:val="auto"/>
              </w:rPr>
            </w:pPr>
          </w:p>
        </w:tc>
        <w:tc>
          <w:tcPr>
            <w:tcW w:w="860" w:type="dxa"/>
            <w:vAlign w:val="bottom"/>
            <w:tcBorders>
              <w:bottom w:val="single" w:sz="8" w:color="999999"/>
            </w:tcBorders>
            <w:vMerge w:val="continue"/>
          </w:tcPr>
          <w:p>
            <w:pPr>
              <w:spacing w:after="0"/>
              <w:rPr>
                <w:sz w:val="6"/>
                <w:szCs w:val="6"/>
                <w:color w:val="auto"/>
              </w:rPr>
            </w:pPr>
          </w:p>
        </w:tc>
        <w:tc>
          <w:tcPr>
            <w:tcW w:w="840" w:type="dxa"/>
            <w:vAlign w:val="bottom"/>
            <w:tcBorders>
              <w:bottom w:val="single" w:sz="8" w:color="999999"/>
            </w:tcBorders>
            <w:vMerge w:val="continue"/>
          </w:tcPr>
          <w:p>
            <w:pPr>
              <w:spacing w:after="0"/>
              <w:rPr>
                <w:sz w:val="6"/>
                <w:szCs w:val="6"/>
                <w:color w:val="auto"/>
              </w:rPr>
            </w:pPr>
          </w:p>
        </w:tc>
        <w:tc>
          <w:tcPr>
            <w:tcW w:w="1180" w:type="dxa"/>
            <w:vAlign w:val="bottom"/>
            <w:tcBorders>
              <w:bottom w:val="single" w:sz="8" w:color="999999"/>
            </w:tcBorders>
            <w:vMerge w:val="continue"/>
          </w:tcPr>
          <w:p>
            <w:pPr>
              <w:spacing w:after="0"/>
              <w:rPr>
                <w:sz w:val="6"/>
                <w:szCs w:val="6"/>
                <w:color w:val="auto"/>
              </w:rPr>
            </w:pPr>
          </w:p>
        </w:tc>
        <w:tc>
          <w:tcPr>
            <w:tcW w:w="1180" w:type="dxa"/>
            <w:vAlign w:val="bottom"/>
            <w:tcBorders>
              <w:bottom w:val="single" w:sz="8" w:color="999999"/>
            </w:tcBorders>
            <w:vMerge w:val="continue"/>
          </w:tcPr>
          <w:p>
            <w:pPr>
              <w:spacing w:after="0"/>
              <w:rPr>
                <w:sz w:val="6"/>
                <w:szCs w:val="6"/>
                <w:color w:val="auto"/>
              </w:rPr>
            </w:pPr>
          </w:p>
        </w:tc>
        <w:tc>
          <w:tcPr>
            <w:tcW w:w="1120" w:type="dxa"/>
            <w:vAlign w:val="bottom"/>
            <w:tcBorders>
              <w:bottom w:val="single" w:sz="8" w:color="999999"/>
            </w:tcBorders>
            <w:vMerge w:val="continue"/>
          </w:tcPr>
          <w:p>
            <w:pPr>
              <w:spacing w:after="0"/>
              <w:rPr>
                <w:sz w:val="6"/>
                <w:szCs w:val="6"/>
                <w:color w:val="auto"/>
              </w:rPr>
            </w:pPr>
          </w:p>
        </w:tc>
        <w:tc>
          <w:tcPr>
            <w:tcW w:w="860" w:type="dxa"/>
            <w:vAlign w:val="bottom"/>
            <w:tcBorders>
              <w:bottom w:val="single" w:sz="8" w:color="999999"/>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27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400" w:type="dxa"/>
            <w:vAlign w:val="bottom"/>
          </w:tcPr>
          <w:p>
            <w:pPr>
              <w:spacing w:after="0"/>
              <w:rPr>
                <w:sz w:val="5"/>
                <w:szCs w:val="5"/>
                <w:color w:val="auto"/>
              </w:rPr>
            </w:pPr>
          </w:p>
        </w:tc>
        <w:tc>
          <w:tcPr>
            <w:tcW w:w="8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2700" w:type="dxa"/>
            <w:vAlign w:val="bottom"/>
            <w:gridSpan w:val="2"/>
          </w:tcPr>
          <w:p>
            <w:pPr>
              <w:spacing w:after="0"/>
              <w:rPr>
                <w:sz w:val="20"/>
                <w:szCs w:val="20"/>
                <w:color w:val="auto"/>
              </w:rPr>
            </w:pPr>
            <w:r>
              <w:rPr>
                <w:rFonts w:ascii="Arial" w:cs="Arial" w:eastAsia="Arial" w:hAnsi="Arial"/>
                <w:sz w:val="14"/>
                <w:szCs w:val="14"/>
                <w:color w:val="auto"/>
              </w:rPr>
              <w:t>Energy</w:t>
            </w:r>
          </w:p>
        </w:tc>
        <w:tc>
          <w:tcPr>
            <w:tcW w:w="560" w:type="dxa"/>
            <w:vAlign w:val="bottom"/>
            <w:gridSpan w:val="2"/>
          </w:tcPr>
          <w:p>
            <w:pPr>
              <w:jc w:val="right"/>
              <w:ind w:right="8"/>
              <w:spacing w:after="0"/>
              <w:rPr>
                <w:sz w:val="20"/>
                <w:szCs w:val="20"/>
                <w:color w:val="auto"/>
              </w:rPr>
            </w:pPr>
            <w:r>
              <w:rPr>
                <w:rFonts w:ascii="Arial" w:cs="Arial" w:eastAsia="Arial" w:hAnsi="Arial"/>
                <w:sz w:val="14"/>
                <w:szCs w:val="14"/>
                <w:color w:val="auto"/>
              </w:rPr>
              <w:t>2015</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479,167</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385,000</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549,967</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436,820</w:t>
            </w: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0</w:t>
            </w: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161,000</w:t>
            </w:r>
          </w:p>
        </w:tc>
        <w:tc>
          <w:tcPr>
            <w:tcW w:w="1120" w:type="dxa"/>
            <w:vAlign w:val="bottom"/>
          </w:tcPr>
          <w:p>
            <w:pPr>
              <w:jc w:val="right"/>
              <w:spacing w:after="0"/>
              <w:rPr>
                <w:sz w:val="20"/>
                <w:szCs w:val="20"/>
                <w:color w:val="auto"/>
              </w:rPr>
            </w:pPr>
            <w:r>
              <w:rPr>
                <w:rFonts w:ascii="Arial" w:cs="Arial" w:eastAsia="Arial" w:hAnsi="Arial"/>
                <w:sz w:val="14"/>
                <w:szCs w:val="14"/>
                <w:color w:val="auto"/>
              </w:rPr>
              <w:t>10,676</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2,022,630</w:t>
            </w: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2680" w:type="dxa"/>
            <w:vAlign w:val="bottom"/>
          </w:tcPr>
          <w:p>
            <w:pPr>
              <w:spacing w:after="0"/>
              <w:rPr>
                <w:sz w:val="3"/>
                <w:szCs w:val="3"/>
                <w:color w:val="auto"/>
              </w:rPr>
            </w:pPr>
          </w:p>
        </w:tc>
        <w:tc>
          <w:tcPr>
            <w:tcW w:w="560" w:type="dxa"/>
            <w:vAlign w:val="bottom"/>
            <w:gridSpan w:val="2"/>
          </w:tcPr>
          <w:p>
            <w:pPr>
              <w:spacing w:after="0"/>
              <w:rPr>
                <w:sz w:val="3"/>
                <w:szCs w:val="3"/>
                <w:color w:val="auto"/>
              </w:rPr>
            </w:pPr>
          </w:p>
        </w:tc>
        <w:tc>
          <w:tcPr>
            <w:tcW w:w="860" w:type="dxa"/>
            <w:vAlign w:val="bottom"/>
          </w:tcPr>
          <w:p>
            <w:pPr>
              <w:spacing w:after="0"/>
              <w:rPr>
                <w:sz w:val="3"/>
                <w:szCs w:val="3"/>
                <w:color w:val="auto"/>
              </w:rPr>
            </w:pPr>
          </w:p>
        </w:tc>
        <w:tc>
          <w:tcPr>
            <w:tcW w:w="8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2680" w:type="dxa"/>
            <w:vAlign w:val="bottom"/>
            <w:shd w:val="clear" w:color="auto" w:fill="D8D8D8"/>
          </w:tcPr>
          <w:p>
            <w:pPr>
              <w:spacing w:after="0"/>
              <w:rPr>
                <w:sz w:val="20"/>
                <w:szCs w:val="20"/>
                <w:color w:val="auto"/>
              </w:rPr>
            </w:pPr>
            <w:r>
              <w:rPr>
                <w:rFonts w:ascii="Arial" w:cs="Arial" w:eastAsia="Arial" w:hAnsi="Arial"/>
                <w:sz w:val="14"/>
                <w:szCs w:val="14"/>
                <w:b w:val="1"/>
                <w:bCs w:val="1"/>
                <w:color w:val="auto"/>
              </w:rPr>
              <w:t>William W. Spurgeon</w:t>
            </w:r>
          </w:p>
        </w:tc>
        <w:tc>
          <w:tcPr>
            <w:tcW w:w="560" w:type="dxa"/>
            <w:vAlign w:val="bottom"/>
            <w:gridSpan w:val="2"/>
            <w:shd w:val="clear" w:color="auto" w:fill="D8D8D8"/>
          </w:tcPr>
          <w:p>
            <w:pPr>
              <w:jc w:val="right"/>
              <w:ind w:right="8"/>
              <w:spacing w:after="0"/>
              <w:rPr>
                <w:sz w:val="20"/>
                <w:szCs w:val="20"/>
                <w:color w:val="auto"/>
              </w:rPr>
            </w:pPr>
            <w:r>
              <w:rPr>
                <w:rFonts w:ascii="Arial" w:cs="Arial" w:eastAsia="Arial" w:hAnsi="Arial"/>
                <w:sz w:val="14"/>
                <w:szCs w:val="14"/>
                <w:color w:val="auto"/>
              </w:rPr>
              <w:t>2017</w:t>
            </w:r>
          </w:p>
        </w:tc>
        <w:tc>
          <w:tcPr>
            <w:tcW w:w="860" w:type="dxa"/>
            <w:vAlign w:val="bottom"/>
            <w:shd w:val="clear" w:color="auto" w:fill="D8D8D8"/>
          </w:tcPr>
          <w:p>
            <w:pPr>
              <w:jc w:val="right"/>
              <w:ind w:right="8"/>
              <w:spacing w:after="0"/>
              <w:rPr>
                <w:sz w:val="20"/>
                <w:szCs w:val="20"/>
                <w:color w:val="auto"/>
              </w:rPr>
            </w:pPr>
            <w:r>
              <w:rPr>
                <w:rFonts w:ascii="Arial" w:cs="Arial" w:eastAsia="Arial" w:hAnsi="Arial"/>
                <w:sz w:val="14"/>
                <w:szCs w:val="14"/>
                <w:color w:val="auto"/>
              </w:rPr>
              <w:t>650,000</w:t>
            </w:r>
          </w:p>
        </w:tc>
        <w:tc>
          <w:tcPr>
            <w:tcW w:w="840" w:type="dxa"/>
            <w:vAlign w:val="bottom"/>
            <w:shd w:val="clear" w:color="auto" w:fill="D8D8D8"/>
          </w:tcPr>
          <w:p>
            <w:pPr>
              <w:jc w:val="right"/>
              <w:ind w:right="8"/>
              <w:spacing w:after="0"/>
              <w:rPr>
                <w:sz w:val="20"/>
                <w:szCs w:val="20"/>
                <w:color w:val="auto"/>
              </w:rPr>
            </w:pPr>
            <w:r>
              <w:rPr>
                <w:rFonts w:ascii="Arial" w:cs="Arial" w:eastAsia="Arial" w:hAnsi="Arial"/>
                <w:sz w:val="14"/>
                <w:szCs w:val="14"/>
                <w:color w:val="auto"/>
              </w:rPr>
              <w:t>640,000</w:t>
            </w:r>
          </w:p>
        </w:tc>
        <w:tc>
          <w:tcPr>
            <w:tcW w:w="860" w:type="dxa"/>
            <w:vAlign w:val="bottom"/>
            <w:shd w:val="clear" w:color="auto" w:fill="D8D8D8"/>
          </w:tcPr>
          <w:p>
            <w:pPr>
              <w:jc w:val="right"/>
              <w:ind w:right="8"/>
              <w:spacing w:after="0"/>
              <w:rPr>
                <w:sz w:val="20"/>
                <w:szCs w:val="20"/>
                <w:color w:val="auto"/>
              </w:rPr>
            </w:pPr>
            <w:r>
              <w:rPr>
                <w:rFonts w:ascii="Arial" w:cs="Arial" w:eastAsia="Arial" w:hAnsi="Arial"/>
                <w:sz w:val="14"/>
                <w:szCs w:val="14"/>
                <w:color w:val="auto"/>
              </w:rPr>
              <w:t>549,965</w:t>
            </w:r>
          </w:p>
        </w:tc>
        <w:tc>
          <w:tcPr>
            <w:tcW w:w="840" w:type="dxa"/>
            <w:vAlign w:val="bottom"/>
            <w:shd w:val="clear" w:color="auto" w:fill="D8D8D8"/>
          </w:tcPr>
          <w:p>
            <w:pPr>
              <w:jc w:val="right"/>
              <w:ind w:right="8"/>
              <w:spacing w:after="0"/>
              <w:rPr>
                <w:sz w:val="20"/>
                <w:szCs w:val="20"/>
                <w:color w:val="auto"/>
              </w:rPr>
            </w:pPr>
            <w:r>
              <w:rPr>
                <w:rFonts w:ascii="Arial" w:cs="Arial" w:eastAsia="Arial" w:hAnsi="Arial"/>
                <w:sz w:val="14"/>
                <w:szCs w:val="14"/>
                <w:color w:val="auto"/>
              </w:rPr>
              <w:t>350,458</w:t>
            </w:r>
          </w:p>
        </w:tc>
        <w:tc>
          <w:tcPr>
            <w:tcW w:w="1180" w:type="dxa"/>
            <w:vAlign w:val="bottom"/>
            <w:shd w:val="clear" w:color="auto" w:fill="D8D8D8"/>
          </w:tcPr>
          <w:p>
            <w:pPr>
              <w:jc w:val="right"/>
              <w:ind w:right="8"/>
              <w:spacing w:after="0"/>
              <w:rPr>
                <w:sz w:val="20"/>
                <w:szCs w:val="20"/>
                <w:color w:val="auto"/>
              </w:rPr>
            </w:pPr>
            <w:r>
              <w:rPr>
                <w:rFonts w:ascii="Arial" w:cs="Arial" w:eastAsia="Arial" w:hAnsi="Arial"/>
                <w:sz w:val="14"/>
                <w:szCs w:val="14"/>
                <w:color w:val="auto"/>
              </w:rPr>
              <w:t>0</w:t>
            </w:r>
          </w:p>
        </w:tc>
        <w:tc>
          <w:tcPr>
            <w:tcW w:w="1180" w:type="dxa"/>
            <w:vAlign w:val="bottom"/>
            <w:shd w:val="clear" w:color="auto" w:fill="D8D8D8"/>
          </w:tcPr>
          <w:p>
            <w:pPr>
              <w:jc w:val="right"/>
              <w:ind w:right="8"/>
              <w:spacing w:after="0"/>
              <w:rPr>
                <w:sz w:val="20"/>
                <w:szCs w:val="20"/>
                <w:color w:val="auto"/>
              </w:rPr>
            </w:pPr>
            <w:r>
              <w:rPr>
                <w:rFonts w:ascii="Arial" w:cs="Arial" w:eastAsia="Arial" w:hAnsi="Arial"/>
                <w:sz w:val="14"/>
                <w:szCs w:val="14"/>
                <w:color w:val="auto"/>
              </w:rPr>
              <w:t>1,119,977</w:t>
            </w:r>
          </w:p>
        </w:tc>
        <w:tc>
          <w:tcPr>
            <w:tcW w:w="1120" w:type="dxa"/>
            <w:vAlign w:val="bottom"/>
            <w:shd w:val="clear" w:color="auto" w:fill="D8D8D8"/>
          </w:tcPr>
          <w:p>
            <w:pPr>
              <w:jc w:val="right"/>
              <w:spacing w:after="0"/>
              <w:rPr>
                <w:sz w:val="20"/>
                <w:szCs w:val="20"/>
                <w:color w:val="auto"/>
              </w:rPr>
            </w:pPr>
            <w:r>
              <w:rPr>
                <w:rFonts w:ascii="Arial" w:cs="Arial" w:eastAsia="Arial" w:hAnsi="Arial"/>
                <w:sz w:val="14"/>
                <w:szCs w:val="14"/>
                <w:color w:val="auto"/>
              </w:rPr>
              <w:t>21,289</w:t>
            </w:r>
          </w:p>
        </w:tc>
        <w:tc>
          <w:tcPr>
            <w:tcW w:w="860" w:type="dxa"/>
            <w:vAlign w:val="bottom"/>
            <w:shd w:val="clear" w:color="auto" w:fill="D8D8D8"/>
          </w:tcPr>
          <w:p>
            <w:pPr>
              <w:jc w:val="right"/>
              <w:ind w:right="48"/>
              <w:spacing w:after="0"/>
              <w:rPr>
                <w:sz w:val="20"/>
                <w:szCs w:val="20"/>
                <w:color w:val="auto"/>
              </w:rPr>
            </w:pPr>
            <w:r>
              <w:rPr>
                <w:rFonts w:ascii="Arial" w:cs="Arial" w:eastAsia="Arial" w:hAnsi="Arial"/>
                <w:sz w:val="14"/>
                <w:szCs w:val="14"/>
                <w:color w:val="auto"/>
              </w:rPr>
              <w:t>3,331,689</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680" w:type="dxa"/>
            <w:vAlign w:val="bottom"/>
            <w:shd w:val="clear" w:color="auto" w:fill="D8D8D8"/>
          </w:tcPr>
          <w:p>
            <w:pPr>
              <w:spacing w:after="0" w:line="153" w:lineRule="exact"/>
              <w:rPr>
                <w:sz w:val="20"/>
                <w:szCs w:val="20"/>
                <w:color w:val="auto"/>
              </w:rPr>
            </w:pPr>
            <w:r>
              <w:rPr>
                <w:rFonts w:ascii="Arial" w:cs="Arial" w:eastAsia="Arial" w:hAnsi="Arial"/>
                <w:sz w:val="14"/>
                <w:szCs w:val="14"/>
                <w:color w:val="auto"/>
              </w:rPr>
              <w:t>President &amp; Chief</w:t>
            </w:r>
          </w:p>
        </w:tc>
        <w:tc>
          <w:tcPr>
            <w:tcW w:w="160" w:type="dxa"/>
            <w:vAlign w:val="bottom"/>
            <w:shd w:val="clear" w:color="auto" w:fill="D8D8D8"/>
          </w:tcPr>
          <w:p>
            <w:pPr>
              <w:spacing w:after="0"/>
              <w:rPr>
                <w:sz w:val="13"/>
                <w:szCs w:val="13"/>
                <w:color w:val="auto"/>
              </w:rPr>
            </w:pPr>
          </w:p>
        </w:tc>
        <w:tc>
          <w:tcPr>
            <w:tcW w:w="400" w:type="dxa"/>
            <w:vAlign w:val="bottom"/>
            <w:vMerge w:val="restart"/>
            <w:shd w:val="clear" w:color="auto" w:fill="D8D8D8"/>
          </w:tcPr>
          <w:p>
            <w:pPr>
              <w:jc w:val="right"/>
              <w:ind w:right="8"/>
              <w:spacing w:after="0"/>
              <w:rPr>
                <w:sz w:val="20"/>
                <w:szCs w:val="20"/>
                <w:color w:val="auto"/>
              </w:rPr>
            </w:pPr>
            <w:r>
              <w:rPr>
                <w:rFonts w:ascii="Arial" w:cs="Arial" w:eastAsia="Arial" w:hAnsi="Arial"/>
                <w:sz w:val="14"/>
                <w:szCs w:val="14"/>
                <w:color w:val="auto"/>
                <w:w w:val="96"/>
              </w:rPr>
              <w:t>2016</w:t>
            </w:r>
          </w:p>
        </w:tc>
        <w:tc>
          <w:tcPr>
            <w:tcW w:w="860" w:type="dxa"/>
            <w:vAlign w:val="bottom"/>
            <w:vMerge w:val="restart"/>
            <w:shd w:val="clear" w:color="auto" w:fill="D8D8D8"/>
          </w:tcPr>
          <w:p>
            <w:pPr>
              <w:jc w:val="right"/>
              <w:ind w:right="8"/>
              <w:spacing w:after="0"/>
              <w:rPr>
                <w:sz w:val="20"/>
                <w:szCs w:val="20"/>
                <w:color w:val="auto"/>
              </w:rPr>
            </w:pPr>
            <w:r>
              <w:rPr>
                <w:rFonts w:ascii="Arial" w:cs="Arial" w:eastAsia="Arial" w:hAnsi="Arial"/>
                <w:sz w:val="14"/>
                <w:szCs w:val="14"/>
                <w:color w:val="auto"/>
              </w:rPr>
              <w:t>650,000</w:t>
            </w:r>
          </w:p>
        </w:tc>
        <w:tc>
          <w:tcPr>
            <w:tcW w:w="840" w:type="dxa"/>
            <w:vAlign w:val="bottom"/>
            <w:vMerge w:val="restart"/>
            <w:shd w:val="clear" w:color="auto" w:fill="D8D8D8"/>
          </w:tcPr>
          <w:p>
            <w:pPr>
              <w:jc w:val="right"/>
              <w:ind w:right="8"/>
              <w:spacing w:after="0"/>
              <w:rPr>
                <w:sz w:val="20"/>
                <w:szCs w:val="20"/>
                <w:color w:val="auto"/>
              </w:rPr>
            </w:pPr>
            <w:r>
              <w:rPr>
                <w:rFonts w:ascii="Arial" w:cs="Arial" w:eastAsia="Arial" w:hAnsi="Arial"/>
                <w:sz w:val="14"/>
                <w:szCs w:val="14"/>
                <w:color w:val="auto"/>
              </w:rPr>
              <w:t>310,000</w:t>
            </w:r>
          </w:p>
        </w:tc>
        <w:tc>
          <w:tcPr>
            <w:tcW w:w="860" w:type="dxa"/>
            <w:vAlign w:val="bottom"/>
            <w:vMerge w:val="restart"/>
            <w:shd w:val="clear" w:color="auto" w:fill="D8D8D8"/>
          </w:tcPr>
          <w:p>
            <w:pPr>
              <w:jc w:val="right"/>
              <w:ind w:right="8"/>
              <w:spacing w:after="0"/>
              <w:rPr>
                <w:sz w:val="20"/>
                <w:szCs w:val="20"/>
                <w:color w:val="auto"/>
              </w:rPr>
            </w:pPr>
            <w:r>
              <w:rPr>
                <w:rFonts w:ascii="Arial" w:cs="Arial" w:eastAsia="Arial" w:hAnsi="Arial"/>
                <w:sz w:val="14"/>
                <w:szCs w:val="14"/>
                <w:color w:val="auto"/>
              </w:rPr>
              <w:t>550,001</w:t>
            </w:r>
          </w:p>
        </w:tc>
        <w:tc>
          <w:tcPr>
            <w:tcW w:w="840" w:type="dxa"/>
            <w:vAlign w:val="bottom"/>
            <w:vMerge w:val="restart"/>
            <w:shd w:val="clear" w:color="auto" w:fill="D8D8D8"/>
          </w:tcPr>
          <w:p>
            <w:pPr>
              <w:jc w:val="right"/>
              <w:ind w:right="8"/>
              <w:spacing w:after="0"/>
              <w:rPr>
                <w:sz w:val="20"/>
                <w:szCs w:val="20"/>
                <w:color w:val="auto"/>
              </w:rPr>
            </w:pPr>
            <w:r>
              <w:rPr>
                <w:rFonts w:ascii="Arial" w:cs="Arial" w:eastAsia="Arial" w:hAnsi="Arial"/>
                <w:sz w:val="14"/>
                <w:szCs w:val="14"/>
                <w:color w:val="auto"/>
              </w:rPr>
              <w:t>355,313</w:t>
            </w:r>
          </w:p>
        </w:tc>
        <w:tc>
          <w:tcPr>
            <w:tcW w:w="1180" w:type="dxa"/>
            <w:vAlign w:val="bottom"/>
            <w:vMerge w:val="restart"/>
            <w:shd w:val="clear" w:color="auto" w:fill="D8D8D8"/>
          </w:tcPr>
          <w:p>
            <w:pPr>
              <w:jc w:val="right"/>
              <w:ind w:right="8"/>
              <w:spacing w:after="0"/>
              <w:rPr>
                <w:sz w:val="20"/>
                <w:szCs w:val="20"/>
                <w:color w:val="auto"/>
              </w:rPr>
            </w:pPr>
            <w:r>
              <w:rPr>
                <w:rFonts w:ascii="Arial" w:cs="Arial" w:eastAsia="Arial" w:hAnsi="Arial"/>
                <w:sz w:val="14"/>
                <w:szCs w:val="14"/>
                <w:color w:val="auto"/>
              </w:rPr>
              <w:t>0</w:t>
            </w:r>
          </w:p>
        </w:tc>
        <w:tc>
          <w:tcPr>
            <w:tcW w:w="1180" w:type="dxa"/>
            <w:vAlign w:val="bottom"/>
            <w:vMerge w:val="restart"/>
            <w:shd w:val="clear" w:color="auto" w:fill="D8D8D8"/>
          </w:tcPr>
          <w:p>
            <w:pPr>
              <w:jc w:val="right"/>
              <w:ind w:right="8"/>
              <w:spacing w:after="0"/>
              <w:rPr>
                <w:sz w:val="20"/>
                <w:szCs w:val="20"/>
                <w:color w:val="auto"/>
              </w:rPr>
            </w:pPr>
            <w:r>
              <w:rPr>
                <w:rFonts w:ascii="Arial" w:cs="Arial" w:eastAsia="Arial" w:hAnsi="Arial"/>
                <w:sz w:val="14"/>
                <w:szCs w:val="14"/>
                <w:color w:val="auto"/>
              </w:rPr>
              <w:t>726,584</w:t>
            </w:r>
          </w:p>
        </w:tc>
        <w:tc>
          <w:tcPr>
            <w:tcW w:w="1120" w:type="dxa"/>
            <w:vAlign w:val="bottom"/>
            <w:vMerge w:val="restart"/>
            <w:shd w:val="clear" w:color="auto" w:fill="D8D8D8"/>
          </w:tcPr>
          <w:p>
            <w:pPr>
              <w:jc w:val="right"/>
              <w:spacing w:after="0"/>
              <w:rPr>
                <w:sz w:val="20"/>
                <w:szCs w:val="20"/>
                <w:color w:val="auto"/>
              </w:rPr>
            </w:pPr>
            <w:r>
              <w:rPr>
                <w:rFonts w:ascii="Arial" w:cs="Arial" w:eastAsia="Arial" w:hAnsi="Arial"/>
                <w:sz w:val="14"/>
                <w:szCs w:val="14"/>
                <w:color w:val="auto"/>
              </w:rPr>
              <w:t>13,832</w:t>
            </w:r>
          </w:p>
        </w:tc>
        <w:tc>
          <w:tcPr>
            <w:tcW w:w="860" w:type="dxa"/>
            <w:vAlign w:val="bottom"/>
            <w:vMerge w:val="restart"/>
            <w:shd w:val="clear" w:color="auto" w:fill="D8D8D8"/>
          </w:tcPr>
          <w:p>
            <w:pPr>
              <w:jc w:val="right"/>
              <w:ind w:right="48"/>
              <w:spacing w:after="0"/>
              <w:rPr>
                <w:sz w:val="20"/>
                <w:szCs w:val="20"/>
                <w:color w:val="auto"/>
              </w:rPr>
            </w:pPr>
            <w:r>
              <w:rPr>
                <w:rFonts w:ascii="Arial" w:cs="Arial" w:eastAsia="Arial" w:hAnsi="Arial"/>
                <w:sz w:val="14"/>
                <w:szCs w:val="14"/>
                <w:color w:val="auto"/>
              </w:rPr>
              <w:t>2,605,730</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680" w:type="dxa"/>
            <w:vAlign w:val="bottom"/>
            <w:vMerge w:val="restart"/>
            <w:shd w:val="clear" w:color="auto" w:fill="D8D8D8"/>
          </w:tcPr>
          <w:p>
            <w:pPr>
              <w:spacing w:after="0"/>
              <w:rPr>
                <w:sz w:val="20"/>
                <w:szCs w:val="20"/>
                <w:color w:val="auto"/>
              </w:rPr>
            </w:pPr>
            <w:r>
              <w:rPr>
                <w:rFonts w:ascii="Arial" w:cs="Arial" w:eastAsia="Arial" w:hAnsi="Arial"/>
                <w:sz w:val="14"/>
                <w:szCs w:val="14"/>
                <w:color w:val="auto"/>
              </w:rPr>
              <w:t>Executive Officer, Dover</w:t>
            </w:r>
          </w:p>
        </w:tc>
        <w:tc>
          <w:tcPr>
            <w:tcW w:w="160" w:type="dxa"/>
            <w:vAlign w:val="bottom"/>
            <w:shd w:val="clear" w:color="auto" w:fill="D8D8D8"/>
          </w:tcPr>
          <w:p>
            <w:pPr>
              <w:spacing w:after="0"/>
              <w:rPr>
                <w:sz w:val="8"/>
                <w:szCs w:val="8"/>
                <w:color w:val="auto"/>
              </w:rPr>
            </w:pPr>
          </w:p>
        </w:tc>
        <w:tc>
          <w:tcPr>
            <w:tcW w:w="400" w:type="dxa"/>
            <w:vAlign w:val="bottom"/>
            <w:vMerge w:val="continue"/>
            <w:shd w:val="clear" w:color="auto" w:fill="D8D8D8"/>
          </w:tcPr>
          <w:p>
            <w:pPr>
              <w:spacing w:after="0"/>
              <w:rPr>
                <w:sz w:val="8"/>
                <w:szCs w:val="8"/>
                <w:color w:val="auto"/>
              </w:rPr>
            </w:pPr>
          </w:p>
        </w:tc>
        <w:tc>
          <w:tcPr>
            <w:tcW w:w="860" w:type="dxa"/>
            <w:vAlign w:val="bottom"/>
            <w:vMerge w:val="continue"/>
            <w:shd w:val="clear" w:color="auto" w:fill="D8D8D8"/>
          </w:tcPr>
          <w:p>
            <w:pPr>
              <w:spacing w:after="0"/>
              <w:rPr>
                <w:sz w:val="8"/>
                <w:szCs w:val="8"/>
                <w:color w:val="auto"/>
              </w:rPr>
            </w:pPr>
          </w:p>
        </w:tc>
        <w:tc>
          <w:tcPr>
            <w:tcW w:w="840" w:type="dxa"/>
            <w:vAlign w:val="bottom"/>
            <w:vMerge w:val="continue"/>
            <w:shd w:val="clear" w:color="auto" w:fill="D8D8D8"/>
          </w:tcPr>
          <w:p>
            <w:pPr>
              <w:spacing w:after="0"/>
              <w:rPr>
                <w:sz w:val="8"/>
                <w:szCs w:val="8"/>
                <w:color w:val="auto"/>
              </w:rPr>
            </w:pPr>
          </w:p>
        </w:tc>
        <w:tc>
          <w:tcPr>
            <w:tcW w:w="860" w:type="dxa"/>
            <w:vAlign w:val="bottom"/>
            <w:vMerge w:val="continue"/>
            <w:shd w:val="clear" w:color="auto" w:fill="D8D8D8"/>
          </w:tcPr>
          <w:p>
            <w:pPr>
              <w:spacing w:after="0"/>
              <w:rPr>
                <w:sz w:val="8"/>
                <w:szCs w:val="8"/>
                <w:color w:val="auto"/>
              </w:rPr>
            </w:pPr>
          </w:p>
        </w:tc>
        <w:tc>
          <w:tcPr>
            <w:tcW w:w="840" w:type="dxa"/>
            <w:vAlign w:val="bottom"/>
            <w:vMerge w:val="continue"/>
            <w:shd w:val="clear" w:color="auto" w:fill="D8D8D8"/>
          </w:tcPr>
          <w:p>
            <w:pPr>
              <w:spacing w:after="0"/>
              <w:rPr>
                <w:sz w:val="8"/>
                <w:szCs w:val="8"/>
                <w:color w:val="auto"/>
              </w:rPr>
            </w:pPr>
          </w:p>
        </w:tc>
        <w:tc>
          <w:tcPr>
            <w:tcW w:w="1180" w:type="dxa"/>
            <w:vAlign w:val="bottom"/>
            <w:vMerge w:val="continue"/>
            <w:shd w:val="clear" w:color="auto" w:fill="D8D8D8"/>
          </w:tcPr>
          <w:p>
            <w:pPr>
              <w:spacing w:after="0"/>
              <w:rPr>
                <w:sz w:val="8"/>
                <w:szCs w:val="8"/>
                <w:color w:val="auto"/>
              </w:rPr>
            </w:pPr>
          </w:p>
        </w:tc>
        <w:tc>
          <w:tcPr>
            <w:tcW w:w="1180" w:type="dxa"/>
            <w:vAlign w:val="bottom"/>
            <w:vMerge w:val="continue"/>
            <w:shd w:val="clear" w:color="auto" w:fill="D8D8D8"/>
          </w:tcPr>
          <w:p>
            <w:pPr>
              <w:spacing w:after="0"/>
              <w:rPr>
                <w:sz w:val="8"/>
                <w:szCs w:val="8"/>
                <w:color w:val="auto"/>
              </w:rPr>
            </w:pPr>
          </w:p>
        </w:tc>
        <w:tc>
          <w:tcPr>
            <w:tcW w:w="1120" w:type="dxa"/>
            <w:vAlign w:val="bottom"/>
            <w:vMerge w:val="continue"/>
            <w:shd w:val="clear" w:color="auto" w:fill="D8D8D8"/>
          </w:tcPr>
          <w:p>
            <w:pPr>
              <w:spacing w:after="0"/>
              <w:rPr>
                <w:sz w:val="8"/>
                <w:szCs w:val="8"/>
                <w:color w:val="auto"/>
              </w:rPr>
            </w:pPr>
          </w:p>
        </w:tc>
        <w:tc>
          <w:tcPr>
            <w:tcW w:w="860" w:type="dxa"/>
            <w:vAlign w:val="bottom"/>
            <w:vMerge w:val="continue"/>
            <w:shd w:val="clear" w:color="auto" w:fill="D8D8D8"/>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680" w:type="dxa"/>
            <w:vAlign w:val="bottom"/>
            <w:vMerge w:val="continue"/>
            <w:shd w:val="clear" w:color="auto" w:fill="D8D8D8"/>
          </w:tcPr>
          <w:p>
            <w:pPr>
              <w:spacing w:after="0"/>
              <w:rPr>
                <w:sz w:val="5"/>
                <w:szCs w:val="5"/>
                <w:color w:val="auto"/>
              </w:rPr>
            </w:pPr>
          </w:p>
        </w:tc>
        <w:tc>
          <w:tcPr>
            <w:tcW w:w="160" w:type="dxa"/>
            <w:vAlign w:val="bottom"/>
            <w:shd w:val="clear" w:color="auto" w:fill="D8D8D8"/>
          </w:tcPr>
          <w:p>
            <w:pPr>
              <w:spacing w:after="0"/>
              <w:rPr>
                <w:sz w:val="5"/>
                <w:szCs w:val="5"/>
                <w:color w:val="auto"/>
              </w:rPr>
            </w:pPr>
          </w:p>
        </w:tc>
        <w:tc>
          <w:tcPr>
            <w:tcW w:w="400" w:type="dxa"/>
            <w:vAlign w:val="bottom"/>
            <w:shd w:val="clear" w:color="auto" w:fill="D8D8D8"/>
          </w:tcPr>
          <w:p>
            <w:pPr>
              <w:spacing w:after="0"/>
              <w:rPr>
                <w:sz w:val="5"/>
                <w:szCs w:val="5"/>
                <w:color w:val="auto"/>
              </w:rPr>
            </w:pPr>
          </w:p>
        </w:tc>
        <w:tc>
          <w:tcPr>
            <w:tcW w:w="860" w:type="dxa"/>
            <w:vAlign w:val="bottom"/>
            <w:shd w:val="clear" w:color="auto" w:fill="D8D8D8"/>
          </w:tcPr>
          <w:p>
            <w:pPr>
              <w:spacing w:after="0"/>
              <w:rPr>
                <w:sz w:val="5"/>
                <w:szCs w:val="5"/>
                <w:color w:val="auto"/>
              </w:rPr>
            </w:pPr>
          </w:p>
        </w:tc>
        <w:tc>
          <w:tcPr>
            <w:tcW w:w="840" w:type="dxa"/>
            <w:vAlign w:val="bottom"/>
            <w:shd w:val="clear" w:color="auto" w:fill="D8D8D8"/>
          </w:tcPr>
          <w:p>
            <w:pPr>
              <w:spacing w:after="0"/>
              <w:rPr>
                <w:sz w:val="5"/>
                <w:szCs w:val="5"/>
                <w:color w:val="auto"/>
              </w:rPr>
            </w:pPr>
          </w:p>
        </w:tc>
        <w:tc>
          <w:tcPr>
            <w:tcW w:w="860" w:type="dxa"/>
            <w:vAlign w:val="bottom"/>
            <w:shd w:val="clear" w:color="auto" w:fill="D8D8D8"/>
          </w:tcPr>
          <w:p>
            <w:pPr>
              <w:spacing w:after="0"/>
              <w:rPr>
                <w:sz w:val="5"/>
                <w:szCs w:val="5"/>
                <w:color w:val="auto"/>
              </w:rPr>
            </w:pPr>
          </w:p>
        </w:tc>
        <w:tc>
          <w:tcPr>
            <w:tcW w:w="840" w:type="dxa"/>
            <w:vAlign w:val="bottom"/>
            <w:shd w:val="clear" w:color="auto" w:fill="D8D8D8"/>
          </w:tcPr>
          <w:p>
            <w:pPr>
              <w:spacing w:after="0"/>
              <w:rPr>
                <w:sz w:val="5"/>
                <w:szCs w:val="5"/>
                <w:color w:val="auto"/>
              </w:rPr>
            </w:pPr>
          </w:p>
        </w:tc>
        <w:tc>
          <w:tcPr>
            <w:tcW w:w="1180" w:type="dxa"/>
            <w:vAlign w:val="bottom"/>
            <w:shd w:val="clear" w:color="auto" w:fill="D8D8D8"/>
          </w:tcPr>
          <w:p>
            <w:pPr>
              <w:spacing w:after="0"/>
              <w:rPr>
                <w:sz w:val="5"/>
                <w:szCs w:val="5"/>
                <w:color w:val="auto"/>
              </w:rPr>
            </w:pPr>
          </w:p>
        </w:tc>
        <w:tc>
          <w:tcPr>
            <w:tcW w:w="1180" w:type="dxa"/>
            <w:vAlign w:val="bottom"/>
            <w:shd w:val="clear" w:color="auto" w:fill="D8D8D8"/>
          </w:tcPr>
          <w:p>
            <w:pPr>
              <w:spacing w:after="0"/>
              <w:rPr>
                <w:sz w:val="5"/>
                <w:szCs w:val="5"/>
                <w:color w:val="auto"/>
              </w:rPr>
            </w:pPr>
          </w:p>
        </w:tc>
        <w:tc>
          <w:tcPr>
            <w:tcW w:w="1120" w:type="dxa"/>
            <w:vAlign w:val="bottom"/>
            <w:shd w:val="clear" w:color="auto" w:fill="D8D8D8"/>
          </w:tcPr>
          <w:p>
            <w:pPr>
              <w:spacing w:after="0"/>
              <w:rPr>
                <w:sz w:val="5"/>
                <w:szCs w:val="5"/>
                <w:color w:val="auto"/>
              </w:rPr>
            </w:pPr>
          </w:p>
        </w:tc>
        <w:tc>
          <w:tcPr>
            <w:tcW w:w="860" w:type="dxa"/>
            <w:vAlign w:val="bottom"/>
            <w:shd w:val="clear" w:color="auto" w:fill="D8D8D8"/>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680" w:type="dxa"/>
            <w:vAlign w:val="bottom"/>
            <w:tcBorders>
              <w:bottom w:val="single" w:sz="8" w:color="auto"/>
            </w:tcBorders>
            <w:shd w:val="clear" w:color="auto" w:fill="D8D8D8"/>
          </w:tcPr>
          <w:p>
            <w:pPr>
              <w:spacing w:after="0"/>
              <w:rPr>
                <w:sz w:val="20"/>
                <w:szCs w:val="20"/>
                <w:color w:val="auto"/>
              </w:rPr>
            </w:pPr>
            <w:r>
              <w:rPr>
                <w:rFonts w:ascii="Arial" w:cs="Arial" w:eastAsia="Arial" w:hAnsi="Arial"/>
                <w:sz w:val="14"/>
                <w:szCs w:val="14"/>
                <w:color w:val="auto"/>
              </w:rPr>
              <w:t>Fluids</w:t>
            </w:r>
          </w:p>
        </w:tc>
        <w:tc>
          <w:tcPr>
            <w:tcW w:w="160" w:type="dxa"/>
            <w:vAlign w:val="bottom"/>
            <w:tcBorders>
              <w:bottom w:val="single" w:sz="8" w:color="auto"/>
            </w:tcBorders>
            <w:shd w:val="clear" w:color="auto" w:fill="D8D8D8"/>
          </w:tcPr>
          <w:p>
            <w:pPr>
              <w:spacing w:after="0"/>
              <w:rPr>
                <w:sz w:val="15"/>
                <w:szCs w:val="15"/>
                <w:color w:val="auto"/>
              </w:rPr>
            </w:pPr>
          </w:p>
        </w:tc>
        <w:tc>
          <w:tcPr>
            <w:tcW w:w="400" w:type="dxa"/>
            <w:vAlign w:val="bottom"/>
            <w:tcBorders>
              <w:bottom w:val="single" w:sz="8" w:color="auto"/>
            </w:tcBorders>
            <w:shd w:val="clear" w:color="auto" w:fill="D8D8D8"/>
          </w:tcPr>
          <w:p>
            <w:pPr>
              <w:jc w:val="right"/>
              <w:ind w:right="8"/>
              <w:spacing w:after="0"/>
              <w:rPr>
                <w:sz w:val="20"/>
                <w:szCs w:val="20"/>
                <w:color w:val="auto"/>
              </w:rPr>
            </w:pPr>
            <w:r>
              <w:rPr>
                <w:rFonts w:ascii="Arial" w:cs="Arial" w:eastAsia="Arial" w:hAnsi="Arial"/>
                <w:sz w:val="14"/>
                <w:szCs w:val="14"/>
                <w:color w:val="auto"/>
                <w:w w:val="96"/>
              </w:rPr>
              <w:t>2015</w:t>
            </w:r>
          </w:p>
        </w:tc>
        <w:tc>
          <w:tcPr>
            <w:tcW w:w="860" w:type="dxa"/>
            <w:vAlign w:val="bottom"/>
            <w:tcBorders>
              <w:bottom w:val="single" w:sz="8" w:color="auto"/>
            </w:tcBorders>
            <w:shd w:val="clear" w:color="auto" w:fill="D8D8D8"/>
          </w:tcPr>
          <w:p>
            <w:pPr>
              <w:jc w:val="right"/>
              <w:ind w:right="8"/>
              <w:spacing w:after="0"/>
              <w:rPr>
                <w:sz w:val="20"/>
                <w:szCs w:val="20"/>
                <w:color w:val="auto"/>
              </w:rPr>
            </w:pPr>
            <w:r>
              <w:rPr>
                <w:rFonts w:ascii="Arial" w:cs="Arial" w:eastAsia="Arial" w:hAnsi="Arial"/>
                <w:sz w:val="14"/>
                <w:szCs w:val="14"/>
                <w:color w:val="auto"/>
              </w:rPr>
              <w:t>650,000</w:t>
            </w:r>
          </w:p>
        </w:tc>
        <w:tc>
          <w:tcPr>
            <w:tcW w:w="840" w:type="dxa"/>
            <w:vAlign w:val="bottom"/>
            <w:tcBorders>
              <w:bottom w:val="single" w:sz="8" w:color="auto"/>
            </w:tcBorders>
            <w:shd w:val="clear" w:color="auto" w:fill="D8D8D8"/>
          </w:tcPr>
          <w:p>
            <w:pPr>
              <w:jc w:val="right"/>
              <w:ind w:right="8"/>
              <w:spacing w:after="0"/>
              <w:rPr>
                <w:sz w:val="20"/>
                <w:szCs w:val="20"/>
                <w:color w:val="auto"/>
              </w:rPr>
            </w:pPr>
            <w:r>
              <w:rPr>
                <w:rFonts w:ascii="Arial" w:cs="Arial" w:eastAsia="Arial" w:hAnsi="Arial"/>
                <w:sz w:val="14"/>
                <w:szCs w:val="14"/>
                <w:color w:val="auto"/>
              </w:rPr>
              <w:t>530,000</w:t>
            </w:r>
          </w:p>
        </w:tc>
        <w:tc>
          <w:tcPr>
            <w:tcW w:w="860" w:type="dxa"/>
            <w:vAlign w:val="bottom"/>
            <w:tcBorders>
              <w:bottom w:val="single" w:sz="8" w:color="auto"/>
            </w:tcBorders>
            <w:shd w:val="clear" w:color="auto" w:fill="D8D8D8"/>
          </w:tcPr>
          <w:p>
            <w:pPr>
              <w:jc w:val="right"/>
              <w:ind w:right="8"/>
              <w:spacing w:after="0"/>
              <w:rPr>
                <w:sz w:val="20"/>
                <w:szCs w:val="20"/>
                <w:color w:val="auto"/>
              </w:rPr>
            </w:pPr>
            <w:r>
              <w:rPr>
                <w:rFonts w:ascii="Arial" w:cs="Arial" w:eastAsia="Arial" w:hAnsi="Arial"/>
                <w:sz w:val="14"/>
                <w:szCs w:val="14"/>
                <w:color w:val="auto"/>
              </w:rPr>
              <w:t>549,967</w:t>
            </w:r>
          </w:p>
        </w:tc>
        <w:tc>
          <w:tcPr>
            <w:tcW w:w="840" w:type="dxa"/>
            <w:vAlign w:val="bottom"/>
            <w:tcBorders>
              <w:bottom w:val="single" w:sz="8" w:color="auto"/>
            </w:tcBorders>
            <w:shd w:val="clear" w:color="auto" w:fill="D8D8D8"/>
          </w:tcPr>
          <w:p>
            <w:pPr>
              <w:jc w:val="right"/>
              <w:ind w:right="8"/>
              <w:spacing w:after="0"/>
              <w:rPr>
                <w:sz w:val="20"/>
                <w:szCs w:val="20"/>
                <w:color w:val="auto"/>
              </w:rPr>
            </w:pPr>
            <w:r>
              <w:rPr>
                <w:rFonts w:ascii="Arial" w:cs="Arial" w:eastAsia="Arial" w:hAnsi="Arial"/>
                <w:sz w:val="14"/>
                <w:szCs w:val="14"/>
                <w:color w:val="auto"/>
              </w:rPr>
              <w:t>436,820</w:t>
            </w:r>
          </w:p>
        </w:tc>
        <w:tc>
          <w:tcPr>
            <w:tcW w:w="1180" w:type="dxa"/>
            <w:vAlign w:val="bottom"/>
            <w:tcBorders>
              <w:bottom w:val="single" w:sz="8" w:color="auto"/>
            </w:tcBorders>
            <w:shd w:val="clear" w:color="auto" w:fill="D8D8D8"/>
          </w:tcPr>
          <w:p>
            <w:pPr>
              <w:jc w:val="right"/>
              <w:ind w:right="8"/>
              <w:spacing w:after="0"/>
              <w:rPr>
                <w:sz w:val="20"/>
                <w:szCs w:val="20"/>
                <w:color w:val="auto"/>
              </w:rPr>
            </w:pPr>
            <w:r>
              <w:rPr>
                <w:rFonts w:ascii="Arial" w:cs="Arial" w:eastAsia="Arial" w:hAnsi="Arial"/>
                <w:sz w:val="14"/>
                <w:szCs w:val="14"/>
                <w:color w:val="auto"/>
              </w:rPr>
              <w:t>790,760</w:t>
            </w:r>
          </w:p>
        </w:tc>
        <w:tc>
          <w:tcPr>
            <w:tcW w:w="1180" w:type="dxa"/>
            <w:vAlign w:val="bottom"/>
            <w:tcBorders>
              <w:bottom w:val="single" w:sz="8" w:color="auto"/>
            </w:tcBorders>
            <w:shd w:val="clear" w:color="auto" w:fill="D8D8D8"/>
          </w:tcPr>
          <w:p>
            <w:pPr>
              <w:jc w:val="right"/>
              <w:ind w:right="8"/>
              <w:spacing w:after="0"/>
              <w:rPr>
                <w:sz w:val="20"/>
                <w:szCs w:val="20"/>
                <w:color w:val="auto"/>
              </w:rPr>
            </w:pPr>
            <w:r>
              <w:rPr>
                <w:rFonts w:ascii="Arial" w:cs="Arial" w:eastAsia="Arial" w:hAnsi="Arial"/>
                <w:sz w:val="14"/>
                <w:szCs w:val="14"/>
                <w:color w:val="auto"/>
              </w:rPr>
              <w:t>256,000</w:t>
            </w:r>
          </w:p>
        </w:tc>
        <w:tc>
          <w:tcPr>
            <w:tcW w:w="112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4"/>
                <w:szCs w:val="14"/>
                <w:color w:val="auto"/>
              </w:rPr>
              <w:t>10,676</w:t>
            </w:r>
          </w:p>
        </w:tc>
        <w:tc>
          <w:tcPr>
            <w:tcW w:w="860" w:type="dxa"/>
            <w:vAlign w:val="bottom"/>
            <w:tcBorders>
              <w:bottom w:val="single" w:sz="8" w:color="auto"/>
            </w:tcBorders>
            <w:shd w:val="clear" w:color="auto" w:fill="D8D8D8"/>
          </w:tcPr>
          <w:p>
            <w:pPr>
              <w:jc w:val="right"/>
              <w:ind w:right="48"/>
              <w:spacing w:after="0"/>
              <w:rPr>
                <w:sz w:val="20"/>
                <w:szCs w:val="20"/>
                <w:color w:val="auto"/>
              </w:rPr>
            </w:pPr>
            <w:r>
              <w:rPr>
                <w:rFonts w:ascii="Arial" w:cs="Arial" w:eastAsia="Arial" w:hAnsi="Arial"/>
                <w:sz w:val="14"/>
                <w:szCs w:val="14"/>
                <w:color w:val="auto"/>
              </w:rPr>
              <w:t>3,224,223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1855470</wp:posOffset>
            </wp:positionH>
            <wp:positionV relativeFrom="paragraph">
              <wp:posOffset>-161925</wp:posOffset>
            </wp:positionV>
            <wp:extent cx="526796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267960" cy="8255"/>
                    </a:xfrm>
                    <a:prstGeom prst="rect">
                      <a:avLst/>
                    </a:prstGeom>
                    <a:noFill/>
                  </pic:spPr>
                </pic:pic>
              </a:graphicData>
            </a:graphic>
          </wp:anchor>
        </w:drawing>
        <w:drawing>
          <wp:anchor simplePos="0" relativeHeight="251657728" behindDoc="1" locked="0" layoutInCell="0" allowOverlap="1">
            <wp:simplePos x="0" y="0"/>
            <wp:positionH relativeFrom="column">
              <wp:posOffset>1855470</wp:posOffset>
            </wp:positionH>
            <wp:positionV relativeFrom="paragraph">
              <wp:posOffset>-307975</wp:posOffset>
            </wp:positionV>
            <wp:extent cx="526796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267960" cy="8255"/>
                    </a:xfrm>
                    <a:prstGeom prst="rect">
                      <a:avLst/>
                    </a:prstGeom>
                    <a:noFill/>
                  </pic:spPr>
                </pic:pic>
              </a:graphicData>
            </a:graphic>
          </wp:anchor>
        </w:drawing>
        <w:drawing>
          <wp:anchor simplePos="0" relativeHeight="251657728" behindDoc="1" locked="0" layoutInCell="0" allowOverlap="1">
            <wp:simplePos x="0" y="0"/>
            <wp:positionH relativeFrom="column">
              <wp:posOffset>1855470</wp:posOffset>
            </wp:positionH>
            <wp:positionV relativeFrom="paragraph">
              <wp:posOffset>-1069975</wp:posOffset>
            </wp:positionV>
            <wp:extent cx="526796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267960" cy="8255"/>
                    </a:xfrm>
                    <a:prstGeom prst="rect">
                      <a:avLst/>
                    </a:prstGeom>
                    <a:noFill/>
                  </pic:spPr>
                </pic:pic>
              </a:graphicData>
            </a:graphic>
          </wp:anchor>
        </w:drawing>
        <w:drawing>
          <wp:anchor simplePos="0" relativeHeight="251657728" behindDoc="1" locked="0" layoutInCell="0" allowOverlap="1">
            <wp:simplePos x="0" y="0"/>
            <wp:positionH relativeFrom="column">
              <wp:posOffset>1855470</wp:posOffset>
            </wp:positionH>
            <wp:positionV relativeFrom="paragraph">
              <wp:posOffset>-1207135</wp:posOffset>
            </wp:positionV>
            <wp:extent cx="526796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267960" cy="8255"/>
                    </a:xfrm>
                    <a:prstGeom prst="rect">
                      <a:avLst/>
                    </a:prstGeom>
                    <a:noFill/>
                  </pic:spPr>
                </pic:pic>
              </a:graphicData>
            </a:graphic>
          </wp:anchor>
        </w:drawing>
        <w:drawing>
          <wp:anchor simplePos="0" relativeHeight="251657728" behindDoc="1" locked="0" layoutInCell="0" allowOverlap="1">
            <wp:simplePos x="0" y="0"/>
            <wp:positionH relativeFrom="column">
              <wp:posOffset>1855470</wp:posOffset>
            </wp:positionH>
            <wp:positionV relativeFrom="paragraph">
              <wp:posOffset>-1840865</wp:posOffset>
            </wp:positionV>
            <wp:extent cx="526796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267960" cy="8255"/>
                    </a:xfrm>
                    <a:prstGeom prst="rect">
                      <a:avLst/>
                    </a:prstGeom>
                    <a:noFill/>
                  </pic:spPr>
                </pic:pic>
              </a:graphicData>
            </a:graphic>
          </wp:anchor>
        </w:drawing>
        <w:drawing>
          <wp:anchor simplePos="0" relativeHeight="251657728" behindDoc="1" locked="0" layoutInCell="0" allowOverlap="1">
            <wp:simplePos x="0" y="0"/>
            <wp:positionH relativeFrom="column">
              <wp:posOffset>1855470</wp:posOffset>
            </wp:positionH>
            <wp:positionV relativeFrom="paragraph">
              <wp:posOffset>-1952625</wp:posOffset>
            </wp:positionV>
            <wp:extent cx="526796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267960" cy="8255"/>
                    </a:xfrm>
                    <a:prstGeom prst="rect">
                      <a:avLst/>
                    </a:prstGeom>
                    <a:noFill/>
                  </pic:spPr>
                </pic:pic>
              </a:graphicData>
            </a:graphic>
          </wp:anchor>
        </w:drawing>
      </w:r>
    </w:p>
    <w:p>
      <w:pPr>
        <w:spacing w:after="0" w:line="33" w:lineRule="exact"/>
        <w:rPr>
          <w:sz w:val="20"/>
          <w:szCs w:val="20"/>
          <w:color w:val="auto"/>
        </w:rPr>
      </w:pPr>
    </w:p>
    <w:p>
      <w:pPr>
        <w:ind w:left="540" w:right="100" w:hanging="330"/>
        <w:spacing w:after="0" w:line="250" w:lineRule="auto"/>
        <w:tabs>
          <w:tab w:leader="none" w:pos="540" w:val="left"/>
        </w:tabs>
        <w:numPr>
          <w:ilvl w:val="0"/>
          <w:numId w:val="45"/>
        </w:numPr>
        <w:rPr>
          <w:rFonts w:ascii="Arial" w:cs="Arial" w:eastAsia="Arial" w:hAnsi="Arial"/>
          <w:sz w:val="16"/>
          <w:szCs w:val="16"/>
          <w:i w:val="1"/>
          <w:iCs w:val="1"/>
          <w:color w:val="auto"/>
        </w:rPr>
      </w:pPr>
      <w:r>
        <w:rPr>
          <w:rFonts w:ascii="Arial" w:cs="Arial" w:eastAsia="Arial" w:hAnsi="Arial"/>
          <w:sz w:val="16"/>
          <w:szCs w:val="16"/>
          <w:i w:val="1"/>
          <w:iCs w:val="1"/>
          <w:color w:val="auto"/>
        </w:rPr>
        <w:t>Bonus amounts generally represent payments under our AIP for the year indicated, for which payments are made in the first quarter of the following year. The AIP constitutes a non-equity incentive plan under FASB ASC Topic 718. Although they are based on the satisfaction of pre-established performance targets, these amounts are reported in the bonus column rather than the non-equity incentive plan compensation column to make clear that they are annual bonus payments for the year indicated and to distinguish them from the payouts under the cash performance awards granted under the LTIP for the three-year performance periods ended December 31, 2015.</w:t>
      </w:r>
    </w:p>
    <w:p>
      <w:pPr>
        <w:spacing w:after="0" w:line="2" w:lineRule="exact"/>
        <w:rPr>
          <w:rFonts w:ascii="Arial" w:cs="Arial" w:eastAsia="Arial" w:hAnsi="Arial"/>
          <w:sz w:val="16"/>
          <w:szCs w:val="16"/>
          <w:i w:val="1"/>
          <w:iCs w:val="1"/>
          <w:color w:val="auto"/>
        </w:rPr>
      </w:pPr>
    </w:p>
    <w:p>
      <w:pPr>
        <w:ind w:left="540" w:right="140" w:hanging="330"/>
        <w:spacing w:after="0" w:line="246" w:lineRule="auto"/>
        <w:tabs>
          <w:tab w:leader="none" w:pos="540" w:val="left"/>
        </w:tabs>
        <w:numPr>
          <w:ilvl w:val="0"/>
          <w:numId w:val="45"/>
        </w:numPr>
        <w:rPr>
          <w:rFonts w:ascii="Arial" w:cs="Arial" w:eastAsia="Arial" w:hAnsi="Arial"/>
          <w:sz w:val="16"/>
          <w:szCs w:val="16"/>
          <w:i w:val="1"/>
          <w:iCs w:val="1"/>
          <w:color w:val="auto"/>
        </w:rPr>
      </w:pPr>
      <w:r>
        <w:rPr>
          <w:rFonts w:ascii="Arial" w:cs="Arial" w:eastAsia="Arial" w:hAnsi="Arial"/>
          <w:sz w:val="16"/>
          <w:szCs w:val="16"/>
          <w:i w:val="1"/>
          <w:iCs w:val="1"/>
          <w:color w:val="auto"/>
        </w:rPr>
        <w:t>The amounts generally represent (a) the aggregate grant date fair value of performance shares granted during the year indicated, calculated in accordance with FASB ASC Topic 718 and (b) the aggregate grant date fair value of restricted stock unit awards granted during the year, calculated in accordance with FASB ASC Topic 718. Under FASB ASC Topic 718, the 2015, 2016 and 2017 awards are considered performance and service conditioned. The grant date fair value for the 2015 performance share awards was $73.28, the grant date fair value for the 2016 performance share awards was $57.25, and the grant date fair value for the 2017 performance share awards was $79.28 determined in accordance with FASB ASC Topic 718.</w:t>
      </w:r>
    </w:p>
    <w:p>
      <w:pPr>
        <w:spacing w:after="0" w:line="1" w:lineRule="exact"/>
        <w:rPr>
          <w:rFonts w:ascii="Arial" w:cs="Arial" w:eastAsia="Arial" w:hAnsi="Arial"/>
          <w:sz w:val="16"/>
          <w:szCs w:val="16"/>
          <w:i w:val="1"/>
          <w:iCs w:val="1"/>
          <w:color w:val="auto"/>
        </w:rPr>
      </w:pPr>
    </w:p>
    <w:p>
      <w:pPr>
        <w:ind w:left="540" w:right="280"/>
        <w:spacing w:after="0" w:line="260" w:lineRule="auto"/>
        <w:rPr>
          <w:rFonts w:ascii="Arial" w:cs="Arial" w:eastAsia="Arial" w:hAnsi="Arial"/>
          <w:sz w:val="16"/>
          <w:szCs w:val="16"/>
          <w:i w:val="1"/>
          <w:iCs w:val="1"/>
          <w:color w:val="auto"/>
        </w:rPr>
      </w:pPr>
      <w:r>
        <w:rPr>
          <w:rFonts w:ascii="Arial" w:cs="Arial" w:eastAsia="Arial" w:hAnsi="Arial"/>
          <w:sz w:val="16"/>
          <w:szCs w:val="16"/>
          <w:i w:val="1"/>
          <w:iCs w:val="1"/>
          <w:color w:val="auto"/>
        </w:rPr>
        <w:t>The amounts represent the aggregate grant date fair value of awards granted during the year indicated, calculated in accordance with FASB ASC Topic 718 and do not correspond to the actual value that might be realized by the named executives.</w:t>
      </w:r>
    </w:p>
    <w:p>
      <w:pPr>
        <w:spacing w:after="0" w:line="107" w:lineRule="exact"/>
        <w:rPr>
          <w:sz w:val="20"/>
          <w:szCs w:val="20"/>
          <w:color w:val="auto"/>
        </w:rPr>
      </w:pPr>
    </w:p>
    <w:p>
      <w:pPr>
        <w:ind w:left="7380"/>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55</w:t>
      </w:r>
    </w:p>
    <w:p>
      <w:pPr>
        <w:sectPr>
          <w:pgSz w:w="11900" w:h="16838" w:orient="portrait"/>
          <w:cols w:equalWidth="0" w:num="1">
            <w:col w:w="11220"/>
          </w:cols>
          <w:pgMar w:left="240" w:top="459" w:right="4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EXECUTIVE COMPENSATION TABLES</w:t>
      </w:r>
    </w:p>
    <w:p>
      <w:pPr>
        <w:spacing w:after="0" w:line="157" w:lineRule="exact"/>
        <w:rPr>
          <w:sz w:val="20"/>
          <w:szCs w:val="20"/>
          <w:color w:val="auto"/>
        </w:rPr>
      </w:pPr>
    </w:p>
    <w:p>
      <w:pPr>
        <w:jc w:val="both"/>
        <w:ind w:left="540" w:right="140"/>
        <w:spacing w:after="0" w:line="253" w:lineRule="auto"/>
        <w:rPr>
          <w:sz w:val="20"/>
          <w:szCs w:val="20"/>
          <w:color w:val="auto"/>
        </w:rPr>
      </w:pPr>
      <w:r>
        <w:rPr>
          <w:rFonts w:ascii="Arial" w:cs="Arial" w:eastAsia="Arial" w:hAnsi="Arial"/>
          <w:sz w:val="16"/>
          <w:szCs w:val="16"/>
          <w:i w:val="1"/>
          <w:iCs w:val="1"/>
          <w:color w:val="auto"/>
        </w:rPr>
        <w:t>The grant date fair value of restricted stock unit awards was calculated in accordance with FASB ASC Topic 718 using the assumptions set forth in the footnotes to financial statements in the Company’s Annual Report on Form 10-K for the year ended December 31, 2017. All restricted stock unit grants are eligible for dividend equivalent payments which are paid upon vesting.</w:t>
      </w:r>
    </w:p>
    <w:p>
      <w:pPr>
        <w:spacing w:after="0" w:line="1" w:lineRule="exact"/>
        <w:rPr>
          <w:sz w:val="20"/>
          <w:szCs w:val="20"/>
          <w:color w:val="auto"/>
        </w:rPr>
      </w:pPr>
    </w:p>
    <w:p>
      <w:pPr>
        <w:ind w:left="540" w:right="620"/>
        <w:spacing w:after="0" w:line="246" w:lineRule="auto"/>
        <w:rPr>
          <w:sz w:val="20"/>
          <w:szCs w:val="20"/>
          <w:color w:val="auto"/>
        </w:rPr>
      </w:pPr>
      <w:r>
        <w:rPr>
          <w:rFonts w:ascii="Arial" w:cs="Arial" w:eastAsia="Arial" w:hAnsi="Arial"/>
          <w:sz w:val="16"/>
          <w:szCs w:val="16"/>
          <w:i w:val="1"/>
          <w:iCs w:val="1"/>
          <w:color w:val="auto"/>
        </w:rPr>
        <w:t>For a discussion of the assumptions relating to calculation of the cost of equity awards, see Note 12 to the Notes to the Financial Statements contained in our Annual Report on Form 10-K for the year ended December 31, 2017.</w:t>
      </w:r>
    </w:p>
    <w:p>
      <w:pPr>
        <w:spacing w:after="0" w:line="1" w:lineRule="exact"/>
        <w:rPr>
          <w:sz w:val="20"/>
          <w:szCs w:val="20"/>
          <w:color w:val="auto"/>
        </w:rPr>
      </w:pPr>
    </w:p>
    <w:p>
      <w:pPr>
        <w:ind w:left="540" w:right="180" w:hanging="330"/>
        <w:spacing w:after="0" w:line="246" w:lineRule="auto"/>
        <w:tabs>
          <w:tab w:leader="none" w:pos="540" w:val="left"/>
        </w:tabs>
        <w:numPr>
          <w:ilvl w:val="0"/>
          <w:numId w:val="46"/>
        </w:numPr>
        <w:rPr>
          <w:rFonts w:ascii="Arial" w:cs="Arial" w:eastAsia="Arial" w:hAnsi="Arial"/>
          <w:sz w:val="16"/>
          <w:szCs w:val="16"/>
          <w:i w:val="1"/>
          <w:iCs w:val="1"/>
          <w:color w:val="auto"/>
        </w:rPr>
      </w:pPr>
      <w:r>
        <w:rPr>
          <w:rFonts w:ascii="Arial" w:cs="Arial" w:eastAsia="Arial" w:hAnsi="Arial"/>
          <w:sz w:val="16"/>
          <w:szCs w:val="16"/>
          <w:i w:val="1"/>
          <w:iCs w:val="1"/>
          <w:color w:val="auto"/>
        </w:rPr>
        <w:t>The amounts represent the aggregate grant date fair value of SSAR awards granted during the year indicated, calculated in accordance with FASB ASC Topic 718, and do not correspond to the actual value that may be realized by the named executives. For a discussion of the assumptions relating to the calculation of the cost of equity awards, see the Notes to Financial Statements contained in our Annual Report on Form 10-K for the year ended December 31, 2017.</w:t>
      </w:r>
    </w:p>
    <w:p>
      <w:pPr>
        <w:spacing w:after="0" w:line="1" w:lineRule="exact"/>
        <w:rPr>
          <w:rFonts w:ascii="Arial" w:cs="Arial" w:eastAsia="Arial" w:hAnsi="Arial"/>
          <w:sz w:val="16"/>
          <w:szCs w:val="16"/>
          <w:i w:val="1"/>
          <w:iCs w:val="1"/>
          <w:color w:val="auto"/>
        </w:rPr>
      </w:pPr>
    </w:p>
    <w:p>
      <w:pPr>
        <w:ind w:left="540" w:hanging="330"/>
        <w:spacing w:after="0" w:line="246" w:lineRule="auto"/>
        <w:tabs>
          <w:tab w:leader="none" w:pos="540" w:val="left"/>
        </w:tabs>
        <w:numPr>
          <w:ilvl w:val="0"/>
          <w:numId w:val="46"/>
        </w:numPr>
        <w:rPr>
          <w:rFonts w:ascii="Arial" w:cs="Arial" w:eastAsia="Arial" w:hAnsi="Arial"/>
          <w:sz w:val="16"/>
          <w:szCs w:val="16"/>
          <w:i w:val="1"/>
          <w:iCs w:val="1"/>
          <w:color w:val="auto"/>
        </w:rPr>
      </w:pPr>
      <w:r>
        <w:rPr>
          <w:rFonts w:ascii="Arial" w:cs="Arial" w:eastAsia="Arial" w:hAnsi="Arial"/>
          <w:sz w:val="16"/>
          <w:szCs w:val="16"/>
          <w:i w:val="1"/>
          <w:iCs w:val="1"/>
          <w:color w:val="auto"/>
        </w:rPr>
        <w:t>Amounts represent the payouts earned under cash performance awards granted for the three-year performance period ended on December 31 of the year indicated. The actual payouts were made during the first quarter of the following year. See the column under Note (1) for additional amounts paid as non-equity incentive plan compensation.</w:t>
      </w:r>
    </w:p>
    <w:p>
      <w:pPr>
        <w:ind w:left="540" w:right="580" w:hanging="330"/>
        <w:spacing w:after="0" w:line="246" w:lineRule="auto"/>
        <w:tabs>
          <w:tab w:leader="none" w:pos="540" w:val="left"/>
        </w:tabs>
        <w:numPr>
          <w:ilvl w:val="0"/>
          <w:numId w:val="46"/>
        </w:numPr>
        <w:rPr>
          <w:rFonts w:ascii="Arial" w:cs="Arial" w:eastAsia="Arial" w:hAnsi="Arial"/>
          <w:sz w:val="16"/>
          <w:szCs w:val="16"/>
          <w:i w:val="1"/>
          <w:iCs w:val="1"/>
          <w:color w:val="auto"/>
        </w:rPr>
      </w:pPr>
      <w:r>
        <w:rPr>
          <w:rFonts w:ascii="Arial" w:cs="Arial" w:eastAsia="Arial" w:hAnsi="Arial"/>
          <w:sz w:val="16"/>
          <w:szCs w:val="16"/>
          <w:i w:val="1"/>
          <w:iCs w:val="1"/>
          <w:color w:val="auto"/>
        </w:rPr>
        <w:t>Amounts represent changes in present value of accumulated benefits under the pension plan and/or PRP during the year indicated. For more information, see “— Pension Benefits through 2017.”</w:t>
      </w:r>
    </w:p>
    <w:p>
      <w:pPr>
        <w:ind w:left="540" w:right="120" w:hanging="330"/>
        <w:spacing w:after="0" w:line="249" w:lineRule="auto"/>
        <w:tabs>
          <w:tab w:leader="none" w:pos="540" w:val="left"/>
        </w:tabs>
        <w:numPr>
          <w:ilvl w:val="0"/>
          <w:numId w:val="46"/>
        </w:numPr>
        <w:rPr>
          <w:rFonts w:ascii="Arial" w:cs="Arial" w:eastAsia="Arial" w:hAnsi="Arial"/>
          <w:sz w:val="16"/>
          <w:szCs w:val="16"/>
          <w:i w:val="1"/>
          <w:iCs w:val="1"/>
          <w:color w:val="auto"/>
        </w:rPr>
      </w:pPr>
      <w:r>
        <w:rPr>
          <w:rFonts w:ascii="Arial" w:cs="Arial" w:eastAsia="Arial" w:hAnsi="Arial"/>
          <w:sz w:val="16"/>
          <w:szCs w:val="16"/>
          <w:i w:val="1"/>
          <w:iCs w:val="1"/>
          <w:color w:val="auto"/>
        </w:rPr>
        <w:t>The amounts for 2017 for the NEOs are due to $9,450 in 401(k) matching contributions, as well as dividends received on RSUs. The amounts for 2016 for the NEOs are due to $9,275 in 401(k) matching contributions, as well as dividends received on RSUs. The amounts for 2015 for the NEOs are categorized as follows: each of the NEOs had $9,100 in 401(k) matching contributions, as well as dividends received on RSUs. The amount for Mr. Spurgeon includes $1,922 in 2016 and $1,386 in 2017 for health club membership reimbursement. The amount for Mr. Somasundaram includes $2,000 in 2017 for health club membership reimbursement.</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32406B"/>
        </w:rPr>
        <w:t>CEO Pay Ratio</w:t>
      </w:r>
    </w:p>
    <w:p>
      <w:pPr>
        <w:spacing w:after="0" w:line="106" w:lineRule="exact"/>
        <w:rPr>
          <w:sz w:val="20"/>
          <w:szCs w:val="20"/>
          <w:color w:val="auto"/>
        </w:rPr>
      </w:pPr>
    </w:p>
    <w:p>
      <w:pPr>
        <w:ind w:left="220" w:right="20"/>
        <w:spacing w:after="0" w:line="247" w:lineRule="auto"/>
        <w:rPr>
          <w:sz w:val="20"/>
          <w:szCs w:val="20"/>
          <w:color w:val="auto"/>
        </w:rPr>
      </w:pPr>
      <w:r>
        <w:rPr>
          <w:rFonts w:ascii="Arial" w:cs="Arial" w:eastAsia="Arial" w:hAnsi="Arial"/>
          <w:sz w:val="16"/>
          <w:szCs w:val="16"/>
          <w:color w:val="auto"/>
        </w:rPr>
        <w:t>We are providing the following information about the relationship of the annual total compensation of our employees and the annual total compensation of Robert A. Livingston, our President and CEO. The pay ratio included in this information is a reasonable estimate calculated in a manner consistent with Item 402(u) of Regulation S-K. As is permitted under the SEC rules, to determine our median employee, we chose “base salary” as our consistently applied compensation measure. We estimated annual base salary for hourly workers using their hourly rate and a reasonable estimate of hours worked in a given year; for employees who commenced work during 2017, we annualized base. Fifteen countries were excluded (3% of the total workforce), with employee counts as follows: Argentina (31), Austria (2), Costa Rica (13), Czech Republic (48), Dominican Republic (37), Kenya (8), Malaysia (170), Mexico (168), Norway (13), Oman (185), Portugal (10), South Korea (22), Taiwan (21), Thailand (147), and Turkey (9). Using December 13, 2017 as the determination date, a valid statistical sampling methodology was used to estimate the median base salary for 28,902 employees (16,013 U.S. and 12,889 non-U.S.) and, after country exclusions, 28,018 employees (16,013 U.S. and 12,005 non-U.S.). We then produced a sample of employees who were paid within a 5% range of that median and selected an employee from within that group as our median employee. We determined that employee’s (Summary Compensation Table) total compensation was $41,943. The President &amp; CEO’s total compensation was $9,952,918 resulting in an estimated ratio of 237:1 for CEO pay to median worker pay.</w:t>
      </w:r>
    </w:p>
    <w:p>
      <w:pPr>
        <w:spacing w:after="0" w:line="122"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56</w:t>
      </w:r>
    </w:p>
    <w:p>
      <w:pPr>
        <w:sectPr>
          <w:pgSz w:w="11900" w:h="16838" w:orient="portrait"/>
          <w:cols w:equalWidth="0" w:num="1">
            <w:col w:w="11220"/>
          </w:cols>
          <w:pgMar w:left="240" w:top="459" w:right="4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EXECUTIVE COMPENSATION TABLES</w:t>
      </w:r>
    </w:p>
    <w:p>
      <w:pPr>
        <w:spacing w:after="0" w:line="139"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32406B"/>
        </w:rPr>
        <w:t>Grants of Plan-Based Awards in 2017</w:t>
      </w:r>
    </w:p>
    <w:p>
      <w:pPr>
        <w:spacing w:after="0" w:line="10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All awards listed in the table below have a grant date of February 10, 2017.</w:t>
      </w:r>
    </w:p>
    <w:p>
      <w:pPr>
        <w:spacing w:after="0" w:line="226"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20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gridSpan w:val="2"/>
            <w:vMerge w:val="restart"/>
          </w:tcPr>
          <w:p>
            <w:pPr>
              <w:spacing w:after="0"/>
              <w:rPr>
                <w:sz w:val="20"/>
                <w:szCs w:val="20"/>
                <w:color w:val="auto"/>
              </w:rPr>
            </w:pPr>
            <w:r>
              <w:rPr>
                <w:rFonts w:ascii="Arial" w:cs="Arial" w:eastAsia="Arial" w:hAnsi="Arial"/>
                <w:sz w:val="14"/>
                <w:szCs w:val="14"/>
                <w:b w:val="1"/>
                <w:bCs w:val="1"/>
                <w:color w:val="auto"/>
              </w:rPr>
              <w:t>Estimated Future</w:t>
            </w:r>
          </w:p>
        </w:tc>
        <w:tc>
          <w:tcPr>
            <w:tcW w:w="7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All Other</w:t>
            </w:r>
          </w:p>
        </w:tc>
        <w:tc>
          <w:tcPr>
            <w:tcW w:w="920" w:type="dxa"/>
            <w:vAlign w:val="bottom"/>
            <w:tcBorders>
              <w:top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All Other</w:t>
            </w:r>
          </w:p>
        </w:tc>
        <w:tc>
          <w:tcPr>
            <w:tcW w:w="28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0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Stock</w:t>
            </w:r>
          </w:p>
        </w:tc>
        <w:tc>
          <w:tcPr>
            <w:tcW w:w="9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Option</w:t>
            </w: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90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Grant</w:t>
            </w:r>
          </w:p>
        </w:tc>
        <w:tc>
          <w:tcPr>
            <w:tcW w:w="0" w:type="dxa"/>
            <w:vAlign w:val="bottom"/>
          </w:tcPr>
          <w:p>
            <w:pPr>
              <w:spacing w:after="0"/>
              <w:rPr>
                <w:sz w:val="1"/>
                <w:szCs w:val="1"/>
                <w:color w:val="auto"/>
              </w:rPr>
            </w:pPr>
          </w:p>
        </w:tc>
      </w:tr>
      <w:tr>
        <w:trPr>
          <w:trHeight w:val="81"/>
        </w:trPr>
        <w:tc>
          <w:tcPr>
            <w:tcW w:w="20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Estimated Future</w:t>
            </w: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Payouts Under</w:t>
            </w: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9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540" w:type="dxa"/>
            <w:vAlign w:val="bottom"/>
            <w:gridSpan w:val="2"/>
            <w:vMerge w:val="continue"/>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Awards:</w:t>
            </w:r>
          </w:p>
        </w:tc>
        <w:tc>
          <w:tcPr>
            <w:tcW w:w="9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Awards:</w:t>
            </w: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90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Date Fair</w:t>
            </w:r>
          </w:p>
        </w:tc>
        <w:tc>
          <w:tcPr>
            <w:tcW w:w="0" w:type="dxa"/>
            <w:vAlign w:val="bottom"/>
          </w:tcPr>
          <w:p>
            <w:pPr>
              <w:spacing w:after="0"/>
              <w:rPr>
                <w:sz w:val="1"/>
                <w:szCs w:val="1"/>
                <w:color w:val="auto"/>
              </w:rPr>
            </w:pPr>
          </w:p>
        </w:tc>
      </w:tr>
      <w:tr>
        <w:trPr>
          <w:trHeight w:val="81"/>
        </w:trPr>
        <w:tc>
          <w:tcPr>
            <w:tcW w:w="20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Payouts Under Non-Equity</w:t>
            </w:r>
          </w:p>
        </w:tc>
        <w:tc>
          <w:tcPr>
            <w:tcW w:w="21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Equity Incentive Plan</w:t>
            </w:r>
          </w:p>
        </w:tc>
        <w:tc>
          <w:tcPr>
            <w:tcW w:w="860" w:type="dxa"/>
            <w:vAlign w:val="bottom"/>
            <w:gridSpan w:val="2"/>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9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0" w:type="dxa"/>
            <w:vAlign w:val="bottom"/>
            <w:gridSpan w:val="4"/>
            <w:vMerge w:val="continue"/>
          </w:tcPr>
          <w:p>
            <w:pPr>
              <w:spacing w:after="0"/>
              <w:rPr>
                <w:sz w:val="7"/>
                <w:szCs w:val="7"/>
                <w:color w:val="auto"/>
              </w:rPr>
            </w:pPr>
          </w:p>
        </w:tc>
        <w:tc>
          <w:tcPr>
            <w:tcW w:w="2100" w:type="dxa"/>
            <w:vAlign w:val="bottom"/>
            <w:gridSpan w:val="4"/>
            <w:vMerge w:val="continue"/>
          </w:tcPr>
          <w:p>
            <w:pPr>
              <w:spacing w:after="0"/>
              <w:rPr>
                <w:sz w:val="7"/>
                <w:szCs w:val="7"/>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Number of</w:t>
            </w:r>
          </w:p>
        </w:tc>
        <w:tc>
          <w:tcPr>
            <w:tcW w:w="9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Number of</w:t>
            </w:r>
          </w:p>
        </w:tc>
        <w:tc>
          <w:tcPr>
            <w:tcW w:w="74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Exercise</w:t>
            </w:r>
          </w:p>
        </w:tc>
        <w:tc>
          <w:tcPr>
            <w:tcW w:w="90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Value of</w:t>
            </w:r>
          </w:p>
        </w:tc>
        <w:tc>
          <w:tcPr>
            <w:tcW w:w="0" w:type="dxa"/>
            <w:vAlign w:val="bottom"/>
          </w:tcPr>
          <w:p>
            <w:pPr>
              <w:spacing w:after="0"/>
              <w:rPr>
                <w:sz w:val="1"/>
                <w:szCs w:val="1"/>
                <w:color w:val="auto"/>
              </w:rPr>
            </w:pPr>
          </w:p>
        </w:tc>
      </w:tr>
      <w:tr>
        <w:trPr>
          <w:trHeight w:val="81"/>
        </w:trPr>
        <w:tc>
          <w:tcPr>
            <w:tcW w:w="20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Incentive Plan Awards</w:t>
            </w: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b w:val="1"/>
                <w:bCs w:val="1"/>
                <w:color w:val="auto"/>
              </w:rPr>
              <w:t>Awards</w:t>
            </w:r>
          </w:p>
        </w:tc>
        <w:tc>
          <w:tcPr>
            <w:tcW w:w="64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740" w:type="dxa"/>
            <w:vAlign w:val="bottom"/>
            <w:gridSpan w:val="3"/>
            <w:vMerge w:val="continue"/>
          </w:tcPr>
          <w:p>
            <w:pPr>
              <w:spacing w:after="0"/>
              <w:rPr>
                <w:sz w:val="7"/>
                <w:szCs w:val="7"/>
                <w:color w:val="auto"/>
              </w:rPr>
            </w:pPr>
          </w:p>
        </w:tc>
        <w:tc>
          <w:tcPr>
            <w:tcW w:w="9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20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540" w:type="dxa"/>
            <w:vAlign w:val="bottom"/>
            <w:tcBorders>
              <w:bottom w:val="single" w:sz="8" w:color="auto"/>
            </w:tcBorders>
            <w:gridSpan w:val="2"/>
            <w:vMerge w:val="continue"/>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Borders>
              <w:bottom w:val="single" w:sz="8" w:color="auto"/>
            </w:tcBorders>
            <w:vMerge w:val="continue"/>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Shares of</w:t>
            </w:r>
          </w:p>
        </w:tc>
        <w:tc>
          <w:tcPr>
            <w:tcW w:w="9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Securities</w:t>
            </w:r>
          </w:p>
        </w:tc>
        <w:tc>
          <w:tcPr>
            <w:tcW w:w="74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Price of</w:t>
            </w:r>
          </w:p>
        </w:tc>
        <w:tc>
          <w:tcPr>
            <w:tcW w:w="90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Stock and</w:t>
            </w:r>
          </w:p>
        </w:tc>
        <w:tc>
          <w:tcPr>
            <w:tcW w:w="0" w:type="dxa"/>
            <w:vAlign w:val="bottom"/>
          </w:tcPr>
          <w:p>
            <w:pPr>
              <w:spacing w:after="0"/>
              <w:rPr>
                <w:sz w:val="1"/>
                <w:szCs w:val="1"/>
                <w:color w:val="auto"/>
              </w:rPr>
            </w:pPr>
          </w:p>
        </w:tc>
      </w:tr>
      <w:tr>
        <w:trPr>
          <w:trHeight w:val="48"/>
        </w:trPr>
        <w:tc>
          <w:tcPr>
            <w:tcW w:w="20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740" w:type="dxa"/>
            <w:vAlign w:val="bottom"/>
            <w:gridSpan w:val="3"/>
            <w:vMerge w:val="continue"/>
          </w:tcPr>
          <w:p>
            <w:pPr>
              <w:spacing w:after="0"/>
              <w:rPr>
                <w:sz w:val="4"/>
                <w:szCs w:val="4"/>
                <w:color w:val="auto"/>
              </w:rPr>
            </w:pPr>
          </w:p>
        </w:tc>
        <w:tc>
          <w:tcPr>
            <w:tcW w:w="9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b w:val="1"/>
                <w:bCs w:val="1"/>
                <w:color w:val="auto"/>
              </w:rPr>
              <w:t>Thresh-</w:t>
            </w: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b w:val="1"/>
                <w:bCs w:val="1"/>
                <w:color w:val="auto"/>
              </w:rPr>
              <w:t>Thresh-</w:t>
            </w: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4"/>
                <w:szCs w:val="14"/>
                <w:b w:val="1"/>
                <w:bCs w:val="1"/>
                <w:color w:val="auto"/>
              </w:rPr>
              <w:t>Stock or</w:t>
            </w:r>
          </w:p>
        </w:tc>
        <w:tc>
          <w:tcPr>
            <w:tcW w:w="920" w:type="dxa"/>
            <w:vAlign w:val="bottom"/>
            <w:gridSpan w:val="2"/>
          </w:tcPr>
          <w:p>
            <w:pPr>
              <w:ind w:left="120"/>
              <w:spacing w:after="0"/>
              <w:rPr>
                <w:sz w:val="20"/>
                <w:szCs w:val="20"/>
                <w:color w:val="auto"/>
              </w:rPr>
            </w:pPr>
            <w:r>
              <w:rPr>
                <w:rFonts w:ascii="Arial" w:cs="Arial" w:eastAsia="Arial" w:hAnsi="Arial"/>
                <w:sz w:val="14"/>
                <w:szCs w:val="14"/>
                <w:b w:val="1"/>
                <w:bCs w:val="1"/>
                <w:color w:val="auto"/>
              </w:rPr>
              <w:t>Underlying</w:t>
            </w:r>
          </w:p>
        </w:tc>
        <w:tc>
          <w:tcPr>
            <w:tcW w:w="740" w:type="dxa"/>
            <w:vAlign w:val="bottom"/>
            <w:gridSpan w:val="3"/>
          </w:tcPr>
          <w:p>
            <w:pPr>
              <w:ind w:left="120"/>
              <w:spacing w:after="0"/>
              <w:rPr>
                <w:sz w:val="20"/>
                <w:szCs w:val="20"/>
                <w:color w:val="auto"/>
              </w:rPr>
            </w:pPr>
            <w:r>
              <w:rPr>
                <w:rFonts w:ascii="Arial" w:cs="Arial" w:eastAsia="Arial" w:hAnsi="Arial"/>
                <w:sz w:val="14"/>
                <w:szCs w:val="14"/>
                <w:b w:val="1"/>
                <w:bCs w:val="1"/>
                <w:color w:val="auto"/>
              </w:rPr>
              <w:t>Option</w:t>
            </w:r>
          </w:p>
        </w:tc>
        <w:tc>
          <w:tcPr>
            <w:tcW w:w="900" w:type="dxa"/>
            <w:vAlign w:val="bottom"/>
            <w:gridSpan w:val="3"/>
          </w:tcPr>
          <w:p>
            <w:pPr>
              <w:ind w:left="120"/>
              <w:spacing w:after="0"/>
              <w:rPr>
                <w:sz w:val="20"/>
                <w:szCs w:val="20"/>
                <w:color w:val="auto"/>
              </w:rPr>
            </w:pPr>
            <w:r>
              <w:rPr>
                <w:rFonts w:ascii="Arial" w:cs="Arial" w:eastAsia="Arial" w:hAnsi="Arial"/>
                <w:sz w:val="14"/>
                <w:szCs w:val="14"/>
                <w:b w:val="1"/>
                <w:bCs w:val="1"/>
                <w:color w:val="auto"/>
              </w:rPr>
              <w:t>Option</w:t>
            </w:r>
          </w:p>
        </w:tc>
        <w:tc>
          <w:tcPr>
            <w:tcW w:w="0" w:type="dxa"/>
            <w:vAlign w:val="bottom"/>
          </w:tcPr>
          <w:p>
            <w:pPr>
              <w:spacing w:after="0"/>
              <w:rPr>
                <w:sz w:val="1"/>
                <w:szCs w:val="1"/>
                <w:color w:val="auto"/>
              </w:rPr>
            </w:pPr>
          </w:p>
        </w:tc>
      </w:tr>
      <w:tr>
        <w:trPr>
          <w:trHeight w:val="162"/>
        </w:trPr>
        <w:tc>
          <w:tcPr>
            <w:tcW w:w="2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b w:val="1"/>
                <w:bCs w:val="1"/>
                <w:color w:val="auto"/>
              </w:rPr>
              <w:t>old</w:t>
            </w:r>
          </w:p>
        </w:tc>
        <w:tc>
          <w:tcPr>
            <w:tcW w:w="920" w:type="dxa"/>
            <w:vAlign w:val="bottom"/>
          </w:tcPr>
          <w:p>
            <w:pPr>
              <w:ind w:left="80"/>
              <w:spacing w:after="0"/>
              <w:rPr>
                <w:sz w:val="20"/>
                <w:szCs w:val="20"/>
                <w:color w:val="auto"/>
              </w:rPr>
            </w:pPr>
            <w:r>
              <w:rPr>
                <w:rFonts w:ascii="Arial" w:cs="Arial" w:eastAsia="Arial" w:hAnsi="Arial"/>
                <w:sz w:val="14"/>
                <w:szCs w:val="14"/>
                <w:b w:val="1"/>
                <w:bCs w:val="1"/>
                <w:color w:val="auto"/>
              </w:rPr>
              <w:t>Target</w:t>
            </w: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Maximum</w:t>
            </w:r>
          </w:p>
        </w:tc>
        <w:tc>
          <w:tcPr>
            <w:tcW w:w="620" w:type="dxa"/>
            <w:vAlign w:val="bottom"/>
          </w:tcPr>
          <w:p>
            <w:pPr>
              <w:spacing w:after="0"/>
              <w:rPr>
                <w:sz w:val="20"/>
                <w:szCs w:val="20"/>
                <w:color w:val="auto"/>
              </w:rPr>
            </w:pPr>
            <w:r>
              <w:rPr>
                <w:rFonts w:ascii="Arial" w:cs="Arial" w:eastAsia="Arial" w:hAnsi="Arial"/>
                <w:sz w:val="14"/>
                <w:szCs w:val="14"/>
                <w:b w:val="1"/>
                <w:bCs w:val="1"/>
                <w:color w:val="auto"/>
              </w:rPr>
              <w:t>old</w:t>
            </w:r>
          </w:p>
        </w:tc>
        <w:tc>
          <w:tcPr>
            <w:tcW w:w="640" w:type="dxa"/>
            <w:vAlign w:val="bottom"/>
          </w:tcPr>
          <w:p>
            <w:pPr>
              <w:ind w:left="80"/>
              <w:spacing w:after="0"/>
              <w:rPr>
                <w:sz w:val="20"/>
                <w:szCs w:val="20"/>
                <w:color w:val="auto"/>
              </w:rPr>
            </w:pPr>
            <w:r>
              <w:rPr>
                <w:rFonts w:ascii="Arial" w:cs="Arial" w:eastAsia="Arial" w:hAnsi="Arial"/>
                <w:sz w:val="14"/>
                <w:szCs w:val="14"/>
                <w:b w:val="1"/>
                <w:bCs w:val="1"/>
                <w:color w:val="auto"/>
              </w:rPr>
              <w:t>Target</w:t>
            </w:r>
          </w:p>
        </w:tc>
        <w:tc>
          <w:tcPr>
            <w:tcW w:w="840" w:type="dxa"/>
            <w:vAlign w:val="bottom"/>
            <w:gridSpan w:val="2"/>
          </w:tcPr>
          <w:p>
            <w:pPr>
              <w:ind w:left="80"/>
              <w:spacing w:after="0"/>
              <w:rPr>
                <w:sz w:val="20"/>
                <w:szCs w:val="20"/>
                <w:color w:val="auto"/>
              </w:rPr>
            </w:pPr>
            <w:r>
              <w:rPr>
                <w:rFonts w:ascii="Arial" w:cs="Arial" w:eastAsia="Arial" w:hAnsi="Arial"/>
                <w:sz w:val="14"/>
                <w:szCs w:val="14"/>
                <w:b w:val="1"/>
                <w:bCs w:val="1"/>
                <w:color w:val="auto"/>
              </w:rPr>
              <w:t>Maximum</w:t>
            </w:r>
          </w:p>
        </w:tc>
        <w:tc>
          <w:tcPr>
            <w:tcW w:w="860" w:type="dxa"/>
            <w:vAlign w:val="bottom"/>
            <w:gridSpan w:val="2"/>
          </w:tcPr>
          <w:p>
            <w:pPr>
              <w:ind w:left="80"/>
              <w:spacing w:after="0"/>
              <w:rPr>
                <w:sz w:val="20"/>
                <w:szCs w:val="20"/>
                <w:color w:val="auto"/>
              </w:rPr>
            </w:pPr>
            <w:r>
              <w:rPr>
                <w:rFonts w:ascii="Arial" w:cs="Arial" w:eastAsia="Arial" w:hAnsi="Arial"/>
                <w:sz w:val="14"/>
                <w:szCs w:val="14"/>
                <w:b w:val="1"/>
                <w:bCs w:val="1"/>
                <w:color w:val="auto"/>
              </w:rPr>
              <w:t>Units</w:t>
            </w:r>
          </w:p>
        </w:tc>
        <w:tc>
          <w:tcPr>
            <w:tcW w:w="920" w:type="dxa"/>
            <w:vAlign w:val="bottom"/>
            <w:gridSpan w:val="2"/>
          </w:tcPr>
          <w:p>
            <w:pPr>
              <w:ind w:left="120"/>
              <w:spacing w:after="0"/>
              <w:rPr>
                <w:sz w:val="20"/>
                <w:szCs w:val="20"/>
                <w:color w:val="auto"/>
              </w:rPr>
            </w:pPr>
            <w:r>
              <w:rPr>
                <w:rFonts w:ascii="Arial" w:cs="Arial" w:eastAsia="Arial" w:hAnsi="Arial"/>
                <w:sz w:val="14"/>
                <w:szCs w:val="14"/>
                <w:b w:val="1"/>
                <w:bCs w:val="1"/>
                <w:color w:val="auto"/>
              </w:rPr>
              <w:t>Options</w:t>
            </w:r>
          </w:p>
        </w:tc>
        <w:tc>
          <w:tcPr>
            <w:tcW w:w="740" w:type="dxa"/>
            <w:vAlign w:val="bottom"/>
            <w:gridSpan w:val="3"/>
          </w:tcPr>
          <w:p>
            <w:pPr>
              <w:ind w:left="120"/>
              <w:spacing w:after="0"/>
              <w:rPr>
                <w:sz w:val="20"/>
                <w:szCs w:val="20"/>
                <w:color w:val="auto"/>
              </w:rPr>
            </w:pPr>
            <w:r>
              <w:rPr>
                <w:rFonts w:ascii="Arial" w:cs="Arial" w:eastAsia="Arial" w:hAnsi="Arial"/>
                <w:sz w:val="14"/>
                <w:szCs w:val="14"/>
                <w:b w:val="1"/>
                <w:bCs w:val="1"/>
                <w:color w:val="auto"/>
              </w:rPr>
              <w:t>Awards</w:t>
            </w:r>
          </w:p>
        </w:tc>
        <w:tc>
          <w:tcPr>
            <w:tcW w:w="900" w:type="dxa"/>
            <w:vAlign w:val="bottom"/>
            <w:gridSpan w:val="3"/>
          </w:tcPr>
          <w:p>
            <w:pPr>
              <w:ind w:left="120"/>
              <w:spacing w:after="0"/>
              <w:rPr>
                <w:sz w:val="20"/>
                <w:szCs w:val="20"/>
                <w:color w:val="auto"/>
              </w:rPr>
            </w:pPr>
            <w:r>
              <w:rPr>
                <w:rFonts w:ascii="Arial" w:cs="Arial" w:eastAsia="Arial" w:hAnsi="Arial"/>
                <w:sz w:val="14"/>
                <w:szCs w:val="14"/>
                <w:b w:val="1"/>
                <w:bCs w:val="1"/>
                <w:color w:val="auto"/>
              </w:rPr>
              <w:t>Awards</w:t>
            </w:r>
          </w:p>
        </w:tc>
        <w:tc>
          <w:tcPr>
            <w:tcW w:w="0" w:type="dxa"/>
            <w:vAlign w:val="bottom"/>
          </w:tcPr>
          <w:p>
            <w:pPr>
              <w:spacing w:after="0"/>
              <w:rPr>
                <w:sz w:val="1"/>
                <w:szCs w:val="1"/>
                <w:color w:val="auto"/>
              </w:rPr>
            </w:pPr>
          </w:p>
        </w:tc>
      </w:tr>
      <w:tr>
        <w:trPr>
          <w:trHeight w:val="189"/>
        </w:trPr>
        <w:tc>
          <w:tcPr>
            <w:tcW w:w="2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9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Type</w:t>
            </w:r>
          </w:p>
        </w:tc>
        <w:tc>
          <w:tcPr>
            <w:tcW w:w="7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($)(1)</w:t>
            </w:r>
          </w:p>
        </w:tc>
        <w:tc>
          <w:tcPr>
            <w:tcW w:w="9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(#)(1)</w:t>
            </w:r>
          </w:p>
        </w:tc>
        <w:tc>
          <w:tcPr>
            <w:tcW w:w="6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w:t>
            </w:r>
          </w:p>
        </w:tc>
        <w:tc>
          <w:tcPr>
            <w:tcW w:w="40" w:type="dxa"/>
            <w:vAlign w:val="bottom"/>
            <w:tcBorders>
              <w:bottom w:val="single" w:sz="8" w:color="D8D8D8"/>
            </w:tcBorders>
          </w:tcPr>
          <w:p>
            <w:pPr>
              <w:spacing w:after="0"/>
              <w:rPr>
                <w:sz w:val="16"/>
                <w:szCs w:val="16"/>
                <w:color w:val="auto"/>
              </w:rPr>
            </w:pPr>
          </w:p>
        </w:tc>
        <w:tc>
          <w:tcPr>
            <w:tcW w:w="8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w:t>
            </w:r>
          </w:p>
        </w:tc>
        <w:tc>
          <w:tcPr>
            <w:tcW w:w="40" w:type="dxa"/>
            <w:vAlign w:val="bottom"/>
            <w:tcBorders>
              <w:bottom w:val="single" w:sz="8" w:color="D8D8D8"/>
            </w:tcBorders>
          </w:tcPr>
          <w:p>
            <w:pPr>
              <w:spacing w:after="0"/>
              <w:rPr>
                <w:sz w:val="16"/>
                <w:szCs w:val="16"/>
                <w:color w:val="auto"/>
              </w:rPr>
            </w:pPr>
          </w:p>
        </w:tc>
        <w:tc>
          <w:tcPr>
            <w:tcW w:w="70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($/Sh)</w:t>
            </w:r>
          </w:p>
        </w:tc>
        <w:tc>
          <w:tcPr>
            <w:tcW w:w="40" w:type="dxa"/>
            <w:vAlign w:val="bottom"/>
            <w:tcBorders>
              <w:bottom w:val="single" w:sz="8" w:color="D8D8D8"/>
            </w:tcBorders>
          </w:tcPr>
          <w:p>
            <w:pPr>
              <w:spacing w:after="0"/>
              <w:rPr>
                <w:sz w:val="16"/>
                <w:szCs w:val="16"/>
                <w:color w:val="auto"/>
              </w:rPr>
            </w:pPr>
          </w:p>
        </w:tc>
        <w:tc>
          <w:tcPr>
            <w:tcW w:w="3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auto"/>
            </w:tcBorders>
          </w:tcPr>
          <w:p>
            <w:pPr>
              <w:spacing w:after="0"/>
              <w:rPr>
                <w:sz w:val="16"/>
                <w:szCs w:val="16"/>
                <w:color w:val="auto"/>
              </w:rPr>
            </w:pPr>
          </w:p>
        </w:tc>
        <w:tc>
          <w:tcPr>
            <w:tcW w:w="40" w:type="dxa"/>
            <w:vAlign w:val="bottom"/>
            <w:tcBorders>
              <w:bottom w:val="single" w:sz="8" w:color="D8D8D8"/>
            </w:tcBorders>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00" w:type="dxa"/>
            <w:vAlign w:val="bottom"/>
            <w:shd w:val="clear" w:color="auto" w:fill="D8D8D8"/>
          </w:tcPr>
          <w:p>
            <w:pPr>
              <w:spacing w:after="0" w:line="155" w:lineRule="exact"/>
              <w:rPr>
                <w:sz w:val="20"/>
                <w:szCs w:val="20"/>
                <w:color w:val="auto"/>
              </w:rPr>
            </w:pPr>
            <w:r>
              <w:rPr>
                <w:rFonts w:ascii="Arial" w:cs="Arial" w:eastAsia="Arial" w:hAnsi="Arial"/>
                <w:sz w:val="14"/>
                <w:szCs w:val="14"/>
                <w:color w:val="auto"/>
              </w:rPr>
              <w:t>Robert A. Livingston</w:t>
            </w:r>
          </w:p>
        </w:tc>
        <w:tc>
          <w:tcPr>
            <w:tcW w:w="960" w:type="dxa"/>
            <w:vAlign w:val="bottom"/>
            <w:shd w:val="clear" w:color="auto" w:fill="D8D8D8"/>
          </w:tcPr>
          <w:p>
            <w:pPr>
              <w:ind w:left="120"/>
              <w:spacing w:after="0" w:line="155" w:lineRule="exact"/>
              <w:rPr>
                <w:sz w:val="20"/>
                <w:szCs w:val="20"/>
                <w:color w:val="auto"/>
              </w:rPr>
            </w:pPr>
            <w:r>
              <w:rPr>
                <w:rFonts w:ascii="Arial" w:cs="Arial" w:eastAsia="Arial" w:hAnsi="Arial"/>
                <w:sz w:val="14"/>
                <w:szCs w:val="14"/>
                <w:color w:val="auto"/>
              </w:rPr>
              <w:t>SSAR (2)</w:t>
            </w:r>
          </w:p>
        </w:tc>
        <w:tc>
          <w:tcPr>
            <w:tcW w:w="120" w:type="dxa"/>
            <w:vAlign w:val="bottom"/>
            <w:shd w:val="clear" w:color="auto" w:fill="D8D8D8"/>
          </w:tcPr>
          <w:p>
            <w:pPr>
              <w:spacing w:after="0"/>
              <w:rPr>
                <w:sz w:val="13"/>
                <w:szCs w:val="13"/>
                <w:color w:val="auto"/>
              </w:rPr>
            </w:pPr>
          </w:p>
        </w:tc>
        <w:tc>
          <w:tcPr>
            <w:tcW w:w="620" w:type="dxa"/>
            <w:vAlign w:val="bottom"/>
            <w:shd w:val="clear" w:color="auto" w:fill="D8D8D8"/>
          </w:tcPr>
          <w:p>
            <w:pPr>
              <w:spacing w:after="0"/>
              <w:rPr>
                <w:sz w:val="13"/>
                <w:szCs w:val="13"/>
                <w:color w:val="auto"/>
              </w:rPr>
            </w:pPr>
          </w:p>
        </w:tc>
        <w:tc>
          <w:tcPr>
            <w:tcW w:w="920" w:type="dxa"/>
            <w:vAlign w:val="bottom"/>
            <w:shd w:val="clear" w:color="auto" w:fill="D8D8D8"/>
          </w:tcPr>
          <w:p>
            <w:pPr>
              <w:spacing w:after="0"/>
              <w:rPr>
                <w:sz w:val="13"/>
                <w:szCs w:val="13"/>
                <w:color w:val="auto"/>
              </w:rPr>
            </w:pPr>
          </w:p>
        </w:tc>
        <w:tc>
          <w:tcPr>
            <w:tcW w:w="700" w:type="dxa"/>
            <w:vAlign w:val="bottom"/>
            <w:shd w:val="clear" w:color="auto" w:fill="D8D8D8"/>
          </w:tcPr>
          <w:p>
            <w:pPr>
              <w:spacing w:after="0"/>
              <w:rPr>
                <w:sz w:val="13"/>
                <w:szCs w:val="13"/>
                <w:color w:val="auto"/>
              </w:rPr>
            </w:pPr>
          </w:p>
        </w:tc>
        <w:tc>
          <w:tcPr>
            <w:tcW w:w="160" w:type="dxa"/>
            <w:vAlign w:val="bottom"/>
            <w:shd w:val="clear" w:color="auto" w:fill="D8D8D8"/>
          </w:tcPr>
          <w:p>
            <w:pPr>
              <w:spacing w:after="0"/>
              <w:rPr>
                <w:sz w:val="13"/>
                <w:szCs w:val="13"/>
                <w:color w:val="auto"/>
              </w:rPr>
            </w:pPr>
          </w:p>
        </w:tc>
        <w:tc>
          <w:tcPr>
            <w:tcW w:w="620" w:type="dxa"/>
            <w:vAlign w:val="bottom"/>
            <w:shd w:val="clear" w:color="auto" w:fill="D8D8D8"/>
          </w:tcPr>
          <w:p>
            <w:pPr>
              <w:spacing w:after="0"/>
              <w:rPr>
                <w:sz w:val="13"/>
                <w:szCs w:val="13"/>
                <w:color w:val="auto"/>
              </w:rPr>
            </w:pPr>
          </w:p>
        </w:tc>
        <w:tc>
          <w:tcPr>
            <w:tcW w:w="640" w:type="dxa"/>
            <w:vAlign w:val="bottom"/>
            <w:shd w:val="clear" w:color="auto" w:fill="D8D8D8"/>
          </w:tcPr>
          <w:p>
            <w:pPr>
              <w:spacing w:after="0"/>
              <w:rPr>
                <w:sz w:val="13"/>
                <w:szCs w:val="13"/>
                <w:color w:val="auto"/>
              </w:rPr>
            </w:pPr>
          </w:p>
        </w:tc>
        <w:tc>
          <w:tcPr>
            <w:tcW w:w="760" w:type="dxa"/>
            <w:vAlign w:val="bottom"/>
            <w:shd w:val="clear" w:color="auto" w:fill="D8D8D8"/>
          </w:tcPr>
          <w:p>
            <w:pPr>
              <w:spacing w:after="0"/>
              <w:rPr>
                <w:sz w:val="13"/>
                <w:szCs w:val="13"/>
                <w:color w:val="auto"/>
              </w:rPr>
            </w:pPr>
          </w:p>
        </w:tc>
        <w:tc>
          <w:tcPr>
            <w:tcW w:w="80" w:type="dxa"/>
            <w:vAlign w:val="bottom"/>
            <w:shd w:val="clear" w:color="auto" w:fill="D8D8D8"/>
          </w:tcPr>
          <w:p>
            <w:pPr>
              <w:spacing w:after="0"/>
              <w:rPr>
                <w:sz w:val="13"/>
                <w:szCs w:val="13"/>
                <w:color w:val="auto"/>
              </w:rPr>
            </w:pPr>
          </w:p>
        </w:tc>
        <w:tc>
          <w:tcPr>
            <w:tcW w:w="820" w:type="dxa"/>
            <w:vAlign w:val="bottom"/>
            <w:shd w:val="clear" w:color="auto" w:fill="D8D8D8"/>
          </w:tcPr>
          <w:p>
            <w:pPr>
              <w:spacing w:after="0"/>
              <w:rPr>
                <w:sz w:val="13"/>
                <w:szCs w:val="13"/>
                <w:color w:val="auto"/>
              </w:rPr>
            </w:pPr>
          </w:p>
        </w:tc>
        <w:tc>
          <w:tcPr>
            <w:tcW w:w="40" w:type="dxa"/>
            <w:vAlign w:val="bottom"/>
            <w:shd w:val="clear" w:color="auto" w:fill="D8D8D8"/>
          </w:tcPr>
          <w:p>
            <w:pPr>
              <w:spacing w:after="0"/>
              <w:rPr>
                <w:sz w:val="13"/>
                <w:szCs w:val="13"/>
                <w:color w:val="auto"/>
              </w:rPr>
            </w:pPr>
          </w:p>
        </w:tc>
        <w:tc>
          <w:tcPr>
            <w:tcW w:w="920" w:type="dxa"/>
            <w:vAlign w:val="bottom"/>
            <w:gridSpan w:val="2"/>
            <w:shd w:val="clear" w:color="auto" w:fill="D8D8D8"/>
          </w:tcPr>
          <w:p>
            <w:pPr>
              <w:jc w:val="right"/>
              <w:ind w:right="40"/>
              <w:spacing w:after="0" w:line="155" w:lineRule="exact"/>
              <w:rPr>
                <w:sz w:val="20"/>
                <w:szCs w:val="20"/>
                <w:color w:val="auto"/>
              </w:rPr>
            </w:pPr>
            <w:r>
              <w:rPr>
                <w:rFonts w:ascii="Arial" w:cs="Arial" w:eastAsia="Arial" w:hAnsi="Arial"/>
                <w:sz w:val="14"/>
                <w:szCs w:val="14"/>
                <w:color w:val="auto"/>
              </w:rPr>
              <w:t>204,339</w:t>
            </w:r>
          </w:p>
        </w:tc>
        <w:tc>
          <w:tcPr>
            <w:tcW w:w="280" w:type="dxa"/>
            <w:vAlign w:val="bottom"/>
            <w:shd w:val="clear" w:color="auto" w:fill="D8D8D8"/>
          </w:tcPr>
          <w:p>
            <w:pPr>
              <w:ind w:left="120"/>
              <w:spacing w:after="0" w:line="155" w:lineRule="exact"/>
              <w:rPr>
                <w:sz w:val="20"/>
                <w:szCs w:val="20"/>
                <w:color w:val="auto"/>
              </w:rPr>
            </w:pPr>
            <w:r>
              <w:rPr>
                <w:rFonts w:ascii="Arial" w:cs="Arial" w:eastAsia="Arial" w:hAnsi="Arial"/>
                <w:sz w:val="14"/>
                <w:szCs w:val="14"/>
                <w:color w:val="auto"/>
              </w:rPr>
              <w:t>$</w:t>
            </w:r>
          </w:p>
        </w:tc>
        <w:tc>
          <w:tcPr>
            <w:tcW w:w="460" w:type="dxa"/>
            <w:vAlign w:val="bottom"/>
            <w:gridSpan w:val="2"/>
            <w:shd w:val="clear" w:color="auto" w:fill="D8D8D8"/>
          </w:tcPr>
          <w:p>
            <w:pPr>
              <w:jc w:val="right"/>
              <w:ind w:right="40"/>
              <w:spacing w:after="0" w:line="155" w:lineRule="exact"/>
              <w:rPr>
                <w:sz w:val="20"/>
                <w:szCs w:val="20"/>
                <w:color w:val="auto"/>
              </w:rPr>
            </w:pPr>
            <w:r>
              <w:rPr>
                <w:rFonts w:ascii="Arial" w:cs="Arial" w:eastAsia="Arial" w:hAnsi="Arial"/>
                <w:sz w:val="14"/>
                <w:szCs w:val="14"/>
                <w:color w:val="auto"/>
              </w:rPr>
              <w:t>79.28</w:t>
            </w:r>
          </w:p>
        </w:tc>
        <w:tc>
          <w:tcPr>
            <w:tcW w:w="860" w:type="dxa"/>
            <w:vAlign w:val="bottom"/>
            <w:gridSpan w:val="2"/>
            <w:shd w:val="clear" w:color="auto" w:fill="D8D8D8"/>
          </w:tcPr>
          <w:p>
            <w:pPr>
              <w:ind w:left="120"/>
              <w:spacing w:after="0" w:line="155" w:lineRule="exact"/>
              <w:rPr>
                <w:sz w:val="20"/>
                <w:szCs w:val="20"/>
                <w:color w:val="auto"/>
              </w:rPr>
            </w:pPr>
            <w:r>
              <w:rPr>
                <w:rFonts w:ascii="Arial" w:cs="Arial" w:eastAsia="Arial" w:hAnsi="Arial"/>
                <w:sz w:val="14"/>
                <w:szCs w:val="14"/>
                <w:color w:val="auto"/>
              </w:rPr>
              <w:t>$2,580,618</w:t>
            </w:r>
          </w:p>
        </w:tc>
        <w:tc>
          <w:tcPr>
            <w:tcW w:w="40" w:type="dxa"/>
            <w:vAlign w:val="bottom"/>
            <w:shd w:val="clear" w:color="auto" w:fill="D8D8D8"/>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00" w:type="dxa"/>
            <w:vAlign w:val="bottom"/>
            <w:shd w:val="clear" w:color="auto" w:fill="D8D8D8"/>
          </w:tcPr>
          <w:p>
            <w:pPr>
              <w:spacing w:after="0"/>
              <w:rPr>
                <w:sz w:val="15"/>
                <w:szCs w:val="15"/>
                <w:color w:val="auto"/>
              </w:rPr>
            </w:pPr>
          </w:p>
        </w:tc>
        <w:tc>
          <w:tcPr>
            <w:tcW w:w="960" w:type="dxa"/>
            <w:vAlign w:val="bottom"/>
            <w:shd w:val="clear" w:color="auto" w:fill="D8D8D8"/>
          </w:tcPr>
          <w:p>
            <w:pPr>
              <w:ind w:left="120"/>
              <w:spacing w:after="0"/>
              <w:rPr>
                <w:sz w:val="20"/>
                <w:szCs w:val="20"/>
                <w:color w:val="auto"/>
              </w:rPr>
            </w:pPr>
            <w:r>
              <w:rPr>
                <w:rFonts w:ascii="Arial" w:cs="Arial" w:eastAsia="Arial" w:hAnsi="Arial"/>
                <w:sz w:val="14"/>
                <w:szCs w:val="14"/>
                <w:color w:val="auto"/>
              </w:rPr>
              <w:t>Performance</w:t>
            </w:r>
          </w:p>
        </w:tc>
        <w:tc>
          <w:tcPr>
            <w:tcW w:w="120" w:type="dxa"/>
            <w:vAlign w:val="bottom"/>
            <w:shd w:val="clear" w:color="auto" w:fill="D8D8D8"/>
          </w:tcPr>
          <w:p>
            <w:pPr>
              <w:spacing w:after="0"/>
              <w:rPr>
                <w:sz w:val="15"/>
                <w:szCs w:val="15"/>
                <w:color w:val="auto"/>
              </w:rPr>
            </w:pPr>
          </w:p>
        </w:tc>
        <w:tc>
          <w:tcPr>
            <w:tcW w:w="620" w:type="dxa"/>
            <w:vAlign w:val="bottom"/>
            <w:shd w:val="clear" w:color="auto" w:fill="D8D8D8"/>
          </w:tcPr>
          <w:p>
            <w:pPr>
              <w:spacing w:after="0"/>
              <w:rPr>
                <w:sz w:val="15"/>
                <w:szCs w:val="15"/>
                <w:color w:val="auto"/>
              </w:rPr>
            </w:pPr>
          </w:p>
        </w:tc>
        <w:tc>
          <w:tcPr>
            <w:tcW w:w="920" w:type="dxa"/>
            <w:vAlign w:val="bottom"/>
            <w:shd w:val="clear" w:color="auto" w:fill="D8D8D8"/>
          </w:tcPr>
          <w:p>
            <w:pPr>
              <w:spacing w:after="0"/>
              <w:rPr>
                <w:sz w:val="15"/>
                <w:szCs w:val="15"/>
                <w:color w:val="auto"/>
              </w:rPr>
            </w:pPr>
          </w:p>
        </w:tc>
        <w:tc>
          <w:tcPr>
            <w:tcW w:w="700" w:type="dxa"/>
            <w:vAlign w:val="bottom"/>
            <w:shd w:val="clear" w:color="auto" w:fill="D8D8D8"/>
          </w:tcPr>
          <w:p>
            <w:pPr>
              <w:spacing w:after="0"/>
              <w:rPr>
                <w:sz w:val="15"/>
                <w:szCs w:val="15"/>
                <w:color w:val="auto"/>
              </w:rPr>
            </w:pPr>
          </w:p>
        </w:tc>
        <w:tc>
          <w:tcPr>
            <w:tcW w:w="160" w:type="dxa"/>
            <w:vAlign w:val="bottom"/>
            <w:shd w:val="clear" w:color="auto" w:fill="D8D8D8"/>
          </w:tcPr>
          <w:p>
            <w:pPr>
              <w:spacing w:after="0"/>
              <w:rPr>
                <w:sz w:val="15"/>
                <w:szCs w:val="15"/>
                <w:color w:val="auto"/>
              </w:rPr>
            </w:pPr>
          </w:p>
        </w:tc>
        <w:tc>
          <w:tcPr>
            <w:tcW w:w="620" w:type="dxa"/>
            <w:vAlign w:val="bottom"/>
            <w:shd w:val="clear" w:color="auto" w:fill="D8D8D8"/>
          </w:tcPr>
          <w:p>
            <w:pPr>
              <w:spacing w:after="0"/>
              <w:rPr>
                <w:sz w:val="15"/>
                <w:szCs w:val="15"/>
                <w:color w:val="auto"/>
              </w:rPr>
            </w:pPr>
          </w:p>
        </w:tc>
        <w:tc>
          <w:tcPr>
            <w:tcW w:w="640" w:type="dxa"/>
            <w:vAlign w:val="bottom"/>
            <w:shd w:val="clear" w:color="auto" w:fill="D8D8D8"/>
          </w:tcPr>
          <w:p>
            <w:pPr>
              <w:spacing w:after="0"/>
              <w:rPr>
                <w:sz w:val="15"/>
                <w:szCs w:val="15"/>
                <w:color w:val="auto"/>
              </w:rPr>
            </w:pPr>
          </w:p>
        </w:tc>
        <w:tc>
          <w:tcPr>
            <w:tcW w:w="760" w:type="dxa"/>
            <w:vAlign w:val="bottom"/>
            <w:shd w:val="clear" w:color="auto" w:fill="D8D8D8"/>
          </w:tcPr>
          <w:p>
            <w:pPr>
              <w:spacing w:after="0"/>
              <w:rPr>
                <w:sz w:val="15"/>
                <w:szCs w:val="15"/>
                <w:color w:val="auto"/>
              </w:rPr>
            </w:pPr>
          </w:p>
        </w:tc>
        <w:tc>
          <w:tcPr>
            <w:tcW w:w="80" w:type="dxa"/>
            <w:vAlign w:val="bottom"/>
            <w:shd w:val="clear" w:color="auto" w:fill="D8D8D8"/>
          </w:tcPr>
          <w:p>
            <w:pPr>
              <w:spacing w:after="0"/>
              <w:rPr>
                <w:sz w:val="15"/>
                <w:szCs w:val="15"/>
                <w:color w:val="auto"/>
              </w:rPr>
            </w:pPr>
          </w:p>
        </w:tc>
        <w:tc>
          <w:tcPr>
            <w:tcW w:w="820" w:type="dxa"/>
            <w:vAlign w:val="bottom"/>
            <w:shd w:val="clear" w:color="auto" w:fill="D8D8D8"/>
          </w:tcPr>
          <w:p>
            <w:pPr>
              <w:spacing w:after="0"/>
              <w:rPr>
                <w:sz w:val="15"/>
                <w:szCs w:val="15"/>
                <w:color w:val="auto"/>
              </w:rPr>
            </w:pPr>
          </w:p>
        </w:tc>
        <w:tc>
          <w:tcPr>
            <w:tcW w:w="40" w:type="dxa"/>
            <w:vAlign w:val="bottom"/>
            <w:shd w:val="clear" w:color="auto" w:fill="D8D8D8"/>
          </w:tcPr>
          <w:p>
            <w:pPr>
              <w:spacing w:after="0"/>
              <w:rPr>
                <w:sz w:val="15"/>
                <w:szCs w:val="15"/>
                <w:color w:val="auto"/>
              </w:rPr>
            </w:pPr>
          </w:p>
        </w:tc>
        <w:tc>
          <w:tcPr>
            <w:tcW w:w="880" w:type="dxa"/>
            <w:vAlign w:val="bottom"/>
            <w:shd w:val="clear" w:color="auto" w:fill="D8D8D8"/>
          </w:tcPr>
          <w:p>
            <w:pPr>
              <w:spacing w:after="0"/>
              <w:rPr>
                <w:sz w:val="15"/>
                <w:szCs w:val="15"/>
                <w:color w:val="auto"/>
              </w:rPr>
            </w:pPr>
          </w:p>
        </w:tc>
        <w:tc>
          <w:tcPr>
            <w:tcW w:w="40" w:type="dxa"/>
            <w:vAlign w:val="bottom"/>
            <w:shd w:val="clear" w:color="auto" w:fill="D8D8D8"/>
          </w:tcPr>
          <w:p>
            <w:pPr>
              <w:spacing w:after="0"/>
              <w:rPr>
                <w:sz w:val="15"/>
                <w:szCs w:val="15"/>
                <w:color w:val="auto"/>
              </w:rPr>
            </w:pPr>
          </w:p>
        </w:tc>
        <w:tc>
          <w:tcPr>
            <w:tcW w:w="280" w:type="dxa"/>
            <w:vAlign w:val="bottom"/>
            <w:shd w:val="clear" w:color="auto" w:fill="D8D8D8"/>
          </w:tcPr>
          <w:p>
            <w:pPr>
              <w:spacing w:after="0"/>
              <w:rPr>
                <w:sz w:val="15"/>
                <w:szCs w:val="15"/>
                <w:color w:val="auto"/>
              </w:rPr>
            </w:pPr>
          </w:p>
        </w:tc>
        <w:tc>
          <w:tcPr>
            <w:tcW w:w="420" w:type="dxa"/>
            <w:vAlign w:val="bottom"/>
            <w:shd w:val="clear" w:color="auto" w:fill="D8D8D8"/>
          </w:tcPr>
          <w:p>
            <w:pPr>
              <w:spacing w:after="0"/>
              <w:rPr>
                <w:sz w:val="15"/>
                <w:szCs w:val="15"/>
                <w:color w:val="auto"/>
              </w:rPr>
            </w:pPr>
          </w:p>
        </w:tc>
        <w:tc>
          <w:tcPr>
            <w:tcW w:w="40" w:type="dxa"/>
            <w:vAlign w:val="bottom"/>
            <w:shd w:val="clear" w:color="auto" w:fill="D8D8D8"/>
          </w:tcPr>
          <w:p>
            <w:pPr>
              <w:spacing w:after="0"/>
              <w:rPr>
                <w:sz w:val="15"/>
                <w:szCs w:val="15"/>
                <w:color w:val="auto"/>
              </w:rPr>
            </w:pPr>
          </w:p>
        </w:tc>
        <w:tc>
          <w:tcPr>
            <w:tcW w:w="320" w:type="dxa"/>
            <w:vAlign w:val="bottom"/>
            <w:shd w:val="clear" w:color="auto" w:fill="D8D8D8"/>
          </w:tcPr>
          <w:p>
            <w:pPr>
              <w:spacing w:after="0"/>
              <w:rPr>
                <w:sz w:val="15"/>
                <w:szCs w:val="15"/>
                <w:color w:val="auto"/>
              </w:rPr>
            </w:pPr>
          </w:p>
        </w:tc>
        <w:tc>
          <w:tcPr>
            <w:tcW w:w="540" w:type="dxa"/>
            <w:vAlign w:val="bottom"/>
            <w:shd w:val="clear" w:color="auto" w:fill="D8D8D8"/>
          </w:tcPr>
          <w:p>
            <w:pPr>
              <w:spacing w:after="0"/>
              <w:rPr>
                <w:sz w:val="15"/>
                <w:szCs w:val="15"/>
                <w:color w:val="auto"/>
              </w:rPr>
            </w:pPr>
          </w:p>
        </w:tc>
        <w:tc>
          <w:tcPr>
            <w:tcW w:w="40" w:type="dxa"/>
            <w:vAlign w:val="bottom"/>
            <w:shd w:val="clear" w:color="auto" w:fill="D8D8D8"/>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00" w:type="dxa"/>
            <w:vAlign w:val="bottom"/>
            <w:shd w:val="clear" w:color="auto" w:fill="D8D8D8"/>
          </w:tcPr>
          <w:p>
            <w:pPr>
              <w:spacing w:after="0"/>
              <w:rPr>
                <w:sz w:val="14"/>
                <w:szCs w:val="14"/>
                <w:color w:val="auto"/>
              </w:rPr>
            </w:pPr>
          </w:p>
        </w:tc>
        <w:tc>
          <w:tcPr>
            <w:tcW w:w="960" w:type="dxa"/>
            <w:vAlign w:val="bottom"/>
            <w:shd w:val="clear" w:color="auto" w:fill="D8D8D8"/>
          </w:tcPr>
          <w:p>
            <w:pPr>
              <w:ind w:left="120"/>
              <w:spacing w:after="0"/>
              <w:rPr>
                <w:sz w:val="20"/>
                <w:szCs w:val="20"/>
                <w:color w:val="auto"/>
              </w:rPr>
            </w:pPr>
            <w:r>
              <w:rPr>
                <w:rFonts w:ascii="Arial" w:cs="Arial" w:eastAsia="Arial" w:hAnsi="Arial"/>
                <w:sz w:val="14"/>
                <w:szCs w:val="14"/>
                <w:color w:val="auto"/>
              </w:rPr>
              <w:t>Shares (3)</w:t>
            </w:r>
          </w:p>
        </w:tc>
        <w:tc>
          <w:tcPr>
            <w:tcW w:w="120" w:type="dxa"/>
            <w:vAlign w:val="bottom"/>
            <w:shd w:val="clear" w:color="auto" w:fill="D8D8D8"/>
          </w:tcPr>
          <w:p>
            <w:pPr>
              <w:spacing w:after="0"/>
              <w:rPr>
                <w:sz w:val="14"/>
                <w:szCs w:val="14"/>
                <w:color w:val="auto"/>
              </w:rPr>
            </w:pPr>
          </w:p>
        </w:tc>
        <w:tc>
          <w:tcPr>
            <w:tcW w:w="620" w:type="dxa"/>
            <w:vAlign w:val="bottom"/>
            <w:shd w:val="clear" w:color="auto" w:fill="D8D8D8"/>
          </w:tcPr>
          <w:p>
            <w:pPr>
              <w:spacing w:after="0"/>
              <w:rPr>
                <w:sz w:val="14"/>
                <w:szCs w:val="14"/>
                <w:color w:val="auto"/>
              </w:rPr>
            </w:pPr>
          </w:p>
        </w:tc>
        <w:tc>
          <w:tcPr>
            <w:tcW w:w="920" w:type="dxa"/>
            <w:vAlign w:val="bottom"/>
            <w:shd w:val="clear" w:color="auto" w:fill="D8D8D8"/>
          </w:tcPr>
          <w:p>
            <w:pPr>
              <w:spacing w:after="0"/>
              <w:rPr>
                <w:sz w:val="14"/>
                <w:szCs w:val="14"/>
                <w:color w:val="auto"/>
              </w:rPr>
            </w:pPr>
          </w:p>
        </w:tc>
        <w:tc>
          <w:tcPr>
            <w:tcW w:w="700" w:type="dxa"/>
            <w:vAlign w:val="bottom"/>
            <w:shd w:val="clear" w:color="auto" w:fill="D8D8D8"/>
          </w:tcPr>
          <w:p>
            <w:pPr>
              <w:spacing w:after="0"/>
              <w:rPr>
                <w:sz w:val="14"/>
                <w:szCs w:val="14"/>
                <w:color w:val="auto"/>
              </w:rPr>
            </w:pPr>
          </w:p>
        </w:tc>
        <w:tc>
          <w:tcPr>
            <w:tcW w:w="160" w:type="dxa"/>
            <w:vAlign w:val="bottom"/>
            <w:shd w:val="clear" w:color="auto" w:fill="D8D8D8"/>
          </w:tcPr>
          <w:p>
            <w:pPr>
              <w:spacing w:after="0"/>
              <w:rPr>
                <w:sz w:val="14"/>
                <w:szCs w:val="14"/>
                <w:color w:val="auto"/>
              </w:rPr>
            </w:pPr>
          </w:p>
        </w:tc>
        <w:tc>
          <w:tcPr>
            <w:tcW w:w="620" w:type="dxa"/>
            <w:vAlign w:val="bottom"/>
            <w:shd w:val="clear" w:color="auto" w:fill="D8D8D8"/>
          </w:tcPr>
          <w:p>
            <w:pPr>
              <w:spacing w:after="0"/>
              <w:rPr>
                <w:sz w:val="14"/>
                <w:szCs w:val="14"/>
                <w:color w:val="auto"/>
              </w:rPr>
            </w:pPr>
          </w:p>
        </w:tc>
        <w:tc>
          <w:tcPr>
            <w:tcW w:w="640" w:type="dxa"/>
            <w:vAlign w:val="bottom"/>
            <w:shd w:val="clear" w:color="auto" w:fill="D8D8D8"/>
          </w:tcPr>
          <w:p>
            <w:pPr>
              <w:jc w:val="right"/>
              <w:ind w:right="8"/>
              <w:spacing w:after="0"/>
              <w:rPr>
                <w:sz w:val="20"/>
                <w:szCs w:val="20"/>
                <w:color w:val="auto"/>
              </w:rPr>
            </w:pPr>
            <w:r>
              <w:rPr>
                <w:rFonts w:ascii="Arial" w:cs="Arial" w:eastAsia="Arial" w:hAnsi="Arial"/>
                <w:sz w:val="14"/>
                <w:szCs w:val="14"/>
                <w:color w:val="auto"/>
              </w:rPr>
              <w:t>17,028</w:t>
            </w:r>
          </w:p>
        </w:tc>
        <w:tc>
          <w:tcPr>
            <w:tcW w:w="840" w:type="dxa"/>
            <w:vAlign w:val="bottom"/>
            <w:gridSpan w:val="2"/>
            <w:shd w:val="clear" w:color="auto" w:fill="D8D8D8"/>
          </w:tcPr>
          <w:p>
            <w:pPr>
              <w:jc w:val="right"/>
              <w:ind w:right="80"/>
              <w:spacing w:after="0"/>
              <w:rPr>
                <w:sz w:val="20"/>
                <w:szCs w:val="20"/>
                <w:color w:val="auto"/>
              </w:rPr>
            </w:pPr>
            <w:r>
              <w:rPr>
                <w:rFonts w:ascii="Arial" w:cs="Arial" w:eastAsia="Arial" w:hAnsi="Arial"/>
                <w:sz w:val="14"/>
                <w:szCs w:val="14"/>
                <w:color w:val="auto"/>
              </w:rPr>
              <w:t>68,112</w:t>
            </w:r>
          </w:p>
        </w:tc>
        <w:tc>
          <w:tcPr>
            <w:tcW w:w="820" w:type="dxa"/>
            <w:vAlign w:val="bottom"/>
            <w:shd w:val="clear" w:color="auto" w:fill="D8D8D8"/>
          </w:tcPr>
          <w:p>
            <w:pPr>
              <w:spacing w:after="0"/>
              <w:rPr>
                <w:sz w:val="14"/>
                <w:szCs w:val="14"/>
                <w:color w:val="auto"/>
              </w:rPr>
            </w:pPr>
          </w:p>
        </w:tc>
        <w:tc>
          <w:tcPr>
            <w:tcW w:w="40" w:type="dxa"/>
            <w:vAlign w:val="bottom"/>
            <w:shd w:val="clear" w:color="auto" w:fill="D8D8D8"/>
          </w:tcPr>
          <w:p>
            <w:pPr>
              <w:spacing w:after="0"/>
              <w:rPr>
                <w:sz w:val="14"/>
                <w:szCs w:val="14"/>
                <w:color w:val="auto"/>
              </w:rPr>
            </w:pPr>
          </w:p>
        </w:tc>
        <w:tc>
          <w:tcPr>
            <w:tcW w:w="880" w:type="dxa"/>
            <w:vAlign w:val="bottom"/>
            <w:shd w:val="clear" w:color="auto" w:fill="D8D8D8"/>
          </w:tcPr>
          <w:p>
            <w:pPr>
              <w:spacing w:after="0"/>
              <w:rPr>
                <w:sz w:val="14"/>
                <w:szCs w:val="14"/>
                <w:color w:val="auto"/>
              </w:rPr>
            </w:pPr>
          </w:p>
        </w:tc>
        <w:tc>
          <w:tcPr>
            <w:tcW w:w="40" w:type="dxa"/>
            <w:vAlign w:val="bottom"/>
            <w:shd w:val="clear" w:color="auto" w:fill="D8D8D8"/>
          </w:tcPr>
          <w:p>
            <w:pPr>
              <w:spacing w:after="0"/>
              <w:rPr>
                <w:sz w:val="14"/>
                <w:szCs w:val="14"/>
                <w:color w:val="auto"/>
              </w:rPr>
            </w:pPr>
          </w:p>
        </w:tc>
        <w:tc>
          <w:tcPr>
            <w:tcW w:w="280" w:type="dxa"/>
            <w:vAlign w:val="bottom"/>
            <w:shd w:val="clear" w:color="auto" w:fill="D8D8D8"/>
          </w:tcPr>
          <w:p>
            <w:pPr>
              <w:spacing w:after="0"/>
              <w:rPr>
                <w:sz w:val="14"/>
                <w:szCs w:val="14"/>
                <w:color w:val="auto"/>
              </w:rPr>
            </w:pPr>
          </w:p>
        </w:tc>
        <w:tc>
          <w:tcPr>
            <w:tcW w:w="420" w:type="dxa"/>
            <w:vAlign w:val="bottom"/>
            <w:shd w:val="clear" w:color="auto" w:fill="D8D8D8"/>
          </w:tcPr>
          <w:p>
            <w:pPr>
              <w:spacing w:after="0"/>
              <w:rPr>
                <w:sz w:val="14"/>
                <w:szCs w:val="14"/>
                <w:color w:val="auto"/>
              </w:rPr>
            </w:pPr>
          </w:p>
        </w:tc>
        <w:tc>
          <w:tcPr>
            <w:tcW w:w="40" w:type="dxa"/>
            <w:vAlign w:val="bottom"/>
            <w:shd w:val="clear" w:color="auto" w:fill="D8D8D8"/>
          </w:tcPr>
          <w:p>
            <w:pPr>
              <w:spacing w:after="0"/>
              <w:rPr>
                <w:sz w:val="14"/>
                <w:szCs w:val="14"/>
                <w:color w:val="auto"/>
              </w:rPr>
            </w:pPr>
          </w:p>
        </w:tc>
        <w:tc>
          <w:tcPr>
            <w:tcW w:w="860" w:type="dxa"/>
            <w:vAlign w:val="bottom"/>
            <w:gridSpan w:val="2"/>
            <w:shd w:val="clear" w:color="auto" w:fill="D8D8D8"/>
          </w:tcPr>
          <w:p>
            <w:pPr>
              <w:ind w:left="120"/>
              <w:spacing w:after="0"/>
              <w:rPr>
                <w:sz w:val="20"/>
                <w:szCs w:val="20"/>
                <w:color w:val="auto"/>
              </w:rPr>
            </w:pPr>
            <w:r>
              <w:rPr>
                <w:rFonts w:ascii="Arial" w:cs="Arial" w:eastAsia="Arial" w:hAnsi="Arial"/>
                <w:sz w:val="14"/>
                <w:szCs w:val="14"/>
                <w:color w:val="auto"/>
              </w:rPr>
              <w:t>$1,349,980</w:t>
            </w:r>
          </w:p>
        </w:tc>
        <w:tc>
          <w:tcPr>
            <w:tcW w:w="40" w:type="dxa"/>
            <w:vAlign w:val="bottom"/>
            <w:shd w:val="clear" w:color="auto" w:fill="D8D8D8"/>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00" w:type="dxa"/>
            <w:vAlign w:val="bottom"/>
            <w:shd w:val="clear" w:color="auto" w:fill="D8D8D8"/>
          </w:tcPr>
          <w:p>
            <w:pPr>
              <w:spacing w:after="0"/>
              <w:rPr>
                <w:sz w:val="15"/>
                <w:szCs w:val="15"/>
                <w:color w:val="auto"/>
              </w:rPr>
            </w:pPr>
          </w:p>
        </w:tc>
        <w:tc>
          <w:tcPr>
            <w:tcW w:w="960" w:type="dxa"/>
            <w:vAlign w:val="bottom"/>
            <w:shd w:val="clear" w:color="auto" w:fill="D8D8D8"/>
          </w:tcPr>
          <w:p>
            <w:pPr>
              <w:ind w:left="120"/>
              <w:spacing w:after="0"/>
              <w:rPr>
                <w:sz w:val="20"/>
                <w:szCs w:val="20"/>
                <w:color w:val="auto"/>
              </w:rPr>
            </w:pPr>
            <w:r>
              <w:rPr>
                <w:rFonts w:ascii="Arial" w:cs="Arial" w:eastAsia="Arial" w:hAnsi="Arial"/>
                <w:sz w:val="14"/>
                <w:szCs w:val="14"/>
                <w:color w:val="auto"/>
              </w:rPr>
              <w:t>RSU (4)</w:t>
            </w:r>
          </w:p>
        </w:tc>
        <w:tc>
          <w:tcPr>
            <w:tcW w:w="120" w:type="dxa"/>
            <w:vAlign w:val="bottom"/>
            <w:shd w:val="clear" w:color="auto" w:fill="D8D8D8"/>
          </w:tcPr>
          <w:p>
            <w:pPr>
              <w:spacing w:after="0"/>
              <w:rPr>
                <w:sz w:val="15"/>
                <w:szCs w:val="15"/>
                <w:color w:val="auto"/>
              </w:rPr>
            </w:pPr>
          </w:p>
        </w:tc>
        <w:tc>
          <w:tcPr>
            <w:tcW w:w="620" w:type="dxa"/>
            <w:vAlign w:val="bottom"/>
            <w:shd w:val="clear" w:color="auto" w:fill="D8D8D8"/>
          </w:tcPr>
          <w:p>
            <w:pPr>
              <w:spacing w:after="0"/>
              <w:rPr>
                <w:sz w:val="15"/>
                <w:szCs w:val="15"/>
                <w:color w:val="auto"/>
              </w:rPr>
            </w:pPr>
          </w:p>
        </w:tc>
        <w:tc>
          <w:tcPr>
            <w:tcW w:w="920" w:type="dxa"/>
            <w:vAlign w:val="bottom"/>
            <w:shd w:val="clear" w:color="auto" w:fill="D8D8D8"/>
          </w:tcPr>
          <w:p>
            <w:pPr>
              <w:spacing w:after="0"/>
              <w:rPr>
                <w:sz w:val="15"/>
                <w:szCs w:val="15"/>
                <w:color w:val="auto"/>
              </w:rPr>
            </w:pPr>
          </w:p>
        </w:tc>
        <w:tc>
          <w:tcPr>
            <w:tcW w:w="700" w:type="dxa"/>
            <w:vAlign w:val="bottom"/>
            <w:shd w:val="clear" w:color="auto" w:fill="D8D8D8"/>
          </w:tcPr>
          <w:p>
            <w:pPr>
              <w:spacing w:after="0"/>
              <w:rPr>
                <w:sz w:val="15"/>
                <w:szCs w:val="15"/>
                <w:color w:val="auto"/>
              </w:rPr>
            </w:pPr>
          </w:p>
        </w:tc>
        <w:tc>
          <w:tcPr>
            <w:tcW w:w="160" w:type="dxa"/>
            <w:vAlign w:val="bottom"/>
            <w:shd w:val="clear" w:color="auto" w:fill="D8D8D8"/>
          </w:tcPr>
          <w:p>
            <w:pPr>
              <w:spacing w:after="0"/>
              <w:rPr>
                <w:sz w:val="15"/>
                <w:szCs w:val="15"/>
                <w:color w:val="auto"/>
              </w:rPr>
            </w:pPr>
          </w:p>
        </w:tc>
        <w:tc>
          <w:tcPr>
            <w:tcW w:w="620" w:type="dxa"/>
            <w:vAlign w:val="bottom"/>
            <w:shd w:val="clear" w:color="auto" w:fill="D8D8D8"/>
          </w:tcPr>
          <w:p>
            <w:pPr>
              <w:spacing w:after="0"/>
              <w:rPr>
                <w:sz w:val="15"/>
                <w:szCs w:val="15"/>
                <w:color w:val="auto"/>
              </w:rPr>
            </w:pPr>
          </w:p>
        </w:tc>
        <w:tc>
          <w:tcPr>
            <w:tcW w:w="640" w:type="dxa"/>
            <w:vAlign w:val="bottom"/>
            <w:shd w:val="clear" w:color="auto" w:fill="D8D8D8"/>
          </w:tcPr>
          <w:p>
            <w:pPr>
              <w:spacing w:after="0"/>
              <w:rPr>
                <w:sz w:val="15"/>
                <w:szCs w:val="15"/>
                <w:color w:val="auto"/>
              </w:rPr>
            </w:pPr>
          </w:p>
        </w:tc>
        <w:tc>
          <w:tcPr>
            <w:tcW w:w="760" w:type="dxa"/>
            <w:vAlign w:val="bottom"/>
            <w:shd w:val="clear" w:color="auto" w:fill="D8D8D8"/>
          </w:tcPr>
          <w:p>
            <w:pPr>
              <w:spacing w:after="0"/>
              <w:rPr>
                <w:sz w:val="15"/>
                <w:szCs w:val="15"/>
                <w:color w:val="auto"/>
              </w:rPr>
            </w:pPr>
          </w:p>
        </w:tc>
        <w:tc>
          <w:tcPr>
            <w:tcW w:w="80" w:type="dxa"/>
            <w:vAlign w:val="bottom"/>
            <w:shd w:val="clear" w:color="auto" w:fill="D8D8D8"/>
          </w:tcPr>
          <w:p>
            <w:pPr>
              <w:spacing w:after="0"/>
              <w:rPr>
                <w:sz w:val="15"/>
                <w:szCs w:val="15"/>
                <w:color w:val="auto"/>
              </w:rPr>
            </w:pPr>
          </w:p>
        </w:tc>
        <w:tc>
          <w:tcPr>
            <w:tcW w:w="860" w:type="dxa"/>
            <w:vAlign w:val="bottom"/>
            <w:gridSpan w:val="2"/>
            <w:shd w:val="clear" w:color="auto" w:fill="D8D8D8"/>
          </w:tcPr>
          <w:p>
            <w:pPr>
              <w:jc w:val="right"/>
              <w:ind w:right="40"/>
              <w:spacing w:after="0"/>
              <w:rPr>
                <w:sz w:val="20"/>
                <w:szCs w:val="20"/>
                <w:color w:val="auto"/>
              </w:rPr>
            </w:pPr>
            <w:r>
              <w:rPr>
                <w:rFonts w:ascii="Arial" w:cs="Arial" w:eastAsia="Arial" w:hAnsi="Arial"/>
                <w:sz w:val="14"/>
                <w:szCs w:val="14"/>
                <w:color w:val="auto"/>
              </w:rPr>
              <w:t>17,028</w:t>
            </w:r>
          </w:p>
        </w:tc>
        <w:tc>
          <w:tcPr>
            <w:tcW w:w="880" w:type="dxa"/>
            <w:vAlign w:val="bottom"/>
            <w:shd w:val="clear" w:color="auto" w:fill="D8D8D8"/>
          </w:tcPr>
          <w:p>
            <w:pPr>
              <w:spacing w:after="0"/>
              <w:rPr>
                <w:sz w:val="15"/>
                <w:szCs w:val="15"/>
                <w:color w:val="auto"/>
              </w:rPr>
            </w:pPr>
          </w:p>
        </w:tc>
        <w:tc>
          <w:tcPr>
            <w:tcW w:w="40" w:type="dxa"/>
            <w:vAlign w:val="bottom"/>
            <w:shd w:val="clear" w:color="auto" w:fill="D8D8D8"/>
          </w:tcPr>
          <w:p>
            <w:pPr>
              <w:spacing w:after="0"/>
              <w:rPr>
                <w:sz w:val="15"/>
                <w:szCs w:val="15"/>
                <w:color w:val="auto"/>
              </w:rPr>
            </w:pPr>
          </w:p>
        </w:tc>
        <w:tc>
          <w:tcPr>
            <w:tcW w:w="280" w:type="dxa"/>
            <w:vAlign w:val="bottom"/>
            <w:shd w:val="clear" w:color="auto" w:fill="D8D8D8"/>
          </w:tcPr>
          <w:p>
            <w:pPr>
              <w:spacing w:after="0"/>
              <w:rPr>
                <w:sz w:val="15"/>
                <w:szCs w:val="15"/>
                <w:color w:val="auto"/>
              </w:rPr>
            </w:pPr>
          </w:p>
        </w:tc>
        <w:tc>
          <w:tcPr>
            <w:tcW w:w="420" w:type="dxa"/>
            <w:vAlign w:val="bottom"/>
            <w:shd w:val="clear" w:color="auto" w:fill="D8D8D8"/>
          </w:tcPr>
          <w:p>
            <w:pPr>
              <w:spacing w:after="0"/>
              <w:rPr>
                <w:sz w:val="15"/>
                <w:szCs w:val="15"/>
                <w:color w:val="auto"/>
              </w:rPr>
            </w:pPr>
          </w:p>
        </w:tc>
        <w:tc>
          <w:tcPr>
            <w:tcW w:w="40" w:type="dxa"/>
            <w:vAlign w:val="bottom"/>
            <w:shd w:val="clear" w:color="auto" w:fill="D8D8D8"/>
          </w:tcPr>
          <w:p>
            <w:pPr>
              <w:spacing w:after="0"/>
              <w:rPr>
                <w:sz w:val="15"/>
                <w:szCs w:val="15"/>
                <w:color w:val="auto"/>
              </w:rPr>
            </w:pPr>
          </w:p>
        </w:tc>
        <w:tc>
          <w:tcPr>
            <w:tcW w:w="860" w:type="dxa"/>
            <w:vAlign w:val="bottom"/>
            <w:gridSpan w:val="2"/>
            <w:shd w:val="clear" w:color="auto" w:fill="D8D8D8"/>
          </w:tcPr>
          <w:p>
            <w:pPr>
              <w:ind w:left="120"/>
              <w:spacing w:after="0"/>
              <w:rPr>
                <w:sz w:val="20"/>
                <w:szCs w:val="20"/>
                <w:color w:val="auto"/>
              </w:rPr>
            </w:pPr>
            <w:r>
              <w:rPr>
                <w:rFonts w:ascii="Arial" w:cs="Arial" w:eastAsia="Arial" w:hAnsi="Arial"/>
                <w:sz w:val="14"/>
                <w:szCs w:val="14"/>
                <w:color w:val="auto"/>
              </w:rPr>
              <w:t>$1,349,980</w:t>
            </w:r>
          </w:p>
        </w:tc>
        <w:tc>
          <w:tcPr>
            <w:tcW w:w="40" w:type="dxa"/>
            <w:vAlign w:val="bottom"/>
            <w:shd w:val="clear" w:color="auto" w:fill="D8D8D8"/>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00" w:type="dxa"/>
            <w:vAlign w:val="bottom"/>
            <w:shd w:val="clear" w:color="auto" w:fill="D8D8D8"/>
          </w:tcPr>
          <w:p>
            <w:pPr>
              <w:spacing w:after="0"/>
              <w:rPr>
                <w:sz w:val="15"/>
                <w:szCs w:val="15"/>
                <w:color w:val="auto"/>
              </w:rPr>
            </w:pPr>
          </w:p>
        </w:tc>
        <w:tc>
          <w:tcPr>
            <w:tcW w:w="960" w:type="dxa"/>
            <w:vAlign w:val="bottom"/>
            <w:shd w:val="clear" w:color="auto" w:fill="D8D8D8"/>
          </w:tcPr>
          <w:p>
            <w:pPr>
              <w:ind w:left="120"/>
              <w:spacing w:after="0"/>
              <w:rPr>
                <w:sz w:val="20"/>
                <w:szCs w:val="20"/>
                <w:color w:val="auto"/>
              </w:rPr>
            </w:pPr>
            <w:r>
              <w:rPr>
                <w:rFonts w:ascii="Arial" w:cs="Arial" w:eastAsia="Arial" w:hAnsi="Arial"/>
                <w:sz w:val="14"/>
                <w:szCs w:val="14"/>
                <w:color w:val="auto"/>
              </w:rPr>
              <w:t>AIP (5)</w:t>
            </w:r>
          </w:p>
        </w:tc>
        <w:tc>
          <w:tcPr>
            <w:tcW w:w="120" w:type="dxa"/>
            <w:vAlign w:val="bottom"/>
            <w:shd w:val="clear" w:color="auto" w:fill="D8D8D8"/>
          </w:tcPr>
          <w:p>
            <w:pPr>
              <w:spacing w:after="0"/>
              <w:rPr>
                <w:sz w:val="15"/>
                <w:szCs w:val="15"/>
                <w:color w:val="auto"/>
              </w:rPr>
            </w:pPr>
          </w:p>
        </w:tc>
        <w:tc>
          <w:tcPr>
            <w:tcW w:w="620" w:type="dxa"/>
            <w:vAlign w:val="bottom"/>
            <w:shd w:val="clear" w:color="auto" w:fill="D8D8D8"/>
          </w:tcPr>
          <w:p>
            <w:pPr>
              <w:spacing w:after="0"/>
              <w:rPr>
                <w:sz w:val="15"/>
                <w:szCs w:val="15"/>
                <w:color w:val="auto"/>
              </w:rPr>
            </w:pPr>
          </w:p>
        </w:tc>
        <w:tc>
          <w:tcPr>
            <w:tcW w:w="920" w:type="dxa"/>
            <w:vAlign w:val="bottom"/>
            <w:shd w:val="clear" w:color="auto" w:fill="D8D8D8"/>
          </w:tcPr>
          <w:p>
            <w:pPr>
              <w:jc w:val="right"/>
              <w:ind w:right="88"/>
              <w:spacing w:after="0"/>
              <w:rPr>
                <w:sz w:val="20"/>
                <w:szCs w:val="20"/>
                <w:color w:val="auto"/>
              </w:rPr>
            </w:pPr>
            <w:r>
              <w:rPr>
                <w:rFonts w:ascii="Arial" w:cs="Arial" w:eastAsia="Arial" w:hAnsi="Arial"/>
                <w:sz w:val="14"/>
                <w:szCs w:val="14"/>
                <w:color w:val="auto"/>
              </w:rPr>
              <w:t>1,325,000</w:t>
            </w:r>
          </w:p>
        </w:tc>
        <w:tc>
          <w:tcPr>
            <w:tcW w:w="7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2,650,000</w:t>
            </w:r>
          </w:p>
        </w:tc>
        <w:tc>
          <w:tcPr>
            <w:tcW w:w="160" w:type="dxa"/>
            <w:vAlign w:val="bottom"/>
            <w:shd w:val="clear" w:color="auto" w:fill="D8D8D8"/>
          </w:tcPr>
          <w:p>
            <w:pPr>
              <w:spacing w:after="0"/>
              <w:rPr>
                <w:sz w:val="15"/>
                <w:szCs w:val="15"/>
                <w:color w:val="auto"/>
              </w:rPr>
            </w:pPr>
          </w:p>
        </w:tc>
        <w:tc>
          <w:tcPr>
            <w:tcW w:w="620" w:type="dxa"/>
            <w:vAlign w:val="bottom"/>
            <w:shd w:val="clear" w:color="auto" w:fill="D8D8D8"/>
          </w:tcPr>
          <w:p>
            <w:pPr>
              <w:spacing w:after="0"/>
              <w:rPr>
                <w:sz w:val="15"/>
                <w:szCs w:val="15"/>
                <w:color w:val="auto"/>
              </w:rPr>
            </w:pPr>
          </w:p>
        </w:tc>
        <w:tc>
          <w:tcPr>
            <w:tcW w:w="640" w:type="dxa"/>
            <w:vAlign w:val="bottom"/>
            <w:shd w:val="clear" w:color="auto" w:fill="D8D8D8"/>
          </w:tcPr>
          <w:p>
            <w:pPr>
              <w:spacing w:after="0"/>
              <w:rPr>
                <w:sz w:val="15"/>
                <w:szCs w:val="15"/>
                <w:color w:val="auto"/>
              </w:rPr>
            </w:pPr>
          </w:p>
        </w:tc>
        <w:tc>
          <w:tcPr>
            <w:tcW w:w="760" w:type="dxa"/>
            <w:vAlign w:val="bottom"/>
            <w:shd w:val="clear" w:color="auto" w:fill="D8D8D8"/>
          </w:tcPr>
          <w:p>
            <w:pPr>
              <w:spacing w:after="0"/>
              <w:rPr>
                <w:sz w:val="15"/>
                <w:szCs w:val="15"/>
                <w:color w:val="auto"/>
              </w:rPr>
            </w:pPr>
          </w:p>
        </w:tc>
        <w:tc>
          <w:tcPr>
            <w:tcW w:w="80" w:type="dxa"/>
            <w:vAlign w:val="bottom"/>
            <w:shd w:val="clear" w:color="auto" w:fill="D8D8D8"/>
          </w:tcPr>
          <w:p>
            <w:pPr>
              <w:spacing w:after="0"/>
              <w:rPr>
                <w:sz w:val="15"/>
                <w:szCs w:val="15"/>
                <w:color w:val="auto"/>
              </w:rPr>
            </w:pPr>
          </w:p>
        </w:tc>
        <w:tc>
          <w:tcPr>
            <w:tcW w:w="820" w:type="dxa"/>
            <w:vAlign w:val="bottom"/>
            <w:shd w:val="clear" w:color="auto" w:fill="D8D8D8"/>
          </w:tcPr>
          <w:p>
            <w:pPr>
              <w:spacing w:after="0"/>
              <w:rPr>
                <w:sz w:val="15"/>
                <w:szCs w:val="15"/>
                <w:color w:val="auto"/>
              </w:rPr>
            </w:pPr>
          </w:p>
        </w:tc>
        <w:tc>
          <w:tcPr>
            <w:tcW w:w="40" w:type="dxa"/>
            <w:vAlign w:val="bottom"/>
            <w:shd w:val="clear" w:color="auto" w:fill="D8D8D8"/>
          </w:tcPr>
          <w:p>
            <w:pPr>
              <w:spacing w:after="0"/>
              <w:rPr>
                <w:sz w:val="15"/>
                <w:szCs w:val="15"/>
                <w:color w:val="auto"/>
              </w:rPr>
            </w:pPr>
          </w:p>
        </w:tc>
        <w:tc>
          <w:tcPr>
            <w:tcW w:w="880" w:type="dxa"/>
            <w:vAlign w:val="bottom"/>
            <w:shd w:val="clear" w:color="auto" w:fill="D8D8D8"/>
          </w:tcPr>
          <w:p>
            <w:pPr>
              <w:spacing w:after="0"/>
              <w:rPr>
                <w:sz w:val="15"/>
                <w:szCs w:val="15"/>
                <w:color w:val="auto"/>
              </w:rPr>
            </w:pPr>
          </w:p>
        </w:tc>
        <w:tc>
          <w:tcPr>
            <w:tcW w:w="40" w:type="dxa"/>
            <w:vAlign w:val="bottom"/>
            <w:shd w:val="clear" w:color="auto" w:fill="D8D8D8"/>
          </w:tcPr>
          <w:p>
            <w:pPr>
              <w:spacing w:after="0"/>
              <w:rPr>
                <w:sz w:val="15"/>
                <w:szCs w:val="15"/>
                <w:color w:val="auto"/>
              </w:rPr>
            </w:pPr>
          </w:p>
        </w:tc>
        <w:tc>
          <w:tcPr>
            <w:tcW w:w="280" w:type="dxa"/>
            <w:vAlign w:val="bottom"/>
            <w:shd w:val="clear" w:color="auto" w:fill="D8D8D8"/>
          </w:tcPr>
          <w:p>
            <w:pPr>
              <w:spacing w:after="0"/>
              <w:rPr>
                <w:sz w:val="15"/>
                <w:szCs w:val="15"/>
                <w:color w:val="auto"/>
              </w:rPr>
            </w:pPr>
          </w:p>
        </w:tc>
        <w:tc>
          <w:tcPr>
            <w:tcW w:w="420" w:type="dxa"/>
            <w:vAlign w:val="bottom"/>
            <w:shd w:val="clear" w:color="auto" w:fill="D8D8D8"/>
          </w:tcPr>
          <w:p>
            <w:pPr>
              <w:spacing w:after="0"/>
              <w:rPr>
                <w:sz w:val="15"/>
                <w:szCs w:val="15"/>
                <w:color w:val="auto"/>
              </w:rPr>
            </w:pPr>
          </w:p>
        </w:tc>
        <w:tc>
          <w:tcPr>
            <w:tcW w:w="40" w:type="dxa"/>
            <w:vAlign w:val="bottom"/>
            <w:shd w:val="clear" w:color="auto" w:fill="D8D8D8"/>
          </w:tcPr>
          <w:p>
            <w:pPr>
              <w:spacing w:after="0"/>
              <w:rPr>
                <w:sz w:val="15"/>
                <w:szCs w:val="15"/>
                <w:color w:val="auto"/>
              </w:rPr>
            </w:pPr>
          </w:p>
        </w:tc>
        <w:tc>
          <w:tcPr>
            <w:tcW w:w="320" w:type="dxa"/>
            <w:vAlign w:val="bottom"/>
            <w:shd w:val="clear" w:color="auto" w:fill="D8D8D8"/>
          </w:tcPr>
          <w:p>
            <w:pPr>
              <w:spacing w:after="0"/>
              <w:rPr>
                <w:sz w:val="15"/>
                <w:szCs w:val="15"/>
                <w:color w:val="auto"/>
              </w:rPr>
            </w:pPr>
          </w:p>
        </w:tc>
        <w:tc>
          <w:tcPr>
            <w:tcW w:w="540" w:type="dxa"/>
            <w:vAlign w:val="bottom"/>
            <w:shd w:val="clear" w:color="auto" w:fill="D8D8D8"/>
          </w:tcPr>
          <w:p>
            <w:pPr>
              <w:spacing w:after="0"/>
              <w:rPr>
                <w:sz w:val="15"/>
                <w:szCs w:val="15"/>
                <w:color w:val="auto"/>
              </w:rPr>
            </w:pPr>
          </w:p>
        </w:tc>
        <w:tc>
          <w:tcPr>
            <w:tcW w:w="40" w:type="dxa"/>
            <w:vAlign w:val="bottom"/>
            <w:shd w:val="clear" w:color="auto" w:fill="D8D8D8"/>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00" w:type="dxa"/>
            <w:vAlign w:val="bottom"/>
          </w:tcPr>
          <w:p>
            <w:pPr>
              <w:spacing w:after="0"/>
              <w:rPr>
                <w:sz w:val="20"/>
                <w:szCs w:val="20"/>
                <w:color w:val="auto"/>
              </w:rPr>
            </w:pPr>
            <w:r>
              <w:rPr>
                <w:rFonts w:ascii="Arial" w:cs="Arial" w:eastAsia="Arial" w:hAnsi="Arial"/>
                <w:sz w:val="14"/>
                <w:szCs w:val="14"/>
                <w:color w:val="auto"/>
              </w:rPr>
              <w:t>Brad M. Cerepak</w:t>
            </w:r>
          </w:p>
        </w:tc>
        <w:tc>
          <w:tcPr>
            <w:tcW w:w="960" w:type="dxa"/>
            <w:vAlign w:val="bottom"/>
            <w:tcBorders>
              <w:bottom w:val="single" w:sz="8" w:color="999999"/>
            </w:tcBorders>
          </w:tcPr>
          <w:p>
            <w:pPr>
              <w:ind w:left="120"/>
              <w:spacing w:after="0"/>
              <w:rPr>
                <w:sz w:val="20"/>
                <w:szCs w:val="20"/>
                <w:color w:val="auto"/>
              </w:rPr>
            </w:pPr>
            <w:r>
              <w:rPr>
                <w:rFonts w:ascii="Arial" w:cs="Arial" w:eastAsia="Arial" w:hAnsi="Arial"/>
                <w:sz w:val="14"/>
                <w:szCs w:val="14"/>
                <w:color w:val="auto"/>
              </w:rPr>
              <w:t>SSAR (2)</w:t>
            </w:r>
          </w:p>
        </w:tc>
        <w:tc>
          <w:tcPr>
            <w:tcW w:w="120" w:type="dxa"/>
            <w:vAlign w:val="bottom"/>
            <w:tcBorders>
              <w:bottom w:val="single" w:sz="8" w:color="999999"/>
            </w:tcBorders>
          </w:tcPr>
          <w:p>
            <w:pPr>
              <w:spacing w:after="0"/>
              <w:rPr>
                <w:sz w:val="14"/>
                <w:szCs w:val="14"/>
                <w:color w:val="auto"/>
              </w:rPr>
            </w:pPr>
          </w:p>
        </w:tc>
        <w:tc>
          <w:tcPr>
            <w:tcW w:w="620" w:type="dxa"/>
            <w:vAlign w:val="bottom"/>
            <w:tcBorders>
              <w:bottom w:val="single" w:sz="8" w:color="999999"/>
            </w:tcBorders>
          </w:tcPr>
          <w:p>
            <w:pPr>
              <w:spacing w:after="0"/>
              <w:rPr>
                <w:sz w:val="14"/>
                <w:szCs w:val="14"/>
                <w:color w:val="auto"/>
              </w:rPr>
            </w:pPr>
          </w:p>
        </w:tc>
        <w:tc>
          <w:tcPr>
            <w:tcW w:w="920" w:type="dxa"/>
            <w:vAlign w:val="bottom"/>
            <w:tcBorders>
              <w:bottom w:val="single" w:sz="8" w:color="999999"/>
            </w:tcBorders>
          </w:tcPr>
          <w:p>
            <w:pPr>
              <w:spacing w:after="0"/>
              <w:rPr>
                <w:sz w:val="14"/>
                <w:szCs w:val="14"/>
                <w:color w:val="auto"/>
              </w:rPr>
            </w:pPr>
          </w:p>
        </w:tc>
        <w:tc>
          <w:tcPr>
            <w:tcW w:w="700" w:type="dxa"/>
            <w:vAlign w:val="bottom"/>
            <w:tcBorders>
              <w:bottom w:val="single" w:sz="8" w:color="999999"/>
            </w:tcBorders>
          </w:tcPr>
          <w:p>
            <w:pPr>
              <w:spacing w:after="0"/>
              <w:rPr>
                <w:sz w:val="14"/>
                <w:szCs w:val="14"/>
                <w:color w:val="auto"/>
              </w:rPr>
            </w:pPr>
          </w:p>
        </w:tc>
        <w:tc>
          <w:tcPr>
            <w:tcW w:w="160" w:type="dxa"/>
            <w:vAlign w:val="bottom"/>
            <w:tcBorders>
              <w:bottom w:val="single" w:sz="8" w:color="999999"/>
            </w:tcBorders>
          </w:tcPr>
          <w:p>
            <w:pPr>
              <w:spacing w:after="0"/>
              <w:rPr>
                <w:sz w:val="14"/>
                <w:szCs w:val="14"/>
                <w:color w:val="auto"/>
              </w:rPr>
            </w:pPr>
          </w:p>
        </w:tc>
        <w:tc>
          <w:tcPr>
            <w:tcW w:w="620" w:type="dxa"/>
            <w:vAlign w:val="bottom"/>
            <w:tcBorders>
              <w:bottom w:val="single" w:sz="8" w:color="999999"/>
            </w:tcBorders>
          </w:tcPr>
          <w:p>
            <w:pPr>
              <w:spacing w:after="0"/>
              <w:rPr>
                <w:sz w:val="14"/>
                <w:szCs w:val="14"/>
                <w:color w:val="auto"/>
              </w:rPr>
            </w:pPr>
          </w:p>
        </w:tc>
        <w:tc>
          <w:tcPr>
            <w:tcW w:w="640" w:type="dxa"/>
            <w:vAlign w:val="bottom"/>
            <w:tcBorders>
              <w:bottom w:val="single" w:sz="8" w:color="999999"/>
            </w:tcBorders>
          </w:tcPr>
          <w:p>
            <w:pPr>
              <w:spacing w:after="0"/>
              <w:rPr>
                <w:sz w:val="14"/>
                <w:szCs w:val="14"/>
                <w:color w:val="auto"/>
              </w:rPr>
            </w:pPr>
          </w:p>
        </w:tc>
        <w:tc>
          <w:tcPr>
            <w:tcW w:w="760" w:type="dxa"/>
            <w:vAlign w:val="bottom"/>
            <w:tcBorders>
              <w:bottom w:val="single" w:sz="8" w:color="999999"/>
            </w:tcBorders>
          </w:tcPr>
          <w:p>
            <w:pPr>
              <w:spacing w:after="0"/>
              <w:rPr>
                <w:sz w:val="14"/>
                <w:szCs w:val="14"/>
                <w:color w:val="auto"/>
              </w:rPr>
            </w:pPr>
          </w:p>
        </w:tc>
        <w:tc>
          <w:tcPr>
            <w:tcW w:w="80" w:type="dxa"/>
            <w:vAlign w:val="bottom"/>
            <w:tcBorders>
              <w:bottom w:val="single" w:sz="8" w:color="999999"/>
            </w:tcBorders>
          </w:tcPr>
          <w:p>
            <w:pPr>
              <w:spacing w:after="0"/>
              <w:rPr>
                <w:sz w:val="14"/>
                <w:szCs w:val="14"/>
                <w:color w:val="auto"/>
              </w:rPr>
            </w:pPr>
          </w:p>
        </w:tc>
        <w:tc>
          <w:tcPr>
            <w:tcW w:w="820" w:type="dxa"/>
            <w:vAlign w:val="bottom"/>
            <w:tcBorders>
              <w:bottom w:val="single" w:sz="8" w:color="999999"/>
            </w:tcBorders>
          </w:tcPr>
          <w:p>
            <w:pPr>
              <w:spacing w:after="0"/>
              <w:rPr>
                <w:sz w:val="14"/>
                <w:szCs w:val="14"/>
                <w:color w:val="auto"/>
              </w:rPr>
            </w:pPr>
          </w:p>
        </w:tc>
        <w:tc>
          <w:tcPr>
            <w:tcW w:w="40" w:type="dxa"/>
            <w:vAlign w:val="bottom"/>
            <w:tcBorders>
              <w:bottom w:val="single" w:sz="8" w:color="999999"/>
            </w:tcBorders>
          </w:tcPr>
          <w:p>
            <w:pPr>
              <w:spacing w:after="0"/>
              <w:rPr>
                <w:sz w:val="14"/>
                <w:szCs w:val="14"/>
                <w:color w:val="auto"/>
              </w:rPr>
            </w:pPr>
          </w:p>
        </w:tc>
        <w:tc>
          <w:tcPr>
            <w:tcW w:w="920" w:type="dxa"/>
            <w:vAlign w:val="bottom"/>
            <w:tcBorders>
              <w:bottom w:val="single" w:sz="8" w:color="999999"/>
            </w:tcBorders>
            <w:gridSpan w:val="2"/>
          </w:tcPr>
          <w:p>
            <w:pPr>
              <w:jc w:val="right"/>
              <w:ind w:right="40"/>
              <w:spacing w:after="0"/>
              <w:rPr>
                <w:sz w:val="20"/>
                <w:szCs w:val="20"/>
                <w:color w:val="auto"/>
              </w:rPr>
            </w:pPr>
            <w:r>
              <w:rPr>
                <w:rFonts w:ascii="Arial" w:cs="Arial" w:eastAsia="Arial" w:hAnsi="Arial"/>
                <w:sz w:val="14"/>
                <w:szCs w:val="14"/>
                <w:color w:val="auto"/>
              </w:rPr>
              <w:t>60,545</w:t>
            </w:r>
          </w:p>
        </w:tc>
        <w:tc>
          <w:tcPr>
            <w:tcW w:w="280" w:type="dxa"/>
            <w:vAlign w:val="bottom"/>
            <w:tcBorders>
              <w:bottom w:val="single" w:sz="8" w:color="999999"/>
            </w:tcBorders>
          </w:tcPr>
          <w:p>
            <w:pPr>
              <w:ind w:left="120"/>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999999"/>
            </w:tcBorders>
            <w:gridSpan w:val="2"/>
          </w:tcPr>
          <w:p>
            <w:pPr>
              <w:jc w:val="right"/>
              <w:ind w:right="40"/>
              <w:spacing w:after="0"/>
              <w:rPr>
                <w:sz w:val="20"/>
                <w:szCs w:val="20"/>
                <w:color w:val="auto"/>
              </w:rPr>
            </w:pPr>
            <w:r>
              <w:rPr>
                <w:rFonts w:ascii="Arial" w:cs="Arial" w:eastAsia="Arial" w:hAnsi="Arial"/>
                <w:sz w:val="14"/>
                <w:szCs w:val="14"/>
                <w:color w:val="auto"/>
              </w:rPr>
              <w:t>79.28</w:t>
            </w:r>
          </w:p>
        </w:tc>
        <w:tc>
          <w:tcPr>
            <w:tcW w:w="320" w:type="dxa"/>
            <w:vAlign w:val="bottom"/>
            <w:tcBorders>
              <w:bottom w:val="single" w:sz="8" w:color="999999"/>
            </w:tcBorders>
          </w:tcPr>
          <w:p>
            <w:pPr>
              <w:ind w:left="120"/>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999999"/>
            </w:tcBorders>
            <w:gridSpan w:val="2"/>
          </w:tcPr>
          <w:p>
            <w:pPr>
              <w:jc w:val="right"/>
              <w:ind w:right="40"/>
              <w:spacing w:after="0"/>
              <w:rPr>
                <w:sz w:val="20"/>
                <w:szCs w:val="20"/>
                <w:color w:val="auto"/>
              </w:rPr>
            </w:pPr>
            <w:r>
              <w:rPr>
                <w:rFonts w:ascii="Arial" w:cs="Arial" w:eastAsia="Arial" w:hAnsi="Arial"/>
                <w:sz w:val="14"/>
                <w:szCs w:val="14"/>
                <w:color w:val="auto"/>
              </w:rPr>
              <w:t>764,629</w:t>
            </w:r>
          </w:p>
        </w:tc>
        <w:tc>
          <w:tcPr>
            <w:tcW w:w="0" w:type="dxa"/>
            <w:vAlign w:val="bottom"/>
          </w:tcPr>
          <w:p>
            <w:pPr>
              <w:spacing w:after="0"/>
              <w:rPr>
                <w:sz w:val="1"/>
                <w:szCs w:val="1"/>
                <w:color w:val="auto"/>
              </w:rPr>
            </w:pPr>
          </w:p>
        </w:tc>
      </w:tr>
      <w:tr>
        <w:trPr>
          <w:trHeight w:val="160"/>
        </w:trPr>
        <w:tc>
          <w:tcPr>
            <w:tcW w:w="2000" w:type="dxa"/>
            <w:vAlign w:val="bottom"/>
          </w:tcPr>
          <w:p>
            <w:pPr>
              <w:spacing w:after="0"/>
              <w:rPr>
                <w:sz w:val="13"/>
                <w:szCs w:val="13"/>
                <w:color w:val="auto"/>
              </w:rPr>
            </w:pPr>
          </w:p>
        </w:tc>
        <w:tc>
          <w:tcPr>
            <w:tcW w:w="960" w:type="dxa"/>
            <w:vAlign w:val="bottom"/>
          </w:tcPr>
          <w:p>
            <w:pPr>
              <w:ind w:left="120"/>
              <w:spacing w:after="0"/>
              <w:rPr>
                <w:sz w:val="20"/>
                <w:szCs w:val="20"/>
                <w:color w:val="auto"/>
              </w:rPr>
            </w:pPr>
            <w:r>
              <w:rPr>
                <w:rFonts w:ascii="Arial" w:cs="Arial" w:eastAsia="Arial" w:hAnsi="Arial"/>
                <w:sz w:val="14"/>
                <w:szCs w:val="14"/>
                <w:color w:val="auto"/>
              </w:rPr>
              <w:t>Performance</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00" w:type="dxa"/>
            <w:vAlign w:val="bottom"/>
          </w:tcPr>
          <w:p>
            <w:pPr>
              <w:spacing w:after="0"/>
              <w:rPr>
                <w:sz w:val="14"/>
                <w:szCs w:val="14"/>
                <w:color w:val="auto"/>
              </w:rPr>
            </w:pPr>
          </w:p>
        </w:tc>
        <w:tc>
          <w:tcPr>
            <w:tcW w:w="960" w:type="dxa"/>
            <w:vAlign w:val="bottom"/>
            <w:tcBorders>
              <w:bottom w:val="single" w:sz="8" w:color="999999"/>
            </w:tcBorders>
          </w:tcPr>
          <w:p>
            <w:pPr>
              <w:ind w:left="120"/>
              <w:spacing w:after="0"/>
              <w:rPr>
                <w:sz w:val="20"/>
                <w:szCs w:val="20"/>
                <w:color w:val="auto"/>
              </w:rPr>
            </w:pPr>
            <w:r>
              <w:rPr>
                <w:rFonts w:ascii="Arial" w:cs="Arial" w:eastAsia="Arial" w:hAnsi="Arial"/>
                <w:sz w:val="14"/>
                <w:szCs w:val="14"/>
                <w:color w:val="auto"/>
              </w:rPr>
              <w:t>Shares (3)</w:t>
            </w:r>
          </w:p>
        </w:tc>
        <w:tc>
          <w:tcPr>
            <w:tcW w:w="120" w:type="dxa"/>
            <w:vAlign w:val="bottom"/>
            <w:tcBorders>
              <w:bottom w:val="single" w:sz="8" w:color="999999"/>
            </w:tcBorders>
          </w:tcPr>
          <w:p>
            <w:pPr>
              <w:spacing w:after="0"/>
              <w:rPr>
                <w:sz w:val="14"/>
                <w:szCs w:val="14"/>
                <w:color w:val="auto"/>
              </w:rPr>
            </w:pPr>
          </w:p>
        </w:tc>
        <w:tc>
          <w:tcPr>
            <w:tcW w:w="620" w:type="dxa"/>
            <w:vAlign w:val="bottom"/>
            <w:tcBorders>
              <w:bottom w:val="single" w:sz="8" w:color="999999"/>
            </w:tcBorders>
          </w:tcPr>
          <w:p>
            <w:pPr>
              <w:spacing w:after="0"/>
              <w:rPr>
                <w:sz w:val="14"/>
                <w:szCs w:val="14"/>
                <w:color w:val="auto"/>
              </w:rPr>
            </w:pPr>
          </w:p>
        </w:tc>
        <w:tc>
          <w:tcPr>
            <w:tcW w:w="920" w:type="dxa"/>
            <w:vAlign w:val="bottom"/>
            <w:tcBorders>
              <w:bottom w:val="single" w:sz="8" w:color="999999"/>
            </w:tcBorders>
          </w:tcPr>
          <w:p>
            <w:pPr>
              <w:spacing w:after="0"/>
              <w:rPr>
                <w:sz w:val="14"/>
                <w:szCs w:val="14"/>
                <w:color w:val="auto"/>
              </w:rPr>
            </w:pPr>
          </w:p>
        </w:tc>
        <w:tc>
          <w:tcPr>
            <w:tcW w:w="700" w:type="dxa"/>
            <w:vAlign w:val="bottom"/>
            <w:tcBorders>
              <w:bottom w:val="single" w:sz="8" w:color="999999"/>
            </w:tcBorders>
          </w:tcPr>
          <w:p>
            <w:pPr>
              <w:spacing w:after="0"/>
              <w:rPr>
                <w:sz w:val="14"/>
                <w:szCs w:val="14"/>
                <w:color w:val="auto"/>
              </w:rPr>
            </w:pPr>
          </w:p>
        </w:tc>
        <w:tc>
          <w:tcPr>
            <w:tcW w:w="160" w:type="dxa"/>
            <w:vAlign w:val="bottom"/>
            <w:tcBorders>
              <w:bottom w:val="single" w:sz="8" w:color="999999"/>
            </w:tcBorders>
          </w:tcPr>
          <w:p>
            <w:pPr>
              <w:spacing w:after="0"/>
              <w:rPr>
                <w:sz w:val="14"/>
                <w:szCs w:val="14"/>
                <w:color w:val="auto"/>
              </w:rPr>
            </w:pPr>
          </w:p>
        </w:tc>
        <w:tc>
          <w:tcPr>
            <w:tcW w:w="620" w:type="dxa"/>
            <w:vAlign w:val="bottom"/>
            <w:tcBorders>
              <w:bottom w:val="single" w:sz="8" w:color="999999"/>
            </w:tcBorders>
          </w:tcPr>
          <w:p>
            <w:pPr>
              <w:spacing w:after="0"/>
              <w:rPr>
                <w:sz w:val="14"/>
                <w:szCs w:val="14"/>
                <w:color w:val="auto"/>
              </w:rPr>
            </w:pPr>
          </w:p>
        </w:tc>
        <w:tc>
          <w:tcPr>
            <w:tcW w:w="640" w:type="dxa"/>
            <w:vAlign w:val="bottom"/>
            <w:tcBorders>
              <w:bottom w:val="single" w:sz="8" w:color="999999"/>
            </w:tcBorders>
          </w:tcPr>
          <w:p>
            <w:pPr>
              <w:jc w:val="right"/>
              <w:ind w:right="8"/>
              <w:spacing w:after="0"/>
              <w:rPr>
                <w:sz w:val="20"/>
                <w:szCs w:val="20"/>
                <w:color w:val="auto"/>
              </w:rPr>
            </w:pPr>
            <w:r>
              <w:rPr>
                <w:rFonts w:ascii="Arial" w:cs="Arial" w:eastAsia="Arial" w:hAnsi="Arial"/>
                <w:sz w:val="14"/>
                <w:szCs w:val="14"/>
                <w:color w:val="auto"/>
              </w:rPr>
              <w:t>5,045</w:t>
            </w:r>
          </w:p>
        </w:tc>
        <w:tc>
          <w:tcPr>
            <w:tcW w:w="840" w:type="dxa"/>
            <w:vAlign w:val="bottom"/>
            <w:tcBorders>
              <w:bottom w:val="single" w:sz="8" w:color="999999"/>
            </w:tcBorders>
            <w:gridSpan w:val="2"/>
          </w:tcPr>
          <w:p>
            <w:pPr>
              <w:jc w:val="right"/>
              <w:ind w:right="80"/>
              <w:spacing w:after="0"/>
              <w:rPr>
                <w:sz w:val="20"/>
                <w:szCs w:val="20"/>
                <w:color w:val="auto"/>
              </w:rPr>
            </w:pPr>
            <w:r>
              <w:rPr>
                <w:rFonts w:ascii="Arial" w:cs="Arial" w:eastAsia="Arial" w:hAnsi="Arial"/>
                <w:sz w:val="14"/>
                <w:szCs w:val="14"/>
                <w:color w:val="auto"/>
              </w:rPr>
              <w:t>20,180</w:t>
            </w:r>
          </w:p>
        </w:tc>
        <w:tc>
          <w:tcPr>
            <w:tcW w:w="820" w:type="dxa"/>
            <w:vAlign w:val="bottom"/>
            <w:tcBorders>
              <w:bottom w:val="single" w:sz="8" w:color="999999"/>
            </w:tcBorders>
          </w:tcPr>
          <w:p>
            <w:pPr>
              <w:spacing w:after="0"/>
              <w:rPr>
                <w:sz w:val="14"/>
                <w:szCs w:val="14"/>
                <w:color w:val="auto"/>
              </w:rPr>
            </w:pPr>
          </w:p>
        </w:tc>
        <w:tc>
          <w:tcPr>
            <w:tcW w:w="40" w:type="dxa"/>
            <w:vAlign w:val="bottom"/>
            <w:tcBorders>
              <w:bottom w:val="single" w:sz="8" w:color="999999"/>
            </w:tcBorders>
          </w:tcPr>
          <w:p>
            <w:pPr>
              <w:spacing w:after="0"/>
              <w:rPr>
                <w:sz w:val="14"/>
                <w:szCs w:val="14"/>
                <w:color w:val="auto"/>
              </w:rPr>
            </w:pPr>
          </w:p>
        </w:tc>
        <w:tc>
          <w:tcPr>
            <w:tcW w:w="880" w:type="dxa"/>
            <w:vAlign w:val="bottom"/>
            <w:tcBorders>
              <w:bottom w:val="single" w:sz="8" w:color="999999"/>
            </w:tcBorders>
          </w:tcPr>
          <w:p>
            <w:pPr>
              <w:spacing w:after="0"/>
              <w:rPr>
                <w:sz w:val="14"/>
                <w:szCs w:val="14"/>
                <w:color w:val="auto"/>
              </w:rPr>
            </w:pPr>
          </w:p>
        </w:tc>
        <w:tc>
          <w:tcPr>
            <w:tcW w:w="40" w:type="dxa"/>
            <w:vAlign w:val="bottom"/>
            <w:tcBorders>
              <w:bottom w:val="single" w:sz="8" w:color="999999"/>
            </w:tcBorders>
          </w:tcPr>
          <w:p>
            <w:pPr>
              <w:spacing w:after="0"/>
              <w:rPr>
                <w:sz w:val="14"/>
                <w:szCs w:val="14"/>
                <w:color w:val="auto"/>
              </w:rPr>
            </w:pPr>
          </w:p>
        </w:tc>
        <w:tc>
          <w:tcPr>
            <w:tcW w:w="280" w:type="dxa"/>
            <w:vAlign w:val="bottom"/>
            <w:tcBorders>
              <w:bottom w:val="single" w:sz="8" w:color="999999"/>
            </w:tcBorders>
          </w:tcPr>
          <w:p>
            <w:pPr>
              <w:spacing w:after="0"/>
              <w:rPr>
                <w:sz w:val="14"/>
                <w:szCs w:val="14"/>
                <w:color w:val="auto"/>
              </w:rPr>
            </w:pPr>
          </w:p>
        </w:tc>
        <w:tc>
          <w:tcPr>
            <w:tcW w:w="420" w:type="dxa"/>
            <w:vAlign w:val="bottom"/>
            <w:tcBorders>
              <w:bottom w:val="single" w:sz="8" w:color="999999"/>
            </w:tcBorders>
          </w:tcPr>
          <w:p>
            <w:pPr>
              <w:spacing w:after="0"/>
              <w:rPr>
                <w:sz w:val="14"/>
                <w:szCs w:val="14"/>
                <w:color w:val="auto"/>
              </w:rPr>
            </w:pPr>
          </w:p>
        </w:tc>
        <w:tc>
          <w:tcPr>
            <w:tcW w:w="40" w:type="dxa"/>
            <w:vAlign w:val="bottom"/>
            <w:tcBorders>
              <w:bottom w:val="single" w:sz="8" w:color="999999"/>
            </w:tcBorders>
          </w:tcPr>
          <w:p>
            <w:pPr>
              <w:spacing w:after="0"/>
              <w:rPr>
                <w:sz w:val="14"/>
                <w:szCs w:val="14"/>
                <w:color w:val="auto"/>
              </w:rPr>
            </w:pPr>
          </w:p>
        </w:tc>
        <w:tc>
          <w:tcPr>
            <w:tcW w:w="320" w:type="dxa"/>
            <w:vAlign w:val="bottom"/>
            <w:tcBorders>
              <w:bottom w:val="single" w:sz="8" w:color="999999"/>
            </w:tcBorders>
          </w:tcPr>
          <w:p>
            <w:pPr>
              <w:ind w:left="120"/>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999999"/>
            </w:tcBorders>
            <w:gridSpan w:val="2"/>
          </w:tcPr>
          <w:p>
            <w:pPr>
              <w:jc w:val="right"/>
              <w:ind w:right="40"/>
              <w:spacing w:after="0"/>
              <w:rPr>
                <w:sz w:val="20"/>
                <w:szCs w:val="20"/>
                <w:color w:val="auto"/>
              </w:rPr>
            </w:pPr>
            <w:r>
              <w:rPr>
                <w:rFonts w:ascii="Arial" w:cs="Arial" w:eastAsia="Arial" w:hAnsi="Arial"/>
                <w:sz w:val="14"/>
                <w:szCs w:val="14"/>
                <w:color w:val="auto"/>
              </w:rPr>
              <w:t>399,968</w:t>
            </w:r>
          </w:p>
        </w:tc>
        <w:tc>
          <w:tcPr>
            <w:tcW w:w="0" w:type="dxa"/>
            <w:vAlign w:val="bottom"/>
          </w:tcPr>
          <w:p>
            <w:pPr>
              <w:spacing w:after="0"/>
              <w:rPr>
                <w:sz w:val="1"/>
                <w:szCs w:val="1"/>
                <w:color w:val="auto"/>
              </w:rPr>
            </w:pPr>
          </w:p>
        </w:tc>
      </w:tr>
      <w:tr>
        <w:trPr>
          <w:trHeight w:val="155"/>
        </w:trPr>
        <w:tc>
          <w:tcPr>
            <w:tcW w:w="2000" w:type="dxa"/>
            <w:vAlign w:val="bottom"/>
          </w:tcPr>
          <w:p>
            <w:pPr>
              <w:spacing w:after="0"/>
              <w:rPr>
                <w:sz w:val="13"/>
                <w:szCs w:val="13"/>
                <w:color w:val="auto"/>
              </w:rPr>
            </w:pPr>
          </w:p>
        </w:tc>
        <w:tc>
          <w:tcPr>
            <w:tcW w:w="960" w:type="dxa"/>
            <w:vAlign w:val="bottom"/>
            <w:tcBorders>
              <w:bottom w:val="single" w:sz="8" w:color="999999"/>
            </w:tcBorders>
          </w:tcPr>
          <w:p>
            <w:pPr>
              <w:ind w:left="120"/>
              <w:spacing w:after="0" w:line="155" w:lineRule="exact"/>
              <w:rPr>
                <w:sz w:val="20"/>
                <w:szCs w:val="20"/>
                <w:color w:val="auto"/>
              </w:rPr>
            </w:pPr>
            <w:r>
              <w:rPr>
                <w:rFonts w:ascii="Arial" w:cs="Arial" w:eastAsia="Arial" w:hAnsi="Arial"/>
                <w:sz w:val="14"/>
                <w:szCs w:val="14"/>
                <w:color w:val="auto"/>
              </w:rPr>
              <w:t>RSU (4)</w:t>
            </w:r>
          </w:p>
        </w:tc>
        <w:tc>
          <w:tcPr>
            <w:tcW w:w="120" w:type="dxa"/>
            <w:vAlign w:val="bottom"/>
            <w:tcBorders>
              <w:bottom w:val="single" w:sz="8" w:color="999999"/>
            </w:tcBorders>
          </w:tcPr>
          <w:p>
            <w:pPr>
              <w:spacing w:after="0"/>
              <w:rPr>
                <w:sz w:val="13"/>
                <w:szCs w:val="13"/>
                <w:color w:val="auto"/>
              </w:rPr>
            </w:pPr>
          </w:p>
        </w:tc>
        <w:tc>
          <w:tcPr>
            <w:tcW w:w="620" w:type="dxa"/>
            <w:vAlign w:val="bottom"/>
            <w:tcBorders>
              <w:bottom w:val="single" w:sz="8" w:color="999999"/>
            </w:tcBorders>
          </w:tcPr>
          <w:p>
            <w:pPr>
              <w:spacing w:after="0"/>
              <w:rPr>
                <w:sz w:val="13"/>
                <w:szCs w:val="13"/>
                <w:color w:val="auto"/>
              </w:rPr>
            </w:pPr>
          </w:p>
        </w:tc>
        <w:tc>
          <w:tcPr>
            <w:tcW w:w="920" w:type="dxa"/>
            <w:vAlign w:val="bottom"/>
            <w:tcBorders>
              <w:bottom w:val="single" w:sz="8" w:color="999999"/>
            </w:tcBorders>
          </w:tcPr>
          <w:p>
            <w:pPr>
              <w:spacing w:after="0"/>
              <w:rPr>
                <w:sz w:val="13"/>
                <w:szCs w:val="13"/>
                <w:color w:val="auto"/>
              </w:rPr>
            </w:pPr>
          </w:p>
        </w:tc>
        <w:tc>
          <w:tcPr>
            <w:tcW w:w="700" w:type="dxa"/>
            <w:vAlign w:val="bottom"/>
            <w:tcBorders>
              <w:bottom w:val="single" w:sz="8" w:color="999999"/>
            </w:tcBorders>
          </w:tcPr>
          <w:p>
            <w:pPr>
              <w:spacing w:after="0"/>
              <w:rPr>
                <w:sz w:val="13"/>
                <w:szCs w:val="13"/>
                <w:color w:val="auto"/>
              </w:rPr>
            </w:pPr>
          </w:p>
        </w:tc>
        <w:tc>
          <w:tcPr>
            <w:tcW w:w="160" w:type="dxa"/>
            <w:vAlign w:val="bottom"/>
            <w:tcBorders>
              <w:bottom w:val="single" w:sz="8" w:color="999999"/>
            </w:tcBorders>
          </w:tcPr>
          <w:p>
            <w:pPr>
              <w:spacing w:after="0"/>
              <w:rPr>
                <w:sz w:val="13"/>
                <w:szCs w:val="13"/>
                <w:color w:val="auto"/>
              </w:rPr>
            </w:pPr>
          </w:p>
        </w:tc>
        <w:tc>
          <w:tcPr>
            <w:tcW w:w="620" w:type="dxa"/>
            <w:vAlign w:val="bottom"/>
            <w:tcBorders>
              <w:bottom w:val="single" w:sz="8" w:color="999999"/>
            </w:tcBorders>
          </w:tcPr>
          <w:p>
            <w:pPr>
              <w:spacing w:after="0"/>
              <w:rPr>
                <w:sz w:val="13"/>
                <w:szCs w:val="13"/>
                <w:color w:val="auto"/>
              </w:rPr>
            </w:pPr>
          </w:p>
        </w:tc>
        <w:tc>
          <w:tcPr>
            <w:tcW w:w="640" w:type="dxa"/>
            <w:vAlign w:val="bottom"/>
            <w:tcBorders>
              <w:bottom w:val="single" w:sz="8" w:color="999999"/>
            </w:tcBorders>
          </w:tcPr>
          <w:p>
            <w:pPr>
              <w:spacing w:after="0"/>
              <w:rPr>
                <w:sz w:val="13"/>
                <w:szCs w:val="13"/>
                <w:color w:val="auto"/>
              </w:rPr>
            </w:pPr>
          </w:p>
        </w:tc>
        <w:tc>
          <w:tcPr>
            <w:tcW w:w="760" w:type="dxa"/>
            <w:vAlign w:val="bottom"/>
            <w:tcBorders>
              <w:bottom w:val="single" w:sz="8" w:color="999999"/>
            </w:tcBorders>
          </w:tcPr>
          <w:p>
            <w:pPr>
              <w:spacing w:after="0"/>
              <w:rPr>
                <w:sz w:val="13"/>
                <w:szCs w:val="13"/>
                <w:color w:val="auto"/>
              </w:rPr>
            </w:pPr>
          </w:p>
        </w:tc>
        <w:tc>
          <w:tcPr>
            <w:tcW w:w="80" w:type="dxa"/>
            <w:vAlign w:val="bottom"/>
            <w:tcBorders>
              <w:bottom w:val="single" w:sz="8" w:color="999999"/>
            </w:tcBorders>
          </w:tcPr>
          <w:p>
            <w:pPr>
              <w:spacing w:after="0"/>
              <w:rPr>
                <w:sz w:val="13"/>
                <w:szCs w:val="13"/>
                <w:color w:val="auto"/>
              </w:rPr>
            </w:pPr>
          </w:p>
        </w:tc>
        <w:tc>
          <w:tcPr>
            <w:tcW w:w="860" w:type="dxa"/>
            <w:vAlign w:val="bottom"/>
            <w:tcBorders>
              <w:bottom w:val="single" w:sz="8" w:color="999999"/>
            </w:tcBorders>
            <w:gridSpan w:val="2"/>
          </w:tcPr>
          <w:p>
            <w:pPr>
              <w:jc w:val="right"/>
              <w:ind w:right="40"/>
              <w:spacing w:after="0" w:line="155" w:lineRule="exact"/>
              <w:rPr>
                <w:sz w:val="20"/>
                <w:szCs w:val="20"/>
                <w:color w:val="auto"/>
              </w:rPr>
            </w:pPr>
            <w:r>
              <w:rPr>
                <w:rFonts w:ascii="Arial" w:cs="Arial" w:eastAsia="Arial" w:hAnsi="Arial"/>
                <w:sz w:val="14"/>
                <w:szCs w:val="14"/>
                <w:color w:val="auto"/>
              </w:rPr>
              <w:t>5,045</w:t>
            </w:r>
          </w:p>
        </w:tc>
        <w:tc>
          <w:tcPr>
            <w:tcW w:w="880" w:type="dxa"/>
            <w:vAlign w:val="bottom"/>
            <w:tcBorders>
              <w:bottom w:val="single" w:sz="8" w:color="999999"/>
            </w:tcBorders>
          </w:tcPr>
          <w:p>
            <w:pPr>
              <w:spacing w:after="0"/>
              <w:rPr>
                <w:sz w:val="13"/>
                <w:szCs w:val="13"/>
                <w:color w:val="auto"/>
              </w:rPr>
            </w:pPr>
          </w:p>
        </w:tc>
        <w:tc>
          <w:tcPr>
            <w:tcW w:w="40" w:type="dxa"/>
            <w:vAlign w:val="bottom"/>
            <w:tcBorders>
              <w:bottom w:val="single" w:sz="8" w:color="999999"/>
            </w:tcBorders>
          </w:tcPr>
          <w:p>
            <w:pPr>
              <w:spacing w:after="0"/>
              <w:rPr>
                <w:sz w:val="13"/>
                <w:szCs w:val="13"/>
                <w:color w:val="auto"/>
              </w:rPr>
            </w:pPr>
          </w:p>
        </w:tc>
        <w:tc>
          <w:tcPr>
            <w:tcW w:w="280" w:type="dxa"/>
            <w:vAlign w:val="bottom"/>
            <w:tcBorders>
              <w:bottom w:val="single" w:sz="8" w:color="999999"/>
            </w:tcBorders>
          </w:tcPr>
          <w:p>
            <w:pPr>
              <w:spacing w:after="0"/>
              <w:rPr>
                <w:sz w:val="13"/>
                <w:szCs w:val="13"/>
                <w:color w:val="auto"/>
              </w:rPr>
            </w:pPr>
          </w:p>
        </w:tc>
        <w:tc>
          <w:tcPr>
            <w:tcW w:w="420" w:type="dxa"/>
            <w:vAlign w:val="bottom"/>
            <w:tcBorders>
              <w:bottom w:val="single" w:sz="8" w:color="999999"/>
            </w:tcBorders>
          </w:tcPr>
          <w:p>
            <w:pPr>
              <w:spacing w:after="0"/>
              <w:rPr>
                <w:sz w:val="13"/>
                <w:szCs w:val="13"/>
                <w:color w:val="auto"/>
              </w:rPr>
            </w:pPr>
          </w:p>
        </w:tc>
        <w:tc>
          <w:tcPr>
            <w:tcW w:w="40" w:type="dxa"/>
            <w:vAlign w:val="bottom"/>
            <w:tcBorders>
              <w:bottom w:val="single" w:sz="8" w:color="999999"/>
            </w:tcBorders>
          </w:tcPr>
          <w:p>
            <w:pPr>
              <w:spacing w:after="0"/>
              <w:rPr>
                <w:sz w:val="13"/>
                <w:szCs w:val="13"/>
                <w:color w:val="auto"/>
              </w:rPr>
            </w:pPr>
          </w:p>
        </w:tc>
        <w:tc>
          <w:tcPr>
            <w:tcW w:w="320" w:type="dxa"/>
            <w:vAlign w:val="bottom"/>
            <w:tcBorders>
              <w:bottom w:val="single" w:sz="8" w:color="999999"/>
            </w:tcBorders>
          </w:tcPr>
          <w:p>
            <w:pPr>
              <w:ind w:left="120"/>
              <w:spacing w:after="0" w:line="155" w:lineRule="exact"/>
              <w:rPr>
                <w:sz w:val="20"/>
                <w:szCs w:val="20"/>
                <w:color w:val="auto"/>
              </w:rPr>
            </w:pPr>
            <w:r>
              <w:rPr>
                <w:rFonts w:ascii="Arial" w:cs="Arial" w:eastAsia="Arial" w:hAnsi="Arial"/>
                <w:sz w:val="14"/>
                <w:szCs w:val="14"/>
                <w:color w:val="auto"/>
              </w:rPr>
              <w:t>$</w:t>
            </w:r>
          </w:p>
        </w:tc>
        <w:tc>
          <w:tcPr>
            <w:tcW w:w="580" w:type="dxa"/>
            <w:vAlign w:val="bottom"/>
            <w:tcBorders>
              <w:bottom w:val="single" w:sz="8" w:color="999999"/>
            </w:tcBorders>
            <w:gridSpan w:val="2"/>
          </w:tcPr>
          <w:p>
            <w:pPr>
              <w:jc w:val="right"/>
              <w:ind w:right="40"/>
              <w:spacing w:after="0" w:line="155" w:lineRule="exact"/>
              <w:rPr>
                <w:sz w:val="20"/>
                <w:szCs w:val="20"/>
                <w:color w:val="auto"/>
              </w:rPr>
            </w:pPr>
            <w:r>
              <w:rPr>
                <w:rFonts w:ascii="Arial" w:cs="Arial" w:eastAsia="Arial" w:hAnsi="Arial"/>
                <w:sz w:val="14"/>
                <w:szCs w:val="14"/>
                <w:color w:val="auto"/>
              </w:rPr>
              <w:t>399,968</w:t>
            </w:r>
          </w:p>
        </w:tc>
        <w:tc>
          <w:tcPr>
            <w:tcW w:w="0" w:type="dxa"/>
            <w:vAlign w:val="bottom"/>
          </w:tcPr>
          <w:p>
            <w:pPr>
              <w:spacing w:after="0"/>
              <w:rPr>
                <w:sz w:val="1"/>
                <w:szCs w:val="1"/>
                <w:color w:val="auto"/>
              </w:rPr>
            </w:pPr>
          </w:p>
        </w:tc>
      </w:tr>
      <w:tr>
        <w:trPr>
          <w:trHeight w:val="155"/>
        </w:trPr>
        <w:tc>
          <w:tcPr>
            <w:tcW w:w="2000" w:type="dxa"/>
            <w:vAlign w:val="bottom"/>
          </w:tcPr>
          <w:p>
            <w:pPr>
              <w:spacing w:after="0"/>
              <w:rPr>
                <w:sz w:val="13"/>
                <w:szCs w:val="13"/>
                <w:color w:val="auto"/>
              </w:rPr>
            </w:pPr>
          </w:p>
        </w:tc>
        <w:tc>
          <w:tcPr>
            <w:tcW w:w="960" w:type="dxa"/>
            <w:vAlign w:val="bottom"/>
          </w:tcPr>
          <w:p>
            <w:pPr>
              <w:ind w:left="120"/>
              <w:spacing w:after="0" w:line="155" w:lineRule="exact"/>
              <w:rPr>
                <w:sz w:val="20"/>
                <w:szCs w:val="20"/>
                <w:color w:val="auto"/>
              </w:rPr>
            </w:pPr>
            <w:r>
              <w:rPr>
                <w:rFonts w:ascii="Arial" w:cs="Arial" w:eastAsia="Arial" w:hAnsi="Arial"/>
                <w:sz w:val="14"/>
                <w:szCs w:val="14"/>
                <w:color w:val="auto"/>
              </w:rPr>
              <w:t>AIP (5)</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jc w:val="right"/>
              <w:ind w:right="88"/>
              <w:spacing w:after="0" w:line="155" w:lineRule="exact"/>
              <w:rPr>
                <w:sz w:val="20"/>
                <w:szCs w:val="20"/>
                <w:color w:val="auto"/>
              </w:rPr>
            </w:pPr>
            <w:r>
              <w:rPr>
                <w:rFonts w:ascii="Arial" w:cs="Arial" w:eastAsia="Arial" w:hAnsi="Arial"/>
                <w:sz w:val="14"/>
                <w:szCs w:val="14"/>
                <w:color w:val="auto"/>
              </w:rPr>
              <w:t>685,000</w:t>
            </w: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1,370,000</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00" w:type="dxa"/>
            <w:vAlign w:val="bottom"/>
            <w:shd w:val="clear" w:color="auto" w:fill="D8D8D8"/>
          </w:tcPr>
          <w:p>
            <w:pPr>
              <w:spacing w:after="0"/>
              <w:rPr>
                <w:sz w:val="20"/>
                <w:szCs w:val="20"/>
                <w:color w:val="auto"/>
              </w:rPr>
            </w:pPr>
            <w:r>
              <w:rPr>
                <w:rFonts w:ascii="Arial" w:cs="Arial" w:eastAsia="Arial" w:hAnsi="Arial"/>
                <w:sz w:val="14"/>
                <w:szCs w:val="14"/>
                <w:color w:val="auto"/>
              </w:rPr>
              <w:t>C. Anderson Fincher</w:t>
            </w:r>
          </w:p>
        </w:tc>
        <w:tc>
          <w:tcPr>
            <w:tcW w:w="960" w:type="dxa"/>
            <w:vAlign w:val="bottom"/>
            <w:shd w:val="clear" w:color="auto" w:fill="D8D8D8"/>
          </w:tcPr>
          <w:p>
            <w:pPr>
              <w:ind w:left="120"/>
              <w:spacing w:after="0"/>
              <w:rPr>
                <w:sz w:val="20"/>
                <w:szCs w:val="20"/>
                <w:color w:val="auto"/>
              </w:rPr>
            </w:pPr>
            <w:r>
              <w:rPr>
                <w:rFonts w:ascii="Arial" w:cs="Arial" w:eastAsia="Arial" w:hAnsi="Arial"/>
                <w:sz w:val="14"/>
                <w:szCs w:val="14"/>
                <w:color w:val="auto"/>
              </w:rPr>
              <w:t>SSAR (2)</w:t>
            </w:r>
          </w:p>
        </w:tc>
        <w:tc>
          <w:tcPr>
            <w:tcW w:w="120" w:type="dxa"/>
            <w:vAlign w:val="bottom"/>
            <w:shd w:val="clear" w:color="auto" w:fill="D8D8D8"/>
          </w:tcPr>
          <w:p>
            <w:pPr>
              <w:spacing w:after="0"/>
              <w:rPr>
                <w:sz w:val="14"/>
                <w:szCs w:val="14"/>
                <w:color w:val="auto"/>
              </w:rPr>
            </w:pPr>
          </w:p>
        </w:tc>
        <w:tc>
          <w:tcPr>
            <w:tcW w:w="620" w:type="dxa"/>
            <w:vAlign w:val="bottom"/>
            <w:shd w:val="clear" w:color="auto" w:fill="D8D8D8"/>
          </w:tcPr>
          <w:p>
            <w:pPr>
              <w:spacing w:after="0"/>
              <w:rPr>
                <w:sz w:val="14"/>
                <w:szCs w:val="14"/>
                <w:color w:val="auto"/>
              </w:rPr>
            </w:pPr>
          </w:p>
        </w:tc>
        <w:tc>
          <w:tcPr>
            <w:tcW w:w="920" w:type="dxa"/>
            <w:vAlign w:val="bottom"/>
            <w:shd w:val="clear" w:color="auto" w:fill="D8D8D8"/>
          </w:tcPr>
          <w:p>
            <w:pPr>
              <w:spacing w:after="0"/>
              <w:rPr>
                <w:sz w:val="14"/>
                <w:szCs w:val="14"/>
                <w:color w:val="auto"/>
              </w:rPr>
            </w:pPr>
          </w:p>
        </w:tc>
        <w:tc>
          <w:tcPr>
            <w:tcW w:w="700" w:type="dxa"/>
            <w:vAlign w:val="bottom"/>
            <w:shd w:val="clear" w:color="auto" w:fill="D8D8D8"/>
          </w:tcPr>
          <w:p>
            <w:pPr>
              <w:spacing w:after="0"/>
              <w:rPr>
                <w:sz w:val="14"/>
                <w:szCs w:val="14"/>
                <w:color w:val="auto"/>
              </w:rPr>
            </w:pPr>
          </w:p>
        </w:tc>
        <w:tc>
          <w:tcPr>
            <w:tcW w:w="160" w:type="dxa"/>
            <w:vAlign w:val="bottom"/>
            <w:shd w:val="clear" w:color="auto" w:fill="D8D8D8"/>
          </w:tcPr>
          <w:p>
            <w:pPr>
              <w:spacing w:after="0"/>
              <w:rPr>
                <w:sz w:val="14"/>
                <w:szCs w:val="14"/>
                <w:color w:val="auto"/>
              </w:rPr>
            </w:pPr>
          </w:p>
        </w:tc>
        <w:tc>
          <w:tcPr>
            <w:tcW w:w="620" w:type="dxa"/>
            <w:vAlign w:val="bottom"/>
            <w:shd w:val="clear" w:color="auto" w:fill="D8D8D8"/>
          </w:tcPr>
          <w:p>
            <w:pPr>
              <w:spacing w:after="0"/>
              <w:rPr>
                <w:sz w:val="14"/>
                <w:szCs w:val="14"/>
                <w:color w:val="auto"/>
              </w:rPr>
            </w:pPr>
          </w:p>
        </w:tc>
        <w:tc>
          <w:tcPr>
            <w:tcW w:w="640" w:type="dxa"/>
            <w:vAlign w:val="bottom"/>
            <w:shd w:val="clear" w:color="auto" w:fill="D8D8D8"/>
          </w:tcPr>
          <w:p>
            <w:pPr>
              <w:spacing w:after="0"/>
              <w:rPr>
                <w:sz w:val="14"/>
                <w:szCs w:val="14"/>
                <w:color w:val="auto"/>
              </w:rPr>
            </w:pPr>
          </w:p>
        </w:tc>
        <w:tc>
          <w:tcPr>
            <w:tcW w:w="760" w:type="dxa"/>
            <w:vAlign w:val="bottom"/>
            <w:shd w:val="clear" w:color="auto" w:fill="D8D8D8"/>
          </w:tcPr>
          <w:p>
            <w:pPr>
              <w:spacing w:after="0"/>
              <w:rPr>
                <w:sz w:val="14"/>
                <w:szCs w:val="14"/>
                <w:color w:val="auto"/>
              </w:rPr>
            </w:pPr>
          </w:p>
        </w:tc>
        <w:tc>
          <w:tcPr>
            <w:tcW w:w="80" w:type="dxa"/>
            <w:vAlign w:val="bottom"/>
            <w:shd w:val="clear" w:color="auto" w:fill="D8D8D8"/>
          </w:tcPr>
          <w:p>
            <w:pPr>
              <w:spacing w:after="0"/>
              <w:rPr>
                <w:sz w:val="14"/>
                <w:szCs w:val="14"/>
                <w:color w:val="auto"/>
              </w:rPr>
            </w:pPr>
          </w:p>
        </w:tc>
        <w:tc>
          <w:tcPr>
            <w:tcW w:w="820" w:type="dxa"/>
            <w:vAlign w:val="bottom"/>
            <w:shd w:val="clear" w:color="auto" w:fill="D8D8D8"/>
          </w:tcPr>
          <w:p>
            <w:pPr>
              <w:spacing w:after="0"/>
              <w:rPr>
                <w:sz w:val="14"/>
                <w:szCs w:val="14"/>
                <w:color w:val="auto"/>
              </w:rPr>
            </w:pPr>
          </w:p>
        </w:tc>
        <w:tc>
          <w:tcPr>
            <w:tcW w:w="40" w:type="dxa"/>
            <w:vAlign w:val="bottom"/>
            <w:shd w:val="clear" w:color="auto" w:fill="D8D8D8"/>
          </w:tcPr>
          <w:p>
            <w:pPr>
              <w:spacing w:after="0"/>
              <w:rPr>
                <w:sz w:val="14"/>
                <w:szCs w:val="14"/>
                <w:color w:val="auto"/>
              </w:rPr>
            </w:pPr>
          </w:p>
        </w:tc>
        <w:tc>
          <w:tcPr>
            <w:tcW w:w="920" w:type="dxa"/>
            <w:vAlign w:val="bottom"/>
            <w:gridSpan w:val="2"/>
            <w:shd w:val="clear" w:color="auto" w:fill="D8D8D8"/>
          </w:tcPr>
          <w:p>
            <w:pPr>
              <w:jc w:val="right"/>
              <w:ind w:right="40"/>
              <w:spacing w:after="0"/>
              <w:rPr>
                <w:sz w:val="20"/>
                <w:szCs w:val="20"/>
                <w:color w:val="auto"/>
              </w:rPr>
            </w:pPr>
            <w:r>
              <w:rPr>
                <w:rFonts w:ascii="Arial" w:cs="Arial" w:eastAsia="Arial" w:hAnsi="Arial"/>
                <w:sz w:val="14"/>
                <w:szCs w:val="14"/>
                <w:color w:val="auto"/>
              </w:rPr>
              <w:t>27,750</w:t>
            </w:r>
          </w:p>
        </w:tc>
        <w:tc>
          <w:tcPr>
            <w:tcW w:w="280" w:type="dxa"/>
            <w:vAlign w:val="bottom"/>
            <w:shd w:val="clear" w:color="auto" w:fill="D8D8D8"/>
          </w:tcPr>
          <w:p>
            <w:pPr>
              <w:ind w:left="120"/>
              <w:spacing w:after="0"/>
              <w:rPr>
                <w:sz w:val="20"/>
                <w:szCs w:val="20"/>
                <w:color w:val="auto"/>
              </w:rPr>
            </w:pPr>
            <w:r>
              <w:rPr>
                <w:rFonts w:ascii="Arial" w:cs="Arial" w:eastAsia="Arial" w:hAnsi="Arial"/>
                <w:sz w:val="14"/>
                <w:szCs w:val="14"/>
                <w:color w:val="auto"/>
              </w:rPr>
              <w:t>$</w:t>
            </w:r>
          </w:p>
        </w:tc>
        <w:tc>
          <w:tcPr>
            <w:tcW w:w="460" w:type="dxa"/>
            <w:vAlign w:val="bottom"/>
            <w:gridSpan w:val="2"/>
            <w:shd w:val="clear" w:color="auto" w:fill="D8D8D8"/>
          </w:tcPr>
          <w:p>
            <w:pPr>
              <w:jc w:val="right"/>
              <w:ind w:right="40"/>
              <w:spacing w:after="0"/>
              <w:rPr>
                <w:sz w:val="20"/>
                <w:szCs w:val="20"/>
                <w:color w:val="auto"/>
              </w:rPr>
            </w:pPr>
            <w:r>
              <w:rPr>
                <w:rFonts w:ascii="Arial" w:cs="Arial" w:eastAsia="Arial" w:hAnsi="Arial"/>
                <w:sz w:val="14"/>
                <w:szCs w:val="14"/>
                <w:color w:val="auto"/>
              </w:rPr>
              <w:t>79.28</w:t>
            </w:r>
          </w:p>
        </w:tc>
        <w:tc>
          <w:tcPr>
            <w:tcW w:w="320" w:type="dxa"/>
            <w:vAlign w:val="bottom"/>
            <w:shd w:val="clear" w:color="auto" w:fill="D8D8D8"/>
          </w:tcPr>
          <w:p>
            <w:pPr>
              <w:ind w:left="12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D8D8D8"/>
          </w:tcPr>
          <w:p>
            <w:pPr>
              <w:jc w:val="right"/>
              <w:ind w:right="40"/>
              <w:spacing w:after="0"/>
              <w:rPr>
                <w:sz w:val="20"/>
                <w:szCs w:val="20"/>
                <w:color w:val="auto"/>
              </w:rPr>
            </w:pPr>
            <w:r>
              <w:rPr>
                <w:rFonts w:ascii="Arial" w:cs="Arial" w:eastAsia="Arial" w:hAnsi="Arial"/>
                <w:sz w:val="14"/>
                <w:szCs w:val="14"/>
                <w:color w:val="auto"/>
              </w:rPr>
              <w:t>350,458</w:t>
            </w:r>
          </w:p>
        </w:tc>
        <w:tc>
          <w:tcPr>
            <w:tcW w:w="0" w:type="dxa"/>
            <w:vAlign w:val="bottom"/>
          </w:tcPr>
          <w:p>
            <w:pPr>
              <w:spacing w:after="0"/>
              <w:rPr>
                <w:sz w:val="1"/>
                <w:szCs w:val="1"/>
                <w:color w:val="auto"/>
              </w:rPr>
            </w:pPr>
          </w:p>
        </w:tc>
      </w:tr>
      <w:tr>
        <w:trPr>
          <w:trHeight w:val="180"/>
        </w:trPr>
        <w:tc>
          <w:tcPr>
            <w:tcW w:w="2000" w:type="dxa"/>
            <w:vAlign w:val="bottom"/>
            <w:shd w:val="clear" w:color="auto" w:fill="D8D8D8"/>
          </w:tcPr>
          <w:p>
            <w:pPr>
              <w:spacing w:after="0"/>
              <w:rPr>
                <w:sz w:val="15"/>
                <w:szCs w:val="15"/>
                <w:color w:val="auto"/>
              </w:rPr>
            </w:pPr>
          </w:p>
        </w:tc>
        <w:tc>
          <w:tcPr>
            <w:tcW w:w="960" w:type="dxa"/>
            <w:vAlign w:val="bottom"/>
            <w:shd w:val="clear" w:color="auto" w:fill="D8D8D8"/>
          </w:tcPr>
          <w:p>
            <w:pPr>
              <w:ind w:left="120"/>
              <w:spacing w:after="0"/>
              <w:rPr>
                <w:sz w:val="20"/>
                <w:szCs w:val="20"/>
                <w:color w:val="auto"/>
              </w:rPr>
            </w:pPr>
            <w:r>
              <w:rPr>
                <w:rFonts w:ascii="Arial" w:cs="Arial" w:eastAsia="Arial" w:hAnsi="Arial"/>
                <w:sz w:val="14"/>
                <w:szCs w:val="14"/>
                <w:color w:val="auto"/>
              </w:rPr>
              <w:t>Performance</w:t>
            </w:r>
          </w:p>
        </w:tc>
        <w:tc>
          <w:tcPr>
            <w:tcW w:w="120" w:type="dxa"/>
            <w:vAlign w:val="bottom"/>
            <w:shd w:val="clear" w:color="auto" w:fill="D8D8D8"/>
          </w:tcPr>
          <w:p>
            <w:pPr>
              <w:spacing w:after="0"/>
              <w:rPr>
                <w:sz w:val="15"/>
                <w:szCs w:val="15"/>
                <w:color w:val="auto"/>
              </w:rPr>
            </w:pPr>
          </w:p>
        </w:tc>
        <w:tc>
          <w:tcPr>
            <w:tcW w:w="620" w:type="dxa"/>
            <w:vAlign w:val="bottom"/>
            <w:shd w:val="clear" w:color="auto" w:fill="D8D8D8"/>
          </w:tcPr>
          <w:p>
            <w:pPr>
              <w:spacing w:after="0"/>
              <w:rPr>
                <w:sz w:val="15"/>
                <w:szCs w:val="15"/>
                <w:color w:val="auto"/>
              </w:rPr>
            </w:pPr>
          </w:p>
        </w:tc>
        <w:tc>
          <w:tcPr>
            <w:tcW w:w="920" w:type="dxa"/>
            <w:vAlign w:val="bottom"/>
            <w:shd w:val="clear" w:color="auto" w:fill="D8D8D8"/>
          </w:tcPr>
          <w:p>
            <w:pPr>
              <w:spacing w:after="0"/>
              <w:rPr>
                <w:sz w:val="15"/>
                <w:szCs w:val="15"/>
                <w:color w:val="auto"/>
              </w:rPr>
            </w:pPr>
          </w:p>
        </w:tc>
        <w:tc>
          <w:tcPr>
            <w:tcW w:w="700" w:type="dxa"/>
            <w:vAlign w:val="bottom"/>
            <w:shd w:val="clear" w:color="auto" w:fill="D8D8D8"/>
          </w:tcPr>
          <w:p>
            <w:pPr>
              <w:spacing w:after="0"/>
              <w:rPr>
                <w:sz w:val="15"/>
                <w:szCs w:val="15"/>
                <w:color w:val="auto"/>
              </w:rPr>
            </w:pPr>
          </w:p>
        </w:tc>
        <w:tc>
          <w:tcPr>
            <w:tcW w:w="160" w:type="dxa"/>
            <w:vAlign w:val="bottom"/>
            <w:shd w:val="clear" w:color="auto" w:fill="D8D8D8"/>
          </w:tcPr>
          <w:p>
            <w:pPr>
              <w:spacing w:after="0"/>
              <w:rPr>
                <w:sz w:val="15"/>
                <w:szCs w:val="15"/>
                <w:color w:val="auto"/>
              </w:rPr>
            </w:pPr>
          </w:p>
        </w:tc>
        <w:tc>
          <w:tcPr>
            <w:tcW w:w="620" w:type="dxa"/>
            <w:vAlign w:val="bottom"/>
            <w:shd w:val="clear" w:color="auto" w:fill="D8D8D8"/>
          </w:tcPr>
          <w:p>
            <w:pPr>
              <w:spacing w:after="0"/>
              <w:rPr>
                <w:sz w:val="15"/>
                <w:szCs w:val="15"/>
                <w:color w:val="auto"/>
              </w:rPr>
            </w:pPr>
          </w:p>
        </w:tc>
        <w:tc>
          <w:tcPr>
            <w:tcW w:w="640" w:type="dxa"/>
            <w:vAlign w:val="bottom"/>
            <w:shd w:val="clear" w:color="auto" w:fill="D8D8D8"/>
          </w:tcPr>
          <w:p>
            <w:pPr>
              <w:spacing w:after="0"/>
              <w:rPr>
                <w:sz w:val="15"/>
                <w:szCs w:val="15"/>
                <w:color w:val="auto"/>
              </w:rPr>
            </w:pPr>
          </w:p>
        </w:tc>
        <w:tc>
          <w:tcPr>
            <w:tcW w:w="760" w:type="dxa"/>
            <w:vAlign w:val="bottom"/>
            <w:shd w:val="clear" w:color="auto" w:fill="D8D8D8"/>
          </w:tcPr>
          <w:p>
            <w:pPr>
              <w:spacing w:after="0"/>
              <w:rPr>
                <w:sz w:val="15"/>
                <w:szCs w:val="15"/>
                <w:color w:val="auto"/>
              </w:rPr>
            </w:pPr>
          </w:p>
        </w:tc>
        <w:tc>
          <w:tcPr>
            <w:tcW w:w="80" w:type="dxa"/>
            <w:vAlign w:val="bottom"/>
            <w:shd w:val="clear" w:color="auto" w:fill="D8D8D8"/>
          </w:tcPr>
          <w:p>
            <w:pPr>
              <w:spacing w:after="0"/>
              <w:rPr>
                <w:sz w:val="15"/>
                <w:szCs w:val="15"/>
                <w:color w:val="auto"/>
              </w:rPr>
            </w:pPr>
          </w:p>
        </w:tc>
        <w:tc>
          <w:tcPr>
            <w:tcW w:w="820" w:type="dxa"/>
            <w:vAlign w:val="bottom"/>
            <w:shd w:val="clear" w:color="auto" w:fill="D8D8D8"/>
          </w:tcPr>
          <w:p>
            <w:pPr>
              <w:spacing w:after="0"/>
              <w:rPr>
                <w:sz w:val="15"/>
                <w:szCs w:val="15"/>
                <w:color w:val="auto"/>
              </w:rPr>
            </w:pPr>
          </w:p>
        </w:tc>
        <w:tc>
          <w:tcPr>
            <w:tcW w:w="40" w:type="dxa"/>
            <w:vAlign w:val="bottom"/>
            <w:shd w:val="clear" w:color="auto" w:fill="D8D8D8"/>
          </w:tcPr>
          <w:p>
            <w:pPr>
              <w:spacing w:after="0"/>
              <w:rPr>
                <w:sz w:val="15"/>
                <w:szCs w:val="15"/>
                <w:color w:val="auto"/>
              </w:rPr>
            </w:pPr>
          </w:p>
        </w:tc>
        <w:tc>
          <w:tcPr>
            <w:tcW w:w="880" w:type="dxa"/>
            <w:vAlign w:val="bottom"/>
            <w:shd w:val="clear" w:color="auto" w:fill="D8D8D8"/>
          </w:tcPr>
          <w:p>
            <w:pPr>
              <w:spacing w:after="0"/>
              <w:rPr>
                <w:sz w:val="15"/>
                <w:szCs w:val="15"/>
                <w:color w:val="auto"/>
              </w:rPr>
            </w:pPr>
          </w:p>
        </w:tc>
        <w:tc>
          <w:tcPr>
            <w:tcW w:w="40" w:type="dxa"/>
            <w:vAlign w:val="bottom"/>
            <w:shd w:val="clear" w:color="auto" w:fill="D8D8D8"/>
          </w:tcPr>
          <w:p>
            <w:pPr>
              <w:spacing w:after="0"/>
              <w:rPr>
                <w:sz w:val="15"/>
                <w:szCs w:val="15"/>
                <w:color w:val="auto"/>
              </w:rPr>
            </w:pPr>
          </w:p>
        </w:tc>
        <w:tc>
          <w:tcPr>
            <w:tcW w:w="280" w:type="dxa"/>
            <w:vAlign w:val="bottom"/>
            <w:shd w:val="clear" w:color="auto" w:fill="D8D8D8"/>
          </w:tcPr>
          <w:p>
            <w:pPr>
              <w:spacing w:after="0"/>
              <w:rPr>
                <w:sz w:val="15"/>
                <w:szCs w:val="15"/>
                <w:color w:val="auto"/>
              </w:rPr>
            </w:pPr>
          </w:p>
        </w:tc>
        <w:tc>
          <w:tcPr>
            <w:tcW w:w="420" w:type="dxa"/>
            <w:vAlign w:val="bottom"/>
            <w:shd w:val="clear" w:color="auto" w:fill="D8D8D8"/>
          </w:tcPr>
          <w:p>
            <w:pPr>
              <w:spacing w:after="0"/>
              <w:rPr>
                <w:sz w:val="15"/>
                <w:szCs w:val="15"/>
                <w:color w:val="auto"/>
              </w:rPr>
            </w:pPr>
          </w:p>
        </w:tc>
        <w:tc>
          <w:tcPr>
            <w:tcW w:w="40" w:type="dxa"/>
            <w:vAlign w:val="bottom"/>
            <w:shd w:val="clear" w:color="auto" w:fill="D8D8D8"/>
          </w:tcPr>
          <w:p>
            <w:pPr>
              <w:spacing w:after="0"/>
              <w:rPr>
                <w:sz w:val="15"/>
                <w:szCs w:val="15"/>
                <w:color w:val="auto"/>
              </w:rPr>
            </w:pPr>
          </w:p>
        </w:tc>
        <w:tc>
          <w:tcPr>
            <w:tcW w:w="320" w:type="dxa"/>
            <w:vAlign w:val="bottom"/>
            <w:shd w:val="clear" w:color="auto" w:fill="D8D8D8"/>
          </w:tcPr>
          <w:p>
            <w:pPr>
              <w:spacing w:after="0"/>
              <w:rPr>
                <w:sz w:val="15"/>
                <w:szCs w:val="15"/>
                <w:color w:val="auto"/>
              </w:rPr>
            </w:pPr>
          </w:p>
        </w:tc>
        <w:tc>
          <w:tcPr>
            <w:tcW w:w="540" w:type="dxa"/>
            <w:vAlign w:val="bottom"/>
            <w:shd w:val="clear" w:color="auto" w:fill="D8D8D8"/>
          </w:tcPr>
          <w:p>
            <w:pPr>
              <w:spacing w:after="0"/>
              <w:rPr>
                <w:sz w:val="15"/>
                <w:szCs w:val="15"/>
                <w:color w:val="auto"/>
              </w:rPr>
            </w:pPr>
          </w:p>
        </w:tc>
        <w:tc>
          <w:tcPr>
            <w:tcW w:w="40" w:type="dxa"/>
            <w:vAlign w:val="bottom"/>
            <w:shd w:val="clear" w:color="auto" w:fill="D8D8D8"/>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00" w:type="dxa"/>
            <w:vAlign w:val="bottom"/>
            <w:shd w:val="clear" w:color="auto" w:fill="D8D8D8"/>
          </w:tcPr>
          <w:p>
            <w:pPr>
              <w:spacing w:after="0"/>
              <w:rPr>
                <w:sz w:val="14"/>
                <w:szCs w:val="14"/>
                <w:color w:val="auto"/>
              </w:rPr>
            </w:pPr>
          </w:p>
        </w:tc>
        <w:tc>
          <w:tcPr>
            <w:tcW w:w="960" w:type="dxa"/>
            <w:vAlign w:val="bottom"/>
            <w:shd w:val="clear" w:color="auto" w:fill="D8D8D8"/>
          </w:tcPr>
          <w:p>
            <w:pPr>
              <w:ind w:left="120"/>
              <w:spacing w:after="0"/>
              <w:rPr>
                <w:sz w:val="20"/>
                <w:szCs w:val="20"/>
                <w:color w:val="auto"/>
              </w:rPr>
            </w:pPr>
            <w:r>
              <w:rPr>
                <w:rFonts w:ascii="Arial" w:cs="Arial" w:eastAsia="Arial" w:hAnsi="Arial"/>
                <w:sz w:val="14"/>
                <w:szCs w:val="14"/>
                <w:color w:val="auto"/>
              </w:rPr>
              <w:t>Shares (3)</w:t>
            </w:r>
          </w:p>
        </w:tc>
        <w:tc>
          <w:tcPr>
            <w:tcW w:w="120" w:type="dxa"/>
            <w:vAlign w:val="bottom"/>
            <w:shd w:val="clear" w:color="auto" w:fill="D8D8D8"/>
          </w:tcPr>
          <w:p>
            <w:pPr>
              <w:spacing w:after="0"/>
              <w:rPr>
                <w:sz w:val="14"/>
                <w:szCs w:val="14"/>
                <w:color w:val="auto"/>
              </w:rPr>
            </w:pPr>
          </w:p>
        </w:tc>
        <w:tc>
          <w:tcPr>
            <w:tcW w:w="620" w:type="dxa"/>
            <w:vAlign w:val="bottom"/>
            <w:shd w:val="clear" w:color="auto" w:fill="D8D8D8"/>
          </w:tcPr>
          <w:p>
            <w:pPr>
              <w:spacing w:after="0"/>
              <w:rPr>
                <w:sz w:val="14"/>
                <w:szCs w:val="14"/>
                <w:color w:val="auto"/>
              </w:rPr>
            </w:pPr>
          </w:p>
        </w:tc>
        <w:tc>
          <w:tcPr>
            <w:tcW w:w="920" w:type="dxa"/>
            <w:vAlign w:val="bottom"/>
            <w:shd w:val="clear" w:color="auto" w:fill="D8D8D8"/>
          </w:tcPr>
          <w:p>
            <w:pPr>
              <w:spacing w:after="0"/>
              <w:rPr>
                <w:sz w:val="14"/>
                <w:szCs w:val="14"/>
                <w:color w:val="auto"/>
              </w:rPr>
            </w:pPr>
          </w:p>
        </w:tc>
        <w:tc>
          <w:tcPr>
            <w:tcW w:w="700" w:type="dxa"/>
            <w:vAlign w:val="bottom"/>
            <w:shd w:val="clear" w:color="auto" w:fill="D8D8D8"/>
          </w:tcPr>
          <w:p>
            <w:pPr>
              <w:spacing w:after="0"/>
              <w:rPr>
                <w:sz w:val="14"/>
                <w:szCs w:val="14"/>
                <w:color w:val="auto"/>
              </w:rPr>
            </w:pPr>
          </w:p>
        </w:tc>
        <w:tc>
          <w:tcPr>
            <w:tcW w:w="160" w:type="dxa"/>
            <w:vAlign w:val="bottom"/>
            <w:shd w:val="clear" w:color="auto" w:fill="D8D8D8"/>
          </w:tcPr>
          <w:p>
            <w:pPr>
              <w:spacing w:after="0"/>
              <w:rPr>
                <w:sz w:val="14"/>
                <w:szCs w:val="14"/>
                <w:color w:val="auto"/>
              </w:rPr>
            </w:pPr>
          </w:p>
        </w:tc>
        <w:tc>
          <w:tcPr>
            <w:tcW w:w="620" w:type="dxa"/>
            <w:vAlign w:val="bottom"/>
            <w:shd w:val="clear" w:color="auto" w:fill="D8D8D8"/>
          </w:tcPr>
          <w:p>
            <w:pPr>
              <w:spacing w:after="0"/>
              <w:rPr>
                <w:sz w:val="14"/>
                <w:szCs w:val="14"/>
                <w:color w:val="auto"/>
              </w:rPr>
            </w:pPr>
          </w:p>
        </w:tc>
        <w:tc>
          <w:tcPr>
            <w:tcW w:w="640" w:type="dxa"/>
            <w:vAlign w:val="bottom"/>
            <w:shd w:val="clear" w:color="auto" w:fill="D8D8D8"/>
          </w:tcPr>
          <w:p>
            <w:pPr>
              <w:jc w:val="right"/>
              <w:ind w:right="8"/>
              <w:spacing w:after="0"/>
              <w:rPr>
                <w:sz w:val="20"/>
                <w:szCs w:val="20"/>
                <w:color w:val="auto"/>
              </w:rPr>
            </w:pPr>
            <w:r>
              <w:rPr>
                <w:rFonts w:ascii="Arial" w:cs="Arial" w:eastAsia="Arial" w:hAnsi="Arial"/>
                <w:sz w:val="14"/>
                <w:szCs w:val="14"/>
                <w:color w:val="auto"/>
              </w:rPr>
              <w:t>4,162</w:t>
            </w:r>
          </w:p>
        </w:tc>
        <w:tc>
          <w:tcPr>
            <w:tcW w:w="840" w:type="dxa"/>
            <w:vAlign w:val="bottom"/>
            <w:gridSpan w:val="2"/>
            <w:shd w:val="clear" w:color="auto" w:fill="D8D8D8"/>
          </w:tcPr>
          <w:p>
            <w:pPr>
              <w:jc w:val="right"/>
              <w:ind w:right="80"/>
              <w:spacing w:after="0"/>
              <w:rPr>
                <w:sz w:val="20"/>
                <w:szCs w:val="20"/>
                <w:color w:val="auto"/>
              </w:rPr>
            </w:pPr>
            <w:r>
              <w:rPr>
                <w:rFonts w:ascii="Arial" w:cs="Arial" w:eastAsia="Arial" w:hAnsi="Arial"/>
                <w:sz w:val="14"/>
                <w:szCs w:val="14"/>
                <w:color w:val="auto"/>
              </w:rPr>
              <w:t>16,648</w:t>
            </w:r>
          </w:p>
        </w:tc>
        <w:tc>
          <w:tcPr>
            <w:tcW w:w="820" w:type="dxa"/>
            <w:vAlign w:val="bottom"/>
            <w:shd w:val="clear" w:color="auto" w:fill="D8D8D8"/>
          </w:tcPr>
          <w:p>
            <w:pPr>
              <w:spacing w:after="0"/>
              <w:rPr>
                <w:sz w:val="14"/>
                <w:szCs w:val="14"/>
                <w:color w:val="auto"/>
              </w:rPr>
            </w:pPr>
          </w:p>
        </w:tc>
        <w:tc>
          <w:tcPr>
            <w:tcW w:w="40" w:type="dxa"/>
            <w:vAlign w:val="bottom"/>
            <w:shd w:val="clear" w:color="auto" w:fill="D8D8D8"/>
          </w:tcPr>
          <w:p>
            <w:pPr>
              <w:spacing w:after="0"/>
              <w:rPr>
                <w:sz w:val="14"/>
                <w:szCs w:val="14"/>
                <w:color w:val="auto"/>
              </w:rPr>
            </w:pPr>
          </w:p>
        </w:tc>
        <w:tc>
          <w:tcPr>
            <w:tcW w:w="880" w:type="dxa"/>
            <w:vAlign w:val="bottom"/>
            <w:shd w:val="clear" w:color="auto" w:fill="D8D8D8"/>
          </w:tcPr>
          <w:p>
            <w:pPr>
              <w:spacing w:after="0"/>
              <w:rPr>
                <w:sz w:val="14"/>
                <w:szCs w:val="14"/>
                <w:color w:val="auto"/>
              </w:rPr>
            </w:pPr>
          </w:p>
        </w:tc>
        <w:tc>
          <w:tcPr>
            <w:tcW w:w="40" w:type="dxa"/>
            <w:vAlign w:val="bottom"/>
            <w:shd w:val="clear" w:color="auto" w:fill="D8D8D8"/>
          </w:tcPr>
          <w:p>
            <w:pPr>
              <w:spacing w:after="0"/>
              <w:rPr>
                <w:sz w:val="14"/>
                <w:szCs w:val="14"/>
                <w:color w:val="auto"/>
              </w:rPr>
            </w:pPr>
          </w:p>
        </w:tc>
        <w:tc>
          <w:tcPr>
            <w:tcW w:w="280" w:type="dxa"/>
            <w:vAlign w:val="bottom"/>
            <w:shd w:val="clear" w:color="auto" w:fill="D8D8D8"/>
          </w:tcPr>
          <w:p>
            <w:pPr>
              <w:spacing w:after="0"/>
              <w:rPr>
                <w:sz w:val="14"/>
                <w:szCs w:val="14"/>
                <w:color w:val="auto"/>
              </w:rPr>
            </w:pPr>
          </w:p>
        </w:tc>
        <w:tc>
          <w:tcPr>
            <w:tcW w:w="420" w:type="dxa"/>
            <w:vAlign w:val="bottom"/>
            <w:shd w:val="clear" w:color="auto" w:fill="D8D8D8"/>
          </w:tcPr>
          <w:p>
            <w:pPr>
              <w:spacing w:after="0"/>
              <w:rPr>
                <w:sz w:val="14"/>
                <w:szCs w:val="14"/>
                <w:color w:val="auto"/>
              </w:rPr>
            </w:pPr>
          </w:p>
        </w:tc>
        <w:tc>
          <w:tcPr>
            <w:tcW w:w="40" w:type="dxa"/>
            <w:vAlign w:val="bottom"/>
            <w:shd w:val="clear" w:color="auto" w:fill="D8D8D8"/>
          </w:tcPr>
          <w:p>
            <w:pPr>
              <w:spacing w:after="0"/>
              <w:rPr>
                <w:sz w:val="14"/>
                <w:szCs w:val="14"/>
                <w:color w:val="auto"/>
              </w:rPr>
            </w:pPr>
          </w:p>
        </w:tc>
        <w:tc>
          <w:tcPr>
            <w:tcW w:w="320" w:type="dxa"/>
            <w:vAlign w:val="bottom"/>
            <w:shd w:val="clear" w:color="auto" w:fill="D8D8D8"/>
          </w:tcPr>
          <w:p>
            <w:pPr>
              <w:ind w:left="12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D8D8D8"/>
          </w:tcPr>
          <w:p>
            <w:pPr>
              <w:jc w:val="right"/>
              <w:ind w:right="40"/>
              <w:spacing w:after="0"/>
              <w:rPr>
                <w:sz w:val="20"/>
                <w:szCs w:val="20"/>
                <w:color w:val="auto"/>
              </w:rPr>
            </w:pPr>
            <w:r>
              <w:rPr>
                <w:rFonts w:ascii="Arial" w:cs="Arial" w:eastAsia="Arial" w:hAnsi="Arial"/>
                <w:sz w:val="14"/>
                <w:szCs w:val="14"/>
                <w:color w:val="auto"/>
              </w:rPr>
              <w:t>329,963</w:t>
            </w:r>
          </w:p>
        </w:tc>
        <w:tc>
          <w:tcPr>
            <w:tcW w:w="0" w:type="dxa"/>
            <w:vAlign w:val="bottom"/>
          </w:tcPr>
          <w:p>
            <w:pPr>
              <w:spacing w:after="0"/>
              <w:rPr>
                <w:sz w:val="1"/>
                <w:szCs w:val="1"/>
                <w:color w:val="auto"/>
              </w:rPr>
            </w:pPr>
          </w:p>
        </w:tc>
      </w:tr>
      <w:tr>
        <w:trPr>
          <w:trHeight w:val="175"/>
        </w:trPr>
        <w:tc>
          <w:tcPr>
            <w:tcW w:w="2000" w:type="dxa"/>
            <w:vAlign w:val="bottom"/>
            <w:shd w:val="clear" w:color="auto" w:fill="D8D8D8"/>
          </w:tcPr>
          <w:p>
            <w:pPr>
              <w:spacing w:after="0"/>
              <w:rPr>
                <w:sz w:val="15"/>
                <w:szCs w:val="15"/>
                <w:color w:val="auto"/>
              </w:rPr>
            </w:pPr>
          </w:p>
        </w:tc>
        <w:tc>
          <w:tcPr>
            <w:tcW w:w="960" w:type="dxa"/>
            <w:vAlign w:val="bottom"/>
            <w:shd w:val="clear" w:color="auto" w:fill="D8D8D8"/>
          </w:tcPr>
          <w:p>
            <w:pPr>
              <w:ind w:left="120"/>
              <w:spacing w:after="0"/>
              <w:rPr>
                <w:sz w:val="20"/>
                <w:szCs w:val="20"/>
                <w:color w:val="auto"/>
              </w:rPr>
            </w:pPr>
            <w:r>
              <w:rPr>
                <w:rFonts w:ascii="Arial" w:cs="Arial" w:eastAsia="Arial" w:hAnsi="Arial"/>
                <w:sz w:val="14"/>
                <w:szCs w:val="14"/>
                <w:color w:val="auto"/>
              </w:rPr>
              <w:t>RSU (4)</w:t>
            </w:r>
          </w:p>
        </w:tc>
        <w:tc>
          <w:tcPr>
            <w:tcW w:w="120" w:type="dxa"/>
            <w:vAlign w:val="bottom"/>
            <w:shd w:val="clear" w:color="auto" w:fill="D8D8D8"/>
          </w:tcPr>
          <w:p>
            <w:pPr>
              <w:spacing w:after="0"/>
              <w:rPr>
                <w:sz w:val="15"/>
                <w:szCs w:val="15"/>
                <w:color w:val="auto"/>
              </w:rPr>
            </w:pPr>
          </w:p>
        </w:tc>
        <w:tc>
          <w:tcPr>
            <w:tcW w:w="620" w:type="dxa"/>
            <w:vAlign w:val="bottom"/>
            <w:shd w:val="clear" w:color="auto" w:fill="D8D8D8"/>
          </w:tcPr>
          <w:p>
            <w:pPr>
              <w:spacing w:after="0"/>
              <w:rPr>
                <w:sz w:val="15"/>
                <w:szCs w:val="15"/>
                <w:color w:val="auto"/>
              </w:rPr>
            </w:pPr>
          </w:p>
        </w:tc>
        <w:tc>
          <w:tcPr>
            <w:tcW w:w="920" w:type="dxa"/>
            <w:vAlign w:val="bottom"/>
            <w:shd w:val="clear" w:color="auto" w:fill="D8D8D8"/>
          </w:tcPr>
          <w:p>
            <w:pPr>
              <w:spacing w:after="0"/>
              <w:rPr>
                <w:sz w:val="15"/>
                <w:szCs w:val="15"/>
                <w:color w:val="auto"/>
              </w:rPr>
            </w:pPr>
          </w:p>
        </w:tc>
        <w:tc>
          <w:tcPr>
            <w:tcW w:w="700" w:type="dxa"/>
            <w:vAlign w:val="bottom"/>
            <w:shd w:val="clear" w:color="auto" w:fill="D8D8D8"/>
          </w:tcPr>
          <w:p>
            <w:pPr>
              <w:spacing w:after="0"/>
              <w:rPr>
                <w:sz w:val="15"/>
                <w:szCs w:val="15"/>
                <w:color w:val="auto"/>
              </w:rPr>
            </w:pPr>
          </w:p>
        </w:tc>
        <w:tc>
          <w:tcPr>
            <w:tcW w:w="160" w:type="dxa"/>
            <w:vAlign w:val="bottom"/>
            <w:shd w:val="clear" w:color="auto" w:fill="D8D8D8"/>
          </w:tcPr>
          <w:p>
            <w:pPr>
              <w:spacing w:after="0"/>
              <w:rPr>
                <w:sz w:val="15"/>
                <w:szCs w:val="15"/>
                <w:color w:val="auto"/>
              </w:rPr>
            </w:pPr>
          </w:p>
        </w:tc>
        <w:tc>
          <w:tcPr>
            <w:tcW w:w="620" w:type="dxa"/>
            <w:vAlign w:val="bottom"/>
            <w:shd w:val="clear" w:color="auto" w:fill="D8D8D8"/>
          </w:tcPr>
          <w:p>
            <w:pPr>
              <w:spacing w:after="0"/>
              <w:rPr>
                <w:sz w:val="15"/>
                <w:szCs w:val="15"/>
                <w:color w:val="auto"/>
              </w:rPr>
            </w:pPr>
          </w:p>
        </w:tc>
        <w:tc>
          <w:tcPr>
            <w:tcW w:w="640" w:type="dxa"/>
            <w:vAlign w:val="bottom"/>
            <w:shd w:val="clear" w:color="auto" w:fill="D8D8D8"/>
          </w:tcPr>
          <w:p>
            <w:pPr>
              <w:spacing w:after="0"/>
              <w:rPr>
                <w:sz w:val="15"/>
                <w:szCs w:val="15"/>
                <w:color w:val="auto"/>
              </w:rPr>
            </w:pPr>
          </w:p>
        </w:tc>
        <w:tc>
          <w:tcPr>
            <w:tcW w:w="760" w:type="dxa"/>
            <w:vAlign w:val="bottom"/>
            <w:shd w:val="clear" w:color="auto" w:fill="D8D8D8"/>
          </w:tcPr>
          <w:p>
            <w:pPr>
              <w:spacing w:after="0"/>
              <w:rPr>
                <w:sz w:val="15"/>
                <w:szCs w:val="15"/>
                <w:color w:val="auto"/>
              </w:rPr>
            </w:pPr>
          </w:p>
        </w:tc>
        <w:tc>
          <w:tcPr>
            <w:tcW w:w="80" w:type="dxa"/>
            <w:vAlign w:val="bottom"/>
            <w:shd w:val="clear" w:color="auto" w:fill="D8D8D8"/>
          </w:tcPr>
          <w:p>
            <w:pPr>
              <w:spacing w:after="0"/>
              <w:rPr>
                <w:sz w:val="15"/>
                <w:szCs w:val="15"/>
                <w:color w:val="auto"/>
              </w:rPr>
            </w:pPr>
          </w:p>
        </w:tc>
        <w:tc>
          <w:tcPr>
            <w:tcW w:w="860" w:type="dxa"/>
            <w:vAlign w:val="bottom"/>
            <w:gridSpan w:val="2"/>
            <w:shd w:val="clear" w:color="auto" w:fill="D8D8D8"/>
          </w:tcPr>
          <w:p>
            <w:pPr>
              <w:jc w:val="right"/>
              <w:ind w:right="40"/>
              <w:spacing w:after="0"/>
              <w:rPr>
                <w:sz w:val="20"/>
                <w:szCs w:val="20"/>
                <w:color w:val="auto"/>
              </w:rPr>
            </w:pPr>
            <w:r>
              <w:rPr>
                <w:rFonts w:ascii="Arial" w:cs="Arial" w:eastAsia="Arial" w:hAnsi="Arial"/>
                <w:sz w:val="14"/>
                <w:szCs w:val="14"/>
                <w:color w:val="auto"/>
              </w:rPr>
              <w:t>2,775</w:t>
            </w:r>
          </w:p>
        </w:tc>
        <w:tc>
          <w:tcPr>
            <w:tcW w:w="880" w:type="dxa"/>
            <w:vAlign w:val="bottom"/>
            <w:shd w:val="clear" w:color="auto" w:fill="D8D8D8"/>
          </w:tcPr>
          <w:p>
            <w:pPr>
              <w:spacing w:after="0"/>
              <w:rPr>
                <w:sz w:val="15"/>
                <w:szCs w:val="15"/>
                <w:color w:val="auto"/>
              </w:rPr>
            </w:pPr>
          </w:p>
        </w:tc>
        <w:tc>
          <w:tcPr>
            <w:tcW w:w="40" w:type="dxa"/>
            <w:vAlign w:val="bottom"/>
            <w:shd w:val="clear" w:color="auto" w:fill="D8D8D8"/>
          </w:tcPr>
          <w:p>
            <w:pPr>
              <w:spacing w:after="0"/>
              <w:rPr>
                <w:sz w:val="15"/>
                <w:szCs w:val="15"/>
                <w:color w:val="auto"/>
              </w:rPr>
            </w:pPr>
          </w:p>
        </w:tc>
        <w:tc>
          <w:tcPr>
            <w:tcW w:w="280" w:type="dxa"/>
            <w:vAlign w:val="bottom"/>
            <w:shd w:val="clear" w:color="auto" w:fill="D8D8D8"/>
          </w:tcPr>
          <w:p>
            <w:pPr>
              <w:spacing w:after="0"/>
              <w:rPr>
                <w:sz w:val="15"/>
                <w:szCs w:val="15"/>
                <w:color w:val="auto"/>
              </w:rPr>
            </w:pPr>
          </w:p>
        </w:tc>
        <w:tc>
          <w:tcPr>
            <w:tcW w:w="420" w:type="dxa"/>
            <w:vAlign w:val="bottom"/>
            <w:shd w:val="clear" w:color="auto" w:fill="D8D8D8"/>
          </w:tcPr>
          <w:p>
            <w:pPr>
              <w:spacing w:after="0"/>
              <w:rPr>
                <w:sz w:val="15"/>
                <w:szCs w:val="15"/>
                <w:color w:val="auto"/>
              </w:rPr>
            </w:pPr>
          </w:p>
        </w:tc>
        <w:tc>
          <w:tcPr>
            <w:tcW w:w="40" w:type="dxa"/>
            <w:vAlign w:val="bottom"/>
            <w:shd w:val="clear" w:color="auto" w:fill="D8D8D8"/>
          </w:tcPr>
          <w:p>
            <w:pPr>
              <w:spacing w:after="0"/>
              <w:rPr>
                <w:sz w:val="15"/>
                <w:szCs w:val="15"/>
                <w:color w:val="auto"/>
              </w:rPr>
            </w:pPr>
          </w:p>
        </w:tc>
        <w:tc>
          <w:tcPr>
            <w:tcW w:w="320" w:type="dxa"/>
            <w:vAlign w:val="bottom"/>
            <w:shd w:val="clear" w:color="auto" w:fill="D8D8D8"/>
          </w:tcPr>
          <w:p>
            <w:pPr>
              <w:ind w:left="12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D8D8D8"/>
          </w:tcPr>
          <w:p>
            <w:pPr>
              <w:jc w:val="right"/>
              <w:ind w:right="40"/>
              <w:spacing w:after="0"/>
              <w:rPr>
                <w:sz w:val="20"/>
                <w:szCs w:val="20"/>
                <w:color w:val="auto"/>
              </w:rPr>
            </w:pPr>
            <w:r>
              <w:rPr>
                <w:rFonts w:ascii="Arial" w:cs="Arial" w:eastAsia="Arial" w:hAnsi="Arial"/>
                <w:sz w:val="14"/>
                <w:szCs w:val="14"/>
                <w:color w:val="auto"/>
              </w:rPr>
              <w:t>220,002</w:t>
            </w:r>
          </w:p>
        </w:tc>
        <w:tc>
          <w:tcPr>
            <w:tcW w:w="0" w:type="dxa"/>
            <w:vAlign w:val="bottom"/>
          </w:tcPr>
          <w:p>
            <w:pPr>
              <w:spacing w:after="0"/>
              <w:rPr>
                <w:sz w:val="1"/>
                <w:szCs w:val="1"/>
                <w:color w:val="auto"/>
              </w:rPr>
            </w:pPr>
          </w:p>
        </w:tc>
      </w:tr>
      <w:tr>
        <w:trPr>
          <w:trHeight w:val="175"/>
        </w:trPr>
        <w:tc>
          <w:tcPr>
            <w:tcW w:w="2000" w:type="dxa"/>
            <w:vAlign w:val="bottom"/>
            <w:shd w:val="clear" w:color="auto" w:fill="D8D8D8"/>
          </w:tcPr>
          <w:p>
            <w:pPr>
              <w:spacing w:after="0"/>
              <w:rPr>
                <w:sz w:val="15"/>
                <w:szCs w:val="15"/>
                <w:color w:val="auto"/>
              </w:rPr>
            </w:pPr>
          </w:p>
        </w:tc>
        <w:tc>
          <w:tcPr>
            <w:tcW w:w="960" w:type="dxa"/>
            <w:vAlign w:val="bottom"/>
            <w:shd w:val="clear" w:color="auto" w:fill="D8D8D8"/>
          </w:tcPr>
          <w:p>
            <w:pPr>
              <w:ind w:left="120"/>
              <w:spacing w:after="0"/>
              <w:rPr>
                <w:sz w:val="20"/>
                <w:szCs w:val="20"/>
                <w:color w:val="auto"/>
              </w:rPr>
            </w:pPr>
            <w:r>
              <w:rPr>
                <w:rFonts w:ascii="Arial" w:cs="Arial" w:eastAsia="Arial" w:hAnsi="Arial"/>
                <w:sz w:val="14"/>
                <w:szCs w:val="14"/>
                <w:color w:val="auto"/>
              </w:rPr>
              <w:t>AIP (5)</w:t>
            </w:r>
          </w:p>
        </w:tc>
        <w:tc>
          <w:tcPr>
            <w:tcW w:w="120" w:type="dxa"/>
            <w:vAlign w:val="bottom"/>
            <w:shd w:val="clear" w:color="auto" w:fill="D8D8D8"/>
          </w:tcPr>
          <w:p>
            <w:pPr>
              <w:spacing w:after="0"/>
              <w:rPr>
                <w:sz w:val="15"/>
                <w:szCs w:val="15"/>
                <w:color w:val="auto"/>
              </w:rPr>
            </w:pPr>
          </w:p>
        </w:tc>
        <w:tc>
          <w:tcPr>
            <w:tcW w:w="620" w:type="dxa"/>
            <w:vAlign w:val="bottom"/>
            <w:shd w:val="clear" w:color="auto" w:fill="D8D8D8"/>
          </w:tcPr>
          <w:p>
            <w:pPr>
              <w:spacing w:after="0"/>
              <w:rPr>
                <w:sz w:val="15"/>
                <w:szCs w:val="15"/>
                <w:color w:val="auto"/>
              </w:rPr>
            </w:pPr>
          </w:p>
        </w:tc>
        <w:tc>
          <w:tcPr>
            <w:tcW w:w="920" w:type="dxa"/>
            <w:vAlign w:val="bottom"/>
            <w:shd w:val="clear" w:color="auto" w:fill="D8D8D8"/>
          </w:tcPr>
          <w:p>
            <w:pPr>
              <w:jc w:val="right"/>
              <w:ind w:right="88"/>
              <w:spacing w:after="0"/>
              <w:rPr>
                <w:sz w:val="20"/>
                <w:szCs w:val="20"/>
                <w:color w:val="auto"/>
              </w:rPr>
            </w:pPr>
            <w:r>
              <w:rPr>
                <w:rFonts w:ascii="Arial" w:cs="Arial" w:eastAsia="Arial" w:hAnsi="Arial"/>
                <w:sz w:val="14"/>
                <w:szCs w:val="14"/>
                <w:color w:val="auto"/>
              </w:rPr>
              <w:t>545,000</w:t>
            </w:r>
          </w:p>
        </w:tc>
        <w:tc>
          <w:tcPr>
            <w:tcW w:w="7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1,090,000</w:t>
            </w:r>
          </w:p>
        </w:tc>
        <w:tc>
          <w:tcPr>
            <w:tcW w:w="160" w:type="dxa"/>
            <w:vAlign w:val="bottom"/>
            <w:shd w:val="clear" w:color="auto" w:fill="D8D8D8"/>
          </w:tcPr>
          <w:p>
            <w:pPr>
              <w:spacing w:after="0"/>
              <w:rPr>
                <w:sz w:val="15"/>
                <w:szCs w:val="15"/>
                <w:color w:val="auto"/>
              </w:rPr>
            </w:pPr>
          </w:p>
        </w:tc>
        <w:tc>
          <w:tcPr>
            <w:tcW w:w="620" w:type="dxa"/>
            <w:vAlign w:val="bottom"/>
            <w:shd w:val="clear" w:color="auto" w:fill="D8D8D8"/>
          </w:tcPr>
          <w:p>
            <w:pPr>
              <w:spacing w:after="0"/>
              <w:rPr>
                <w:sz w:val="15"/>
                <w:szCs w:val="15"/>
                <w:color w:val="auto"/>
              </w:rPr>
            </w:pPr>
          </w:p>
        </w:tc>
        <w:tc>
          <w:tcPr>
            <w:tcW w:w="640" w:type="dxa"/>
            <w:vAlign w:val="bottom"/>
            <w:shd w:val="clear" w:color="auto" w:fill="D8D8D8"/>
          </w:tcPr>
          <w:p>
            <w:pPr>
              <w:spacing w:after="0"/>
              <w:rPr>
                <w:sz w:val="15"/>
                <w:szCs w:val="15"/>
                <w:color w:val="auto"/>
              </w:rPr>
            </w:pPr>
          </w:p>
        </w:tc>
        <w:tc>
          <w:tcPr>
            <w:tcW w:w="760" w:type="dxa"/>
            <w:vAlign w:val="bottom"/>
            <w:shd w:val="clear" w:color="auto" w:fill="D8D8D8"/>
          </w:tcPr>
          <w:p>
            <w:pPr>
              <w:spacing w:after="0"/>
              <w:rPr>
                <w:sz w:val="15"/>
                <w:szCs w:val="15"/>
                <w:color w:val="auto"/>
              </w:rPr>
            </w:pPr>
          </w:p>
        </w:tc>
        <w:tc>
          <w:tcPr>
            <w:tcW w:w="80" w:type="dxa"/>
            <w:vAlign w:val="bottom"/>
            <w:shd w:val="clear" w:color="auto" w:fill="D8D8D8"/>
          </w:tcPr>
          <w:p>
            <w:pPr>
              <w:spacing w:after="0"/>
              <w:rPr>
                <w:sz w:val="15"/>
                <w:szCs w:val="15"/>
                <w:color w:val="auto"/>
              </w:rPr>
            </w:pPr>
          </w:p>
        </w:tc>
        <w:tc>
          <w:tcPr>
            <w:tcW w:w="820" w:type="dxa"/>
            <w:vAlign w:val="bottom"/>
            <w:shd w:val="clear" w:color="auto" w:fill="D8D8D8"/>
          </w:tcPr>
          <w:p>
            <w:pPr>
              <w:spacing w:after="0"/>
              <w:rPr>
                <w:sz w:val="15"/>
                <w:szCs w:val="15"/>
                <w:color w:val="auto"/>
              </w:rPr>
            </w:pPr>
          </w:p>
        </w:tc>
        <w:tc>
          <w:tcPr>
            <w:tcW w:w="40" w:type="dxa"/>
            <w:vAlign w:val="bottom"/>
            <w:shd w:val="clear" w:color="auto" w:fill="D8D8D8"/>
          </w:tcPr>
          <w:p>
            <w:pPr>
              <w:spacing w:after="0"/>
              <w:rPr>
                <w:sz w:val="15"/>
                <w:szCs w:val="15"/>
                <w:color w:val="auto"/>
              </w:rPr>
            </w:pPr>
          </w:p>
        </w:tc>
        <w:tc>
          <w:tcPr>
            <w:tcW w:w="880" w:type="dxa"/>
            <w:vAlign w:val="bottom"/>
            <w:shd w:val="clear" w:color="auto" w:fill="D8D8D8"/>
          </w:tcPr>
          <w:p>
            <w:pPr>
              <w:spacing w:after="0"/>
              <w:rPr>
                <w:sz w:val="15"/>
                <w:szCs w:val="15"/>
                <w:color w:val="auto"/>
              </w:rPr>
            </w:pPr>
          </w:p>
        </w:tc>
        <w:tc>
          <w:tcPr>
            <w:tcW w:w="40" w:type="dxa"/>
            <w:vAlign w:val="bottom"/>
            <w:shd w:val="clear" w:color="auto" w:fill="D8D8D8"/>
          </w:tcPr>
          <w:p>
            <w:pPr>
              <w:spacing w:after="0"/>
              <w:rPr>
                <w:sz w:val="15"/>
                <w:szCs w:val="15"/>
                <w:color w:val="auto"/>
              </w:rPr>
            </w:pPr>
          </w:p>
        </w:tc>
        <w:tc>
          <w:tcPr>
            <w:tcW w:w="280" w:type="dxa"/>
            <w:vAlign w:val="bottom"/>
            <w:shd w:val="clear" w:color="auto" w:fill="D8D8D8"/>
          </w:tcPr>
          <w:p>
            <w:pPr>
              <w:spacing w:after="0"/>
              <w:rPr>
                <w:sz w:val="15"/>
                <w:szCs w:val="15"/>
                <w:color w:val="auto"/>
              </w:rPr>
            </w:pPr>
          </w:p>
        </w:tc>
        <w:tc>
          <w:tcPr>
            <w:tcW w:w="420" w:type="dxa"/>
            <w:vAlign w:val="bottom"/>
            <w:shd w:val="clear" w:color="auto" w:fill="D8D8D8"/>
          </w:tcPr>
          <w:p>
            <w:pPr>
              <w:spacing w:after="0"/>
              <w:rPr>
                <w:sz w:val="15"/>
                <w:szCs w:val="15"/>
                <w:color w:val="auto"/>
              </w:rPr>
            </w:pPr>
          </w:p>
        </w:tc>
        <w:tc>
          <w:tcPr>
            <w:tcW w:w="40" w:type="dxa"/>
            <w:vAlign w:val="bottom"/>
            <w:shd w:val="clear" w:color="auto" w:fill="D8D8D8"/>
          </w:tcPr>
          <w:p>
            <w:pPr>
              <w:spacing w:after="0"/>
              <w:rPr>
                <w:sz w:val="15"/>
                <w:szCs w:val="15"/>
                <w:color w:val="auto"/>
              </w:rPr>
            </w:pPr>
          </w:p>
        </w:tc>
        <w:tc>
          <w:tcPr>
            <w:tcW w:w="320" w:type="dxa"/>
            <w:vAlign w:val="bottom"/>
            <w:shd w:val="clear" w:color="auto" w:fill="D8D8D8"/>
          </w:tcPr>
          <w:p>
            <w:pPr>
              <w:spacing w:after="0"/>
              <w:rPr>
                <w:sz w:val="15"/>
                <w:szCs w:val="15"/>
                <w:color w:val="auto"/>
              </w:rPr>
            </w:pPr>
          </w:p>
        </w:tc>
        <w:tc>
          <w:tcPr>
            <w:tcW w:w="540" w:type="dxa"/>
            <w:vAlign w:val="bottom"/>
            <w:shd w:val="clear" w:color="auto" w:fill="D8D8D8"/>
          </w:tcPr>
          <w:p>
            <w:pPr>
              <w:spacing w:after="0"/>
              <w:rPr>
                <w:sz w:val="15"/>
                <w:szCs w:val="15"/>
                <w:color w:val="auto"/>
              </w:rPr>
            </w:pPr>
          </w:p>
        </w:tc>
        <w:tc>
          <w:tcPr>
            <w:tcW w:w="40" w:type="dxa"/>
            <w:vAlign w:val="bottom"/>
            <w:shd w:val="clear" w:color="auto" w:fill="D8D8D8"/>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00" w:type="dxa"/>
            <w:vAlign w:val="bottom"/>
          </w:tcPr>
          <w:p>
            <w:pPr>
              <w:spacing w:after="0"/>
              <w:rPr>
                <w:sz w:val="20"/>
                <w:szCs w:val="20"/>
                <w:color w:val="auto"/>
              </w:rPr>
            </w:pPr>
            <w:r>
              <w:rPr>
                <w:rFonts w:ascii="Arial" w:cs="Arial" w:eastAsia="Arial" w:hAnsi="Arial"/>
                <w:sz w:val="14"/>
                <w:szCs w:val="14"/>
                <w:color w:val="auto"/>
              </w:rPr>
              <w:t>Sivasankaran Somasundaram</w:t>
            </w:r>
          </w:p>
        </w:tc>
        <w:tc>
          <w:tcPr>
            <w:tcW w:w="960" w:type="dxa"/>
            <w:vAlign w:val="bottom"/>
            <w:tcBorders>
              <w:bottom w:val="single" w:sz="8" w:color="999999"/>
            </w:tcBorders>
          </w:tcPr>
          <w:p>
            <w:pPr>
              <w:ind w:left="120"/>
              <w:spacing w:after="0"/>
              <w:rPr>
                <w:sz w:val="20"/>
                <w:szCs w:val="20"/>
                <w:color w:val="auto"/>
              </w:rPr>
            </w:pPr>
            <w:r>
              <w:rPr>
                <w:rFonts w:ascii="Arial" w:cs="Arial" w:eastAsia="Arial" w:hAnsi="Arial"/>
                <w:sz w:val="14"/>
                <w:szCs w:val="14"/>
                <w:color w:val="auto"/>
              </w:rPr>
              <w:t>SSAR (2)</w:t>
            </w:r>
          </w:p>
        </w:tc>
        <w:tc>
          <w:tcPr>
            <w:tcW w:w="120" w:type="dxa"/>
            <w:vAlign w:val="bottom"/>
            <w:tcBorders>
              <w:bottom w:val="single" w:sz="8" w:color="999999"/>
            </w:tcBorders>
          </w:tcPr>
          <w:p>
            <w:pPr>
              <w:spacing w:after="0"/>
              <w:rPr>
                <w:sz w:val="14"/>
                <w:szCs w:val="14"/>
                <w:color w:val="auto"/>
              </w:rPr>
            </w:pPr>
          </w:p>
        </w:tc>
        <w:tc>
          <w:tcPr>
            <w:tcW w:w="620" w:type="dxa"/>
            <w:vAlign w:val="bottom"/>
            <w:tcBorders>
              <w:bottom w:val="single" w:sz="8" w:color="999999"/>
            </w:tcBorders>
          </w:tcPr>
          <w:p>
            <w:pPr>
              <w:spacing w:after="0"/>
              <w:rPr>
                <w:sz w:val="14"/>
                <w:szCs w:val="14"/>
                <w:color w:val="auto"/>
              </w:rPr>
            </w:pPr>
          </w:p>
        </w:tc>
        <w:tc>
          <w:tcPr>
            <w:tcW w:w="920" w:type="dxa"/>
            <w:vAlign w:val="bottom"/>
            <w:tcBorders>
              <w:bottom w:val="single" w:sz="8" w:color="999999"/>
            </w:tcBorders>
          </w:tcPr>
          <w:p>
            <w:pPr>
              <w:spacing w:after="0"/>
              <w:rPr>
                <w:sz w:val="14"/>
                <w:szCs w:val="14"/>
                <w:color w:val="auto"/>
              </w:rPr>
            </w:pPr>
          </w:p>
        </w:tc>
        <w:tc>
          <w:tcPr>
            <w:tcW w:w="700" w:type="dxa"/>
            <w:vAlign w:val="bottom"/>
            <w:tcBorders>
              <w:bottom w:val="single" w:sz="8" w:color="999999"/>
            </w:tcBorders>
          </w:tcPr>
          <w:p>
            <w:pPr>
              <w:spacing w:after="0"/>
              <w:rPr>
                <w:sz w:val="14"/>
                <w:szCs w:val="14"/>
                <w:color w:val="auto"/>
              </w:rPr>
            </w:pPr>
          </w:p>
        </w:tc>
        <w:tc>
          <w:tcPr>
            <w:tcW w:w="160" w:type="dxa"/>
            <w:vAlign w:val="bottom"/>
            <w:tcBorders>
              <w:bottom w:val="single" w:sz="8" w:color="999999"/>
            </w:tcBorders>
          </w:tcPr>
          <w:p>
            <w:pPr>
              <w:spacing w:after="0"/>
              <w:rPr>
                <w:sz w:val="14"/>
                <w:szCs w:val="14"/>
                <w:color w:val="auto"/>
              </w:rPr>
            </w:pPr>
          </w:p>
        </w:tc>
        <w:tc>
          <w:tcPr>
            <w:tcW w:w="620" w:type="dxa"/>
            <w:vAlign w:val="bottom"/>
            <w:tcBorders>
              <w:bottom w:val="single" w:sz="8" w:color="999999"/>
            </w:tcBorders>
          </w:tcPr>
          <w:p>
            <w:pPr>
              <w:spacing w:after="0"/>
              <w:rPr>
                <w:sz w:val="14"/>
                <w:szCs w:val="14"/>
                <w:color w:val="auto"/>
              </w:rPr>
            </w:pPr>
          </w:p>
        </w:tc>
        <w:tc>
          <w:tcPr>
            <w:tcW w:w="640" w:type="dxa"/>
            <w:vAlign w:val="bottom"/>
            <w:tcBorders>
              <w:bottom w:val="single" w:sz="8" w:color="999999"/>
            </w:tcBorders>
          </w:tcPr>
          <w:p>
            <w:pPr>
              <w:spacing w:after="0"/>
              <w:rPr>
                <w:sz w:val="14"/>
                <w:szCs w:val="14"/>
                <w:color w:val="auto"/>
              </w:rPr>
            </w:pPr>
          </w:p>
        </w:tc>
        <w:tc>
          <w:tcPr>
            <w:tcW w:w="760" w:type="dxa"/>
            <w:vAlign w:val="bottom"/>
            <w:tcBorders>
              <w:bottom w:val="single" w:sz="8" w:color="999999"/>
            </w:tcBorders>
          </w:tcPr>
          <w:p>
            <w:pPr>
              <w:spacing w:after="0"/>
              <w:rPr>
                <w:sz w:val="14"/>
                <w:szCs w:val="14"/>
                <w:color w:val="auto"/>
              </w:rPr>
            </w:pPr>
          </w:p>
        </w:tc>
        <w:tc>
          <w:tcPr>
            <w:tcW w:w="80" w:type="dxa"/>
            <w:vAlign w:val="bottom"/>
            <w:tcBorders>
              <w:bottom w:val="single" w:sz="8" w:color="999999"/>
            </w:tcBorders>
          </w:tcPr>
          <w:p>
            <w:pPr>
              <w:spacing w:after="0"/>
              <w:rPr>
                <w:sz w:val="14"/>
                <w:szCs w:val="14"/>
                <w:color w:val="auto"/>
              </w:rPr>
            </w:pPr>
          </w:p>
        </w:tc>
        <w:tc>
          <w:tcPr>
            <w:tcW w:w="820" w:type="dxa"/>
            <w:vAlign w:val="bottom"/>
            <w:tcBorders>
              <w:bottom w:val="single" w:sz="8" w:color="999999"/>
            </w:tcBorders>
          </w:tcPr>
          <w:p>
            <w:pPr>
              <w:spacing w:after="0"/>
              <w:rPr>
                <w:sz w:val="14"/>
                <w:szCs w:val="14"/>
                <w:color w:val="auto"/>
              </w:rPr>
            </w:pPr>
          </w:p>
        </w:tc>
        <w:tc>
          <w:tcPr>
            <w:tcW w:w="40" w:type="dxa"/>
            <w:vAlign w:val="bottom"/>
            <w:tcBorders>
              <w:bottom w:val="single" w:sz="8" w:color="999999"/>
            </w:tcBorders>
          </w:tcPr>
          <w:p>
            <w:pPr>
              <w:spacing w:after="0"/>
              <w:rPr>
                <w:sz w:val="14"/>
                <w:szCs w:val="14"/>
                <w:color w:val="auto"/>
              </w:rPr>
            </w:pPr>
          </w:p>
        </w:tc>
        <w:tc>
          <w:tcPr>
            <w:tcW w:w="920" w:type="dxa"/>
            <w:vAlign w:val="bottom"/>
            <w:tcBorders>
              <w:bottom w:val="single" w:sz="8" w:color="999999"/>
            </w:tcBorders>
            <w:gridSpan w:val="2"/>
          </w:tcPr>
          <w:p>
            <w:pPr>
              <w:jc w:val="right"/>
              <w:ind w:right="40"/>
              <w:spacing w:after="0"/>
              <w:rPr>
                <w:sz w:val="20"/>
                <w:szCs w:val="20"/>
                <w:color w:val="auto"/>
              </w:rPr>
            </w:pPr>
            <w:r>
              <w:rPr>
                <w:rFonts w:ascii="Arial" w:cs="Arial" w:eastAsia="Arial" w:hAnsi="Arial"/>
                <w:sz w:val="14"/>
                <w:szCs w:val="14"/>
                <w:color w:val="auto"/>
              </w:rPr>
              <w:t>27,750</w:t>
            </w:r>
          </w:p>
        </w:tc>
        <w:tc>
          <w:tcPr>
            <w:tcW w:w="280" w:type="dxa"/>
            <w:vAlign w:val="bottom"/>
            <w:tcBorders>
              <w:bottom w:val="single" w:sz="8" w:color="999999"/>
            </w:tcBorders>
          </w:tcPr>
          <w:p>
            <w:pPr>
              <w:ind w:left="120"/>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999999"/>
            </w:tcBorders>
            <w:gridSpan w:val="2"/>
          </w:tcPr>
          <w:p>
            <w:pPr>
              <w:jc w:val="right"/>
              <w:ind w:right="40"/>
              <w:spacing w:after="0"/>
              <w:rPr>
                <w:sz w:val="20"/>
                <w:szCs w:val="20"/>
                <w:color w:val="auto"/>
              </w:rPr>
            </w:pPr>
            <w:r>
              <w:rPr>
                <w:rFonts w:ascii="Arial" w:cs="Arial" w:eastAsia="Arial" w:hAnsi="Arial"/>
                <w:sz w:val="14"/>
                <w:szCs w:val="14"/>
                <w:color w:val="auto"/>
              </w:rPr>
              <w:t>79.28</w:t>
            </w:r>
          </w:p>
        </w:tc>
        <w:tc>
          <w:tcPr>
            <w:tcW w:w="320" w:type="dxa"/>
            <w:vAlign w:val="bottom"/>
            <w:tcBorders>
              <w:bottom w:val="single" w:sz="8" w:color="999999"/>
            </w:tcBorders>
          </w:tcPr>
          <w:p>
            <w:pPr>
              <w:ind w:left="120"/>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999999"/>
            </w:tcBorders>
            <w:gridSpan w:val="2"/>
          </w:tcPr>
          <w:p>
            <w:pPr>
              <w:jc w:val="right"/>
              <w:ind w:right="40"/>
              <w:spacing w:after="0"/>
              <w:rPr>
                <w:sz w:val="20"/>
                <w:szCs w:val="20"/>
                <w:color w:val="auto"/>
              </w:rPr>
            </w:pPr>
            <w:r>
              <w:rPr>
                <w:rFonts w:ascii="Arial" w:cs="Arial" w:eastAsia="Arial" w:hAnsi="Arial"/>
                <w:sz w:val="14"/>
                <w:szCs w:val="14"/>
                <w:color w:val="auto"/>
              </w:rPr>
              <w:t>350,458</w:t>
            </w:r>
          </w:p>
        </w:tc>
        <w:tc>
          <w:tcPr>
            <w:tcW w:w="0" w:type="dxa"/>
            <w:vAlign w:val="bottom"/>
          </w:tcPr>
          <w:p>
            <w:pPr>
              <w:spacing w:after="0"/>
              <w:rPr>
                <w:sz w:val="1"/>
                <w:szCs w:val="1"/>
                <w:color w:val="auto"/>
              </w:rPr>
            </w:pPr>
          </w:p>
        </w:tc>
      </w:tr>
      <w:tr>
        <w:trPr>
          <w:trHeight w:val="160"/>
        </w:trPr>
        <w:tc>
          <w:tcPr>
            <w:tcW w:w="2000" w:type="dxa"/>
            <w:vAlign w:val="bottom"/>
          </w:tcPr>
          <w:p>
            <w:pPr>
              <w:spacing w:after="0"/>
              <w:rPr>
                <w:sz w:val="13"/>
                <w:szCs w:val="13"/>
                <w:color w:val="auto"/>
              </w:rPr>
            </w:pPr>
          </w:p>
        </w:tc>
        <w:tc>
          <w:tcPr>
            <w:tcW w:w="960" w:type="dxa"/>
            <w:vAlign w:val="bottom"/>
          </w:tcPr>
          <w:p>
            <w:pPr>
              <w:ind w:left="120"/>
              <w:spacing w:after="0"/>
              <w:rPr>
                <w:sz w:val="20"/>
                <w:szCs w:val="20"/>
                <w:color w:val="auto"/>
              </w:rPr>
            </w:pPr>
            <w:r>
              <w:rPr>
                <w:rFonts w:ascii="Arial" w:cs="Arial" w:eastAsia="Arial" w:hAnsi="Arial"/>
                <w:sz w:val="14"/>
                <w:szCs w:val="14"/>
                <w:color w:val="auto"/>
              </w:rPr>
              <w:t>Performance</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00" w:type="dxa"/>
            <w:vAlign w:val="bottom"/>
          </w:tcPr>
          <w:p>
            <w:pPr>
              <w:spacing w:after="0"/>
              <w:rPr>
                <w:sz w:val="14"/>
                <w:szCs w:val="14"/>
                <w:color w:val="auto"/>
              </w:rPr>
            </w:pPr>
          </w:p>
        </w:tc>
        <w:tc>
          <w:tcPr>
            <w:tcW w:w="960" w:type="dxa"/>
            <w:vAlign w:val="bottom"/>
            <w:tcBorders>
              <w:bottom w:val="single" w:sz="8" w:color="999999"/>
            </w:tcBorders>
          </w:tcPr>
          <w:p>
            <w:pPr>
              <w:ind w:left="120"/>
              <w:spacing w:after="0"/>
              <w:rPr>
                <w:sz w:val="20"/>
                <w:szCs w:val="20"/>
                <w:color w:val="auto"/>
              </w:rPr>
            </w:pPr>
            <w:r>
              <w:rPr>
                <w:rFonts w:ascii="Arial" w:cs="Arial" w:eastAsia="Arial" w:hAnsi="Arial"/>
                <w:sz w:val="14"/>
                <w:szCs w:val="14"/>
                <w:color w:val="auto"/>
              </w:rPr>
              <w:t>Shares (3)</w:t>
            </w:r>
          </w:p>
        </w:tc>
        <w:tc>
          <w:tcPr>
            <w:tcW w:w="120" w:type="dxa"/>
            <w:vAlign w:val="bottom"/>
            <w:tcBorders>
              <w:bottom w:val="single" w:sz="8" w:color="999999"/>
            </w:tcBorders>
          </w:tcPr>
          <w:p>
            <w:pPr>
              <w:spacing w:after="0"/>
              <w:rPr>
                <w:sz w:val="14"/>
                <w:szCs w:val="14"/>
                <w:color w:val="auto"/>
              </w:rPr>
            </w:pPr>
          </w:p>
        </w:tc>
        <w:tc>
          <w:tcPr>
            <w:tcW w:w="620" w:type="dxa"/>
            <w:vAlign w:val="bottom"/>
            <w:tcBorders>
              <w:bottom w:val="single" w:sz="8" w:color="999999"/>
            </w:tcBorders>
          </w:tcPr>
          <w:p>
            <w:pPr>
              <w:spacing w:after="0"/>
              <w:rPr>
                <w:sz w:val="14"/>
                <w:szCs w:val="14"/>
                <w:color w:val="auto"/>
              </w:rPr>
            </w:pPr>
          </w:p>
        </w:tc>
        <w:tc>
          <w:tcPr>
            <w:tcW w:w="920" w:type="dxa"/>
            <w:vAlign w:val="bottom"/>
            <w:tcBorders>
              <w:bottom w:val="single" w:sz="8" w:color="999999"/>
            </w:tcBorders>
          </w:tcPr>
          <w:p>
            <w:pPr>
              <w:spacing w:after="0"/>
              <w:rPr>
                <w:sz w:val="14"/>
                <w:szCs w:val="14"/>
                <w:color w:val="auto"/>
              </w:rPr>
            </w:pPr>
          </w:p>
        </w:tc>
        <w:tc>
          <w:tcPr>
            <w:tcW w:w="700" w:type="dxa"/>
            <w:vAlign w:val="bottom"/>
            <w:tcBorders>
              <w:bottom w:val="single" w:sz="8" w:color="999999"/>
            </w:tcBorders>
          </w:tcPr>
          <w:p>
            <w:pPr>
              <w:spacing w:after="0"/>
              <w:rPr>
                <w:sz w:val="14"/>
                <w:szCs w:val="14"/>
                <w:color w:val="auto"/>
              </w:rPr>
            </w:pPr>
          </w:p>
        </w:tc>
        <w:tc>
          <w:tcPr>
            <w:tcW w:w="160" w:type="dxa"/>
            <w:vAlign w:val="bottom"/>
            <w:tcBorders>
              <w:bottom w:val="single" w:sz="8" w:color="999999"/>
            </w:tcBorders>
          </w:tcPr>
          <w:p>
            <w:pPr>
              <w:spacing w:after="0"/>
              <w:rPr>
                <w:sz w:val="14"/>
                <w:szCs w:val="14"/>
                <w:color w:val="auto"/>
              </w:rPr>
            </w:pPr>
          </w:p>
        </w:tc>
        <w:tc>
          <w:tcPr>
            <w:tcW w:w="620" w:type="dxa"/>
            <w:vAlign w:val="bottom"/>
            <w:tcBorders>
              <w:bottom w:val="single" w:sz="8" w:color="999999"/>
            </w:tcBorders>
          </w:tcPr>
          <w:p>
            <w:pPr>
              <w:spacing w:after="0"/>
              <w:rPr>
                <w:sz w:val="14"/>
                <w:szCs w:val="14"/>
                <w:color w:val="auto"/>
              </w:rPr>
            </w:pPr>
          </w:p>
        </w:tc>
        <w:tc>
          <w:tcPr>
            <w:tcW w:w="640" w:type="dxa"/>
            <w:vAlign w:val="bottom"/>
            <w:tcBorders>
              <w:bottom w:val="single" w:sz="8" w:color="999999"/>
            </w:tcBorders>
          </w:tcPr>
          <w:p>
            <w:pPr>
              <w:jc w:val="right"/>
              <w:ind w:right="8"/>
              <w:spacing w:after="0"/>
              <w:rPr>
                <w:sz w:val="20"/>
                <w:szCs w:val="20"/>
                <w:color w:val="auto"/>
              </w:rPr>
            </w:pPr>
            <w:r>
              <w:rPr>
                <w:rFonts w:ascii="Arial" w:cs="Arial" w:eastAsia="Arial" w:hAnsi="Arial"/>
                <w:sz w:val="14"/>
                <w:szCs w:val="14"/>
                <w:color w:val="auto"/>
              </w:rPr>
              <w:t>4,162</w:t>
            </w:r>
          </w:p>
        </w:tc>
        <w:tc>
          <w:tcPr>
            <w:tcW w:w="840" w:type="dxa"/>
            <w:vAlign w:val="bottom"/>
            <w:tcBorders>
              <w:bottom w:val="single" w:sz="8" w:color="999999"/>
            </w:tcBorders>
            <w:gridSpan w:val="2"/>
          </w:tcPr>
          <w:p>
            <w:pPr>
              <w:jc w:val="right"/>
              <w:ind w:right="80"/>
              <w:spacing w:after="0"/>
              <w:rPr>
                <w:sz w:val="20"/>
                <w:szCs w:val="20"/>
                <w:color w:val="auto"/>
              </w:rPr>
            </w:pPr>
            <w:r>
              <w:rPr>
                <w:rFonts w:ascii="Arial" w:cs="Arial" w:eastAsia="Arial" w:hAnsi="Arial"/>
                <w:sz w:val="14"/>
                <w:szCs w:val="14"/>
                <w:color w:val="auto"/>
              </w:rPr>
              <w:t>16,648</w:t>
            </w:r>
          </w:p>
        </w:tc>
        <w:tc>
          <w:tcPr>
            <w:tcW w:w="820" w:type="dxa"/>
            <w:vAlign w:val="bottom"/>
            <w:tcBorders>
              <w:bottom w:val="single" w:sz="8" w:color="999999"/>
            </w:tcBorders>
          </w:tcPr>
          <w:p>
            <w:pPr>
              <w:spacing w:after="0"/>
              <w:rPr>
                <w:sz w:val="14"/>
                <w:szCs w:val="14"/>
                <w:color w:val="auto"/>
              </w:rPr>
            </w:pPr>
          </w:p>
        </w:tc>
        <w:tc>
          <w:tcPr>
            <w:tcW w:w="40" w:type="dxa"/>
            <w:vAlign w:val="bottom"/>
            <w:tcBorders>
              <w:bottom w:val="single" w:sz="8" w:color="999999"/>
            </w:tcBorders>
          </w:tcPr>
          <w:p>
            <w:pPr>
              <w:spacing w:after="0"/>
              <w:rPr>
                <w:sz w:val="14"/>
                <w:szCs w:val="14"/>
                <w:color w:val="auto"/>
              </w:rPr>
            </w:pPr>
          </w:p>
        </w:tc>
        <w:tc>
          <w:tcPr>
            <w:tcW w:w="880" w:type="dxa"/>
            <w:vAlign w:val="bottom"/>
            <w:tcBorders>
              <w:bottom w:val="single" w:sz="8" w:color="999999"/>
            </w:tcBorders>
          </w:tcPr>
          <w:p>
            <w:pPr>
              <w:spacing w:after="0"/>
              <w:rPr>
                <w:sz w:val="14"/>
                <w:szCs w:val="14"/>
                <w:color w:val="auto"/>
              </w:rPr>
            </w:pPr>
          </w:p>
        </w:tc>
        <w:tc>
          <w:tcPr>
            <w:tcW w:w="40" w:type="dxa"/>
            <w:vAlign w:val="bottom"/>
            <w:tcBorders>
              <w:bottom w:val="single" w:sz="8" w:color="999999"/>
            </w:tcBorders>
          </w:tcPr>
          <w:p>
            <w:pPr>
              <w:spacing w:after="0"/>
              <w:rPr>
                <w:sz w:val="14"/>
                <w:szCs w:val="14"/>
                <w:color w:val="auto"/>
              </w:rPr>
            </w:pPr>
          </w:p>
        </w:tc>
        <w:tc>
          <w:tcPr>
            <w:tcW w:w="280" w:type="dxa"/>
            <w:vAlign w:val="bottom"/>
            <w:tcBorders>
              <w:bottom w:val="single" w:sz="8" w:color="999999"/>
            </w:tcBorders>
          </w:tcPr>
          <w:p>
            <w:pPr>
              <w:spacing w:after="0"/>
              <w:rPr>
                <w:sz w:val="14"/>
                <w:szCs w:val="14"/>
                <w:color w:val="auto"/>
              </w:rPr>
            </w:pPr>
          </w:p>
        </w:tc>
        <w:tc>
          <w:tcPr>
            <w:tcW w:w="420" w:type="dxa"/>
            <w:vAlign w:val="bottom"/>
            <w:tcBorders>
              <w:bottom w:val="single" w:sz="8" w:color="999999"/>
            </w:tcBorders>
          </w:tcPr>
          <w:p>
            <w:pPr>
              <w:spacing w:after="0"/>
              <w:rPr>
                <w:sz w:val="14"/>
                <w:szCs w:val="14"/>
                <w:color w:val="auto"/>
              </w:rPr>
            </w:pPr>
          </w:p>
        </w:tc>
        <w:tc>
          <w:tcPr>
            <w:tcW w:w="40" w:type="dxa"/>
            <w:vAlign w:val="bottom"/>
            <w:tcBorders>
              <w:bottom w:val="single" w:sz="8" w:color="999999"/>
            </w:tcBorders>
          </w:tcPr>
          <w:p>
            <w:pPr>
              <w:spacing w:after="0"/>
              <w:rPr>
                <w:sz w:val="14"/>
                <w:szCs w:val="14"/>
                <w:color w:val="auto"/>
              </w:rPr>
            </w:pPr>
          </w:p>
        </w:tc>
        <w:tc>
          <w:tcPr>
            <w:tcW w:w="320" w:type="dxa"/>
            <w:vAlign w:val="bottom"/>
            <w:tcBorders>
              <w:bottom w:val="single" w:sz="8" w:color="999999"/>
            </w:tcBorders>
          </w:tcPr>
          <w:p>
            <w:pPr>
              <w:ind w:left="120"/>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999999"/>
            </w:tcBorders>
            <w:gridSpan w:val="2"/>
          </w:tcPr>
          <w:p>
            <w:pPr>
              <w:jc w:val="right"/>
              <w:ind w:right="40"/>
              <w:spacing w:after="0"/>
              <w:rPr>
                <w:sz w:val="20"/>
                <w:szCs w:val="20"/>
                <w:color w:val="auto"/>
              </w:rPr>
            </w:pPr>
            <w:r>
              <w:rPr>
                <w:rFonts w:ascii="Arial" w:cs="Arial" w:eastAsia="Arial" w:hAnsi="Arial"/>
                <w:sz w:val="14"/>
                <w:szCs w:val="14"/>
                <w:color w:val="auto"/>
              </w:rPr>
              <w:t>329,963</w:t>
            </w:r>
          </w:p>
        </w:tc>
        <w:tc>
          <w:tcPr>
            <w:tcW w:w="0" w:type="dxa"/>
            <w:vAlign w:val="bottom"/>
          </w:tcPr>
          <w:p>
            <w:pPr>
              <w:spacing w:after="0"/>
              <w:rPr>
                <w:sz w:val="1"/>
                <w:szCs w:val="1"/>
                <w:color w:val="auto"/>
              </w:rPr>
            </w:pPr>
          </w:p>
        </w:tc>
      </w:tr>
      <w:tr>
        <w:trPr>
          <w:trHeight w:val="155"/>
        </w:trPr>
        <w:tc>
          <w:tcPr>
            <w:tcW w:w="2000" w:type="dxa"/>
            <w:vAlign w:val="bottom"/>
          </w:tcPr>
          <w:p>
            <w:pPr>
              <w:spacing w:after="0"/>
              <w:rPr>
                <w:sz w:val="13"/>
                <w:szCs w:val="13"/>
                <w:color w:val="auto"/>
              </w:rPr>
            </w:pPr>
          </w:p>
        </w:tc>
        <w:tc>
          <w:tcPr>
            <w:tcW w:w="960" w:type="dxa"/>
            <w:vAlign w:val="bottom"/>
            <w:tcBorders>
              <w:bottom w:val="single" w:sz="8" w:color="999999"/>
            </w:tcBorders>
          </w:tcPr>
          <w:p>
            <w:pPr>
              <w:ind w:left="120"/>
              <w:spacing w:after="0" w:line="155" w:lineRule="exact"/>
              <w:rPr>
                <w:sz w:val="20"/>
                <w:szCs w:val="20"/>
                <w:color w:val="auto"/>
              </w:rPr>
            </w:pPr>
            <w:r>
              <w:rPr>
                <w:rFonts w:ascii="Arial" w:cs="Arial" w:eastAsia="Arial" w:hAnsi="Arial"/>
                <w:sz w:val="14"/>
                <w:szCs w:val="14"/>
                <w:color w:val="auto"/>
              </w:rPr>
              <w:t>RSU (4)</w:t>
            </w:r>
          </w:p>
        </w:tc>
        <w:tc>
          <w:tcPr>
            <w:tcW w:w="120" w:type="dxa"/>
            <w:vAlign w:val="bottom"/>
            <w:tcBorders>
              <w:bottom w:val="single" w:sz="8" w:color="999999"/>
            </w:tcBorders>
          </w:tcPr>
          <w:p>
            <w:pPr>
              <w:spacing w:after="0"/>
              <w:rPr>
                <w:sz w:val="13"/>
                <w:szCs w:val="13"/>
                <w:color w:val="auto"/>
              </w:rPr>
            </w:pPr>
          </w:p>
        </w:tc>
        <w:tc>
          <w:tcPr>
            <w:tcW w:w="620" w:type="dxa"/>
            <w:vAlign w:val="bottom"/>
            <w:tcBorders>
              <w:bottom w:val="single" w:sz="8" w:color="999999"/>
            </w:tcBorders>
          </w:tcPr>
          <w:p>
            <w:pPr>
              <w:spacing w:after="0"/>
              <w:rPr>
                <w:sz w:val="13"/>
                <w:szCs w:val="13"/>
                <w:color w:val="auto"/>
              </w:rPr>
            </w:pPr>
          </w:p>
        </w:tc>
        <w:tc>
          <w:tcPr>
            <w:tcW w:w="920" w:type="dxa"/>
            <w:vAlign w:val="bottom"/>
            <w:tcBorders>
              <w:bottom w:val="single" w:sz="8" w:color="999999"/>
            </w:tcBorders>
          </w:tcPr>
          <w:p>
            <w:pPr>
              <w:spacing w:after="0"/>
              <w:rPr>
                <w:sz w:val="13"/>
                <w:szCs w:val="13"/>
                <w:color w:val="auto"/>
              </w:rPr>
            </w:pPr>
          </w:p>
        </w:tc>
        <w:tc>
          <w:tcPr>
            <w:tcW w:w="700" w:type="dxa"/>
            <w:vAlign w:val="bottom"/>
            <w:tcBorders>
              <w:bottom w:val="single" w:sz="8" w:color="999999"/>
            </w:tcBorders>
          </w:tcPr>
          <w:p>
            <w:pPr>
              <w:spacing w:after="0"/>
              <w:rPr>
                <w:sz w:val="13"/>
                <w:szCs w:val="13"/>
                <w:color w:val="auto"/>
              </w:rPr>
            </w:pPr>
          </w:p>
        </w:tc>
        <w:tc>
          <w:tcPr>
            <w:tcW w:w="160" w:type="dxa"/>
            <w:vAlign w:val="bottom"/>
            <w:tcBorders>
              <w:bottom w:val="single" w:sz="8" w:color="999999"/>
            </w:tcBorders>
          </w:tcPr>
          <w:p>
            <w:pPr>
              <w:spacing w:after="0"/>
              <w:rPr>
                <w:sz w:val="13"/>
                <w:szCs w:val="13"/>
                <w:color w:val="auto"/>
              </w:rPr>
            </w:pPr>
          </w:p>
        </w:tc>
        <w:tc>
          <w:tcPr>
            <w:tcW w:w="620" w:type="dxa"/>
            <w:vAlign w:val="bottom"/>
            <w:tcBorders>
              <w:bottom w:val="single" w:sz="8" w:color="999999"/>
            </w:tcBorders>
          </w:tcPr>
          <w:p>
            <w:pPr>
              <w:spacing w:after="0"/>
              <w:rPr>
                <w:sz w:val="13"/>
                <w:szCs w:val="13"/>
                <w:color w:val="auto"/>
              </w:rPr>
            </w:pPr>
          </w:p>
        </w:tc>
        <w:tc>
          <w:tcPr>
            <w:tcW w:w="640" w:type="dxa"/>
            <w:vAlign w:val="bottom"/>
            <w:tcBorders>
              <w:bottom w:val="single" w:sz="8" w:color="999999"/>
            </w:tcBorders>
          </w:tcPr>
          <w:p>
            <w:pPr>
              <w:spacing w:after="0"/>
              <w:rPr>
                <w:sz w:val="13"/>
                <w:szCs w:val="13"/>
                <w:color w:val="auto"/>
              </w:rPr>
            </w:pPr>
          </w:p>
        </w:tc>
        <w:tc>
          <w:tcPr>
            <w:tcW w:w="760" w:type="dxa"/>
            <w:vAlign w:val="bottom"/>
            <w:tcBorders>
              <w:bottom w:val="single" w:sz="8" w:color="999999"/>
            </w:tcBorders>
          </w:tcPr>
          <w:p>
            <w:pPr>
              <w:spacing w:after="0"/>
              <w:rPr>
                <w:sz w:val="13"/>
                <w:szCs w:val="13"/>
                <w:color w:val="auto"/>
              </w:rPr>
            </w:pPr>
          </w:p>
        </w:tc>
        <w:tc>
          <w:tcPr>
            <w:tcW w:w="80" w:type="dxa"/>
            <w:vAlign w:val="bottom"/>
            <w:tcBorders>
              <w:bottom w:val="single" w:sz="8" w:color="999999"/>
            </w:tcBorders>
          </w:tcPr>
          <w:p>
            <w:pPr>
              <w:spacing w:after="0"/>
              <w:rPr>
                <w:sz w:val="13"/>
                <w:szCs w:val="13"/>
                <w:color w:val="auto"/>
              </w:rPr>
            </w:pPr>
          </w:p>
        </w:tc>
        <w:tc>
          <w:tcPr>
            <w:tcW w:w="860" w:type="dxa"/>
            <w:vAlign w:val="bottom"/>
            <w:tcBorders>
              <w:bottom w:val="single" w:sz="8" w:color="999999"/>
            </w:tcBorders>
            <w:gridSpan w:val="2"/>
          </w:tcPr>
          <w:p>
            <w:pPr>
              <w:jc w:val="right"/>
              <w:ind w:right="40"/>
              <w:spacing w:after="0" w:line="155" w:lineRule="exact"/>
              <w:rPr>
                <w:sz w:val="20"/>
                <w:szCs w:val="20"/>
                <w:color w:val="auto"/>
              </w:rPr>
            </w:pPr>
            <w:r>
              <w:rPr>
                <w:rFonts w:ascii="Arial" w:cs="Arial" w:eastAsia="Arial" w:hAnsi="Arial"/>
                <w:sz w:val="14"/>
                <w:szCs w:val="14"/>
                <w:color w:val="auto"/>
              </w:rPr>
              <w:t>2,775</w:t>
            </w:r>
          </w:p>
        </w:tc>
        <w:tc>
          <w:tcPr>
            <w:tcW w:w="880" w:type="dxa"/>
            <w:vAlign w:val="bottom"/>
            <w:tcBorders>
              <w:bottom w:val="single" w:sz="8" w:color="999999"/>
            </w:tcBorders>
          </w:tcPr>
          <w:p>
            <w:pPr>
              <w:spacing w:after="0"/>
              <w:rPr>
                <w:sz w:val="13"/>
                <w:szCs w:val="13"/>
                <w:color w:val="auto"/>
              </w:rPr>
            </w:pPr>
          </w:p>
        </w:tc>
        <w:tc>
          <w:tcPr>
            <w:tcW w:w="40" w:type="dxa"/>
            <w:vAlign w:val="bottom"/>
            <w:tcBorders>
              <w:bottom w:val="single" w:sz="8" w:color="999999"/>
            </w:tcBorders>
          </w:tcPr>
          <w:p>
            <w:pPr>
              <w:spacing w:after="0"/>
              <w:rPr>
                <w:sz w:val="13"/>
                <w:szCs w:val="13"/>
                <w:color w:val="auto"/>
              </w:rPr>
            </w:pPr>
          </w:p>
        </w:tc>
        <w:tc>
          <w:tcPr>
            <w:tcW w:w="280" w:type="dxa"/>
            <w:vAlign w:val="bottom"/>
            <w:tcBorders>
              <w:bottom w:val="single" w:sz="8" w:color="999999"/>
            </w:tcBorders>
          </w:tcPr>
          <w:p>
            <w:pPr>
              <w:spacing w:after="0"/>
              <w:rPr>
                <w:sz w:val="13"/>
                <w:szCs w:val="13"/>
                <w:color w:val="auto"/>
              </w:rPr>
            </w:pPr>
          </w:p>
        </w:tc>
        <w:tc>
          <w:tcPr>
            <w:tcW w:w="420" w:type="dxa"/>
            <w:vAlign w:val="bottom"/>
            <w:tcBorders>
              <w:bottom w:val="single" w:sz="8" w:color="999999"/>
            </w:tcBorders>
          </w:tcPr>
          <w:p>
            <w:pPr>
              <w:spacing w:after="0"/>
              <w:rPr>
                <w:sz w:val="13"/>
                <w:szCs w:val="13"/>
                <w:color w:val="auto"/>
              </w:rPr>
            </w:pPr>
          </w:p>
        </w:tc>
        <w:tc>
          <w:tcPr>
            <w:tcW w:w="40" w:type="dxa"/>
            <w:vAlign w:val="bottom"/>
            <w:tcBorders>
              <w:bottom w:val="single" w:sz="8" w:color="999999"/>
            </w:tcBorders>
          </w:tcPr>
          <w:p>
            <w:pPr>
              <w:spacing w:after="0"/>
              <w:rPr>
                <w:sz w:val="13"/>
                <w:szCs w:val="13"/>
                <w:color w:val="auto"/>
              </w:rPr>
            </w:pPr>
          </w:p>
        </w:tc>
        <w:tc>
          <w:tcPr>
            <w:tcW w:w="320" w:type="dxa"/>
            <w:vAlign w:val="bottom"/>
            <w:tcBorders>
              <w:bottom w:val="single" w:sz="8" w:color="999999"/>
            </w:tcBorders>
          </w:tcPr>
          <w:p>
            <w:pPr>
              <w:ind w:left="120"/>
              <w:spacing w:after="0" w:line="155" w:lineRule="exact"/>
              <w:rPr>
                <w:sz w:val="20"/>
                <w:szCs w:val="20"/>
                <w:color w:val="auto"/>
              </w:rPr>
            </w:pPr>
            <w:r>
              <w:rPr>
                <w:rFonts w:ascii="Arial" w:cs="Arial" w:eastAsia="Arial" w:hAnsi="Arial"/>
                <w:sz w:val="14"/>
                <w:szCs w:val="14"/>
                <w:color w:val="auto"/>
              </w:rPr>
              <w:t>$</w:t>
            </w:r>
          </w:p>
        </w:tc>
        <w:tc>
          <w:tcPr>
            <w:tcW w:w="580" w:type="dxa"/>
            <w:vAlign w:val="bottom"/>
            <w:tcBorders>
              <w:bottom w:val="single" w:sz="8" w:color="999999"/>
            </w:tcBorders>
            <w:gridSpan w:val="2"/>
          </w:tcPr>
          <w:p>
            <w:pPr>
              <w:jc w:val="right"/>
              <w:ind w:right="40"/>
              <w:spacing w:after="0" w:line="155" w:lineRule="exact"/>
              <w:rPr>
                <w:sz w:val="20"/>
                <w:szCs w:val="20"/>
                <w:color w:val="auto"/>
              </w:rPr>
            </w:pPr>
            <w:r>
              <w:rPr>
                <w:rFonts w:ascii="Arial" w:cs="Arial" w:eastAsia="Arial" w:hAnsi="Arial"/>
                <w:sz w:val="14"/>
                <w:szCs w:val="14"/>
                <w:color w:val="auto"/>
              </w:rPr>
              <w:t>220,002</w:t>
            </w:r>
          </w:p>
        </w:tc>
        <w:tc>
          <w:tcPr>
            <w:tcW w:w="0" w:type="dxa"/>
            <w:vAlign w:val="bottom"/>
          </w:tcPr>
          <w:p>
            <w:pPr>
              <w:spacing w:after="0"/>
              <w:rPr>
                <w:sz w:val="1"/>
                <w:szCs w:val="1"/>
                <w:color w:val="auto"/>
              </w:rPr>
            </w:pPr>
          </w:p>
        </w:tc>
      </w:tr>
      <w:tr>
        <w:trPr>
          <w:trHeight w:val="155"/>
        </w:trPr>
        <w:tc>
          <w:tcPr>
            <w:tcW w:w="2000" w:type="dxa"/>
            <w:vAlign w:val="bottom"/>
          </w:tcPr>
          <w:p>
            <w:pPr>
              <w:spacing w:after="0"/>
              <w:rPr>
                <w:sz w:val="13"/>
                <w:szCs w:val="13"/>
                <w:color w:val="auto"/>
              </w:rPr>
            </w:pPr>
          </w:p>
        </w:tc>
        <w:tc>
          <w:tcPr>
            <w:tcW w:w="960" w:type="dxa"/>
            <w:vAlign w:val="bottom"/>
          </w:tcPr>
          <w:p>
            <w:pPr>
              <w:ind w:left="120"/>
              <w:spacing w:after="0" w:line="155" w:lineRule="exact"/>
              <w:rPr>
                <w:sz w:val="20"/>
                <w:szCs w:val="20"/>
                <w:color w:val="auto"/>
              </w:rPr>
            </w:pPr>
            <w:r>
              <w:rPr>
                <w:rFonts w:ascii="Arial" w:cs="Arial" w:eastAsia="Arial" w:hAnsi="Arial"/>
                <w:sz w:val="14"/>
                <w:szCs w:val="14"/>
                <w:color w:val="auto"/>
              </w:rPr>
              <w:t>AIP (5)</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jc w:val="right"/>
              <w:ind w:right="88"/>
              <w:spacing w:after="0" w:line="155" w:lineRule="exact"/>
              <w:rPr>
                <w:sz w:val="20"/>
                <w:szCs w:val="20"/>
                <w:color w:val="auto"/>
              </w:rPr>
            </w:pPr>
            <w:r>
              <w:rPr>
                <w:rFonts w:ascii="Arial" w:cs="Arial" w:eastAsia="Arial" w:hAnsi="Arial"/>
                <w:sz w:val="14"/>
                <w:szCs w:val="14"/>
                <w:color w:val="auto"/>
              </w:rPr>
              <w:t>535,000</w:t>
            </w: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1,070,000</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00" w:type="dxa"/>
            <w:vAlign w:val="bottom"/>
            <w:shd w:val="clear" w:color="auto" w:fill="D8D8D8"/>
          </w:tcPr>
          <w:p>
            <w:pPr>
              <w:spacing w:after="0"/>
              <w:rPr>
                <w:sz w:val="20"/>
                <w:szCs w:val="20"/>
                <w:color w:val="auto"/>
              </w:rPr>
            </w:pPr>
            <w:r>
              <w:rPr>
                <w:rFonts w:ascii="Arial" w:cs="Arial" w:eastAsia="Arial" w:hAnsi="Arial"/>
                <w:sz w:val="14"/>
                <w:szCs w:val="14"/>
                <w:color w:val="auto"/>
              </w:rPr>
              <w:t>William W. Spurgeon, Jr.</w:t>
            </w:r>
          </w:p>
        </w:tc>
        <w:tc>
          <w:tcPr>
            <w:tcW w:w="960" w:type="dxa"/>
            <w:vAlign w:val="bottom"/>
            <w:shd w:val="clear" w:color="auto" w:fill="D8D8D8"/>
          </w:tcPr>
          <w:p>
            <w:pPr>
              <w:ind w:left="120"/>
              <w:spacing w:after="0"/>
              <w:rPr>
                <w:sz w:val="20"/>
                <w:szCs w:val="20"/>
                <w:color w:val="auto"/>
              </w:rPr>
            </w:pPr>
            <w:r>
              <w:rPr>
                <w:rFonts w:ascii="Arial" w:cs="Arial" w:eastAsia="Arial" w:hAnsi="Arial"/>
                <w:sz w:val="14"/>
                <w:szCs w:val="14"/>
                <w:color w:val="auto"/>
              </w:rPr>
              <w:t>SSAR (2)</w:t>
            </w:r>
          </w:p>
        </w:tc>
        <w:tc>
          <w:tcPr>
            <w:tcW w:w="120" w:type="dxa"/>
            <w:vAlign w:val="bottom"/>
            <w:shd w:val="clear" w:color="auto" w:fill="D8D8D8"/>
          </w:tcPr>
          <w:p>
            <w:pPr>
              <w:spacing w:after="0"/>
              <w:rPr>
                <w:sz w:val="14"/>
                <w:szCs w:val="14"/>
                <w:color w:val="auto"/>
              </w:rPr>
            </w:pPr>
          </w:p>
        </w:tc>
        <w:tc>
          <w:tcPr>
            <w:tcW w:w="620" w:type="dxa"/>
            <w:vAlign w:val="bottom"/>
            <w:shd w:val="clear" w:color="auto" w:fill="D8D8D8"/>
          </w:tcPr>
          <w:p>
            <w:pPr>
              <w:spacing w:after="0"/>
              <w:rPr>
                <w:sz w:val="14"/>
                <w:szCs w:val="14"/>
                <w:color w:val="auto"/>
              </w:rPr>
            </w:pPr>
          </w:p>
        </w:tc>
        <w:tc>
          <w:tcPr>
            <w:tcW w:w="920" w:type="dxa"/>
            <w:vAlign w:val="bottom"/>
            <w:shd w:val="clear" w:color="auto" w:fill="D8D8D8"/>
          </w:tcPr>
          <w:p>
            <w:pPr>
              <w:spacing w:after="0"/>
              <w:rPr>
                <w:sz w:val="14"/>
                <w:szCs w:val="14"/>
                <w:color w:val="auto"/>
              </w:rPr>
            </w:pPr>
          </w:p>
        </w:tc>
        <w:tc>
          <w:tcPr>
            <w:tcW w:w="700" w:type="dxa"/>
            <w:vAlign w:val="bottom"/>
            <w:shd w:val="clear" w:color="auto" w:fill="D8D8D8"/>
          </w:tcPr>
          <w:p>
            <w:pPr>
              <w:spacing w:after="0"/>
              <w:rPr>
                <w:sz w:val="14"/>
                <w:szCs w:val="14"/>
                <w:color w:val="auto"/>
              </w:rPr>
            </w:pPr>
          </w:p>
        </w:tc>
        <w:tc>
          <w:tcPr>
            <w:tcW w:w="160" w:type="dxa"/>
            <w:vAlign w:val="bottom"/>
            <w:shd w:val="clear" w:color="auto" w:fill="D8D8D8"/>
          </w:tcPr>
          <w:p>
            <w:pPr>
              <w:spacing w:after="0"/>
              <w:rPr>
                <w:sz w:val="14"/>
                <w:szCs w:val="14"/>
                <w:color w:val="auto"/>
              </w:rPr>
            </w:pPr>
          </w:p>
        </w:tc>
        <w:tc>
          <w:tcPr>
            <w:tcW w:w="620" w:type="dxa"/>
            <w:vAlign w:val="bottom"/>
            <w:shd w:val="clear" w:color="auto" w:fill="D8D8D8"/>
          </w:tcPr>
          <w:p>
            <w:pPr>
              <w:spacing w:after="0"/>
              <w:rPr>
                <w:sz w:val="14"/>
                <w:szCs w:val="14"/>
                <w:color w:val="auto"/>
              </w:rPr>
            </w:pPr>
          </w:p>
        </w:tc>
        <w:tc>
          <w:tcPr>
            <w:tcW w:w="640" w:type="dxa"/>
            <w:vAlign w:val="bottom"/>
            <w:shd w:val="clear" w:color="auto" w:fill="D8D8D8"/>
          </w:tcPr>
          <w:p>
            <w:pPr>
              <w:spacing w:after="0"/>
              <w:rPr>
                <w:sz w:val="14"/>
                <w:szCs w:val="14"/>
                <w:color w:val="auto"/>
              </w:rPr>
            </w:pPr>
          </w:p>
        </w:tc>
        <w:tc>
          <w:tcPr>
            <w:tcW w:w="760" w:type="dxa"/>
            <w:vAlign w:val="bottom"/>
            <w:shd w:val="clear" w:color="auto" w:fill="D8D8D8"/>
          </w:tcPr>
          <w:p>
            <w:pPr>
              <w:spacing w:after="0"/>
              <w:rPr>
                <w:sz w:val="14"/>
                <w:szCs w:val="14"/>
                <w:color w:val="auto"/>
              </w:rPr>
            </w:pPr>
          </w:p>
        </w:tc>
        <w:tc>
          <w:tcPr>
            <w:tcW w:w="80" w:type="dxa"/>
            <w:vAlign w:val="bottom"/>
            <w:shd w:val="clear" w:color="auto" w:fill="D8D8D8"/>
          </w:tcPr>
          <w:p>
            <w:pPr>
              <w:spacing w:after="0"/>
              <w:rPr>
                <w:sz w:val="14"/>
                <w:szCs w:val="14"/>
                <w:color w:val="auto"/>
              </w:rPr>
            </w:pPr>
          </w:p>
        </w:tc>
        <w:tc>
          <w:tcPr>
            <w:tcW w:w="820" w:type="dxa"/>
            <w:vAlign w:val="bottom"/>
            <w:shd w:val="clear" w:color="auto" w:fill="D8D8D8"/>
          </w:tcPr>
          <w:p>
            <w:pPr>
              <w:spacing w:after="0"/>
              <w:rPr>
                <w:sz w:val="14"/>
                <w:szCs w:val="14"/>
                <w:color w:val="auto"/>
              </w:rPr>
            </w:pPr>
          </w:p>
        </w:tc>
        <w:tc>
          <w:tcPr>
            <w:tcW w:w="40" w:type="dxa"/>
            <w:vAlign w:val="bottom"/>
            <w:shd w:val="clear" w:color="auto" w:fill="D8D8D8"/>
          </w:tcPr>
          <w:p>
            <w:pPr>
              <w:spacing w:after="0"/>
              <w:rPr>
                <w:sz w:val="14"/>
                <w:szCs w:val="14"/>
                <w:color w:val="auto"/>
              </w:rPr>
            </w:pPr>
          </w:p>
        </w:tc>
        <w:tc>
          <w:tcPr>
            <w:tcW w:w="920" w:type="dxa"/>
            <w:vAlign w:val="bottom"/>
            <w:gridSpan w:val="2"/>
            <w:shd w:val="clear" w:color="auto" w:fill="D8D8D8"/>
          </w:tcPr>
          <w:p>
            <w:pPr>
              <w:jc w:val="right"/>
              <w:ind w:right="40"/>
              <w:spacing w:after="0"/>
              <w:rPr>
                <w:sz w:val="20"/>
                <w:szCs w:val="20"/>
                <w:color w:val="auto"/>
              </w:rPr>
            </w:pPr>
            <w:r>
              <w:rPr>
                <w:rFonts w:ascii="Arial" w:cs="Arial" w:eastAsia="Arial" w:hAnsi="Arial"/>
                <w:sz w:val="14"/>
                <w:szCs w:val="14"/>
                <w:color w:val="auto"/>
              </w:rPr>
              <w:t>27,750</w:t>
            </w:r>
          </w:p>
        </w:tc>
        <w:tc>
          <w:tcPr>
            <w:tcW w:w="280" w:type="dxa"/>
            <w:vAlign w:val="bottom"/>
            <w:shd w:val="clear" w:color="auto" w:fill="D8D8D8"/>
          </w:tcPr>
          <w:p>
            <w:pPr>
              <w:ind w:left="120"/>
              <w:spacing w:after="0"/>
              <w:rPr>
                <w:sz w:val="20"/>
                <w:szCs w:val="20"/>
                <w:color w:val="auto"/>
              </w:rPr>
            </w:pPr>
            <w:r>
              <w:rPr>
                <w:rFonts w:ascii="Arial" w:cs="Arial" w:eastAsia="Arial" w:hAnsi="Arial"/>
                <w:sz w:val="14"/>
                <w:szCs w:val="14"/>
                <w:color w:val="auto"/>
              </w:rPr>
              <w:t>$</w:t>
            </w:r>
          </w:p>
        </w:tc>
        <w:tc>
          <w:tcPr>
            <w:tcW w:w="460" w:type="dxa"/>
            <w:vAlign w:val="bottom"/>
            <w:gridSpan w:val="2"/>
            <w:shd w:val="clear" w:color="auto" w:fill="D8D8D8"/>
          </w:tcPr>
          <w:p>
            <w:pPr>
              <w:jc w:val="right"/>
              <w:ind w:right="40"/>
              <w:spacing w:after="0"/>
              <w:rPr>
                <w:sz w:val="20"/>
                <w:szCs w:val="20"/>
                <w:color w:val="auto"/>
              </w:rPr>
            </w:pPr>
            <w:r>
              <w:rPr>
                <w:rFonts w:ascii="Arial" w:cs="Arial" w:eastAsia="Arial" w:hAnsi="Arial"/>
                <w:sz w:val="14"/>
                <w:szCs w:val="14"/>
                <w:color w:val="auto"/>
              </w:rPr>
              <w:t>79.28</w:t>
            </w:r>
          </w:p>
        </w:tc>
        <w:tc>
          <w:tcPr>
            <w:tcW w:w="320" w:type="dxa"/>
            <w:vAlign w:val="bottom"/>
            <w:shd w:val="clear" w:color="auto" w:fill="D8D8D8"/>
          </w:tcPr>
          <w:p>
            <w:pPr>
              <w:ind w:left="12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D8D8D8"/>
          </w:tcPr>
          <w:p>
            <w:pPr>
              <w:jc w:val="right"/>
              <w:ind w:right="40"/>
              <w:spacing w:after="0"/>
              <w:rPr>
                <w:sz w:val="20"/>
                <w:szCs w:val="20"/>
                <w:color w:val="auto"/>
              </w:rPr>
            </w:pPr>
            <w:r>
              <w:rPr>
                <w:rFonts w:ascii="Arial" w:cs="Arial" w:eastAsia="Arial" w:hAnsi="Arial"/>
                <w:sz w:val="14"/>
                <w:szCs w:val="14"/>
                <w:color w:val="auto"/>
              </w:rPr>
              <w:t>350,458</w:t>
            </w:r>
          </w:p>
        </w:tc>
        <w:tc>
          <w:tcPr>
            <w:tcW w:w="0" w:type="dxa"/>
            <w:vAlign w:val="bottom"/>
          </w:tcPr>
          <w:p>
            <w:pPr>
              <w:spacing w:after="0"/>
              <w:rPr>
                <w:sz w:val="1"/>
                <w:szCs w:val="1"/>
                <w:color w:val="auto"/>
              </w:rPr>
            </w:pPr>
          </w:p>
        </w:tc>
      </w:tr>
      <w:tr>
        <w:trPr>
          <w:trHeight w:val="180"/>
        </w:trPr>
        <w:tc>
          <w:tcPr>
            <w:tcW w:w="2000" w:type="dxa"/>
            <w:vAlign w:val="bottom"/>
            <w:shd w:val="clear" w:color="auto" w:fill="D8D8D8"/>
          </w:tcPr>
          <w:p>
            <w:pPr>
              <w:spacing w:after="0"/>
              <w:rPr>
                <w:sz w:val="15"/>
                <w:szCs w:val="15"/>
                <w:color w:val="auto"/>
              </w:rPr>
            </w:pPr>
          </w:p>
        </w:tc>
        <w:tc>
          <w:tcPr>
            <w:tcW w:w="960" w:type="dxa"/>
            <w:vAlign w:val="bottom"/>
            <w:shd w:val="clear" w:color="auto" w:fill="D8D8D8"/>
          </w:tcPr>
          <w:p>
            <w:pPr>
              <w:ind w:left="120"/>
              <w:spacing w:after="0"/>
              <w:rPr>
                <w:sz w:val="20"/>
                <w:szCs w:val="20"/>
                <w:color w:val="auto"/>
              </w:rPr>
            </w:pPr>
            <w:r>
              <w:rPr>
                <w:rFonts w:ascii="Arial" w:cs="Arial" w:eastAsia="Arial" w:hAnsi="Arial"/>
                <w:sz w:val="14"/>
                <w:szCs w:val="14"/>
                <w:color w:val="auto"/>
              </w:rPr>
              <w:t>Performance</w:t>
            </w:r>
          </w:p>
        </w:tc>
        <w:tc>
          <w:tcPr>
            <w:tcW w:w="120" w:type="dxa"/>
            <w:vAlign w:val="bottom"/>
            <w:shd w:val="clear" w:color="auto" w:fill="D8D8D8"/>
          </w:tcPr>
          <w:p>
            <w:pPr>
              <w:spacing w:after="0"/>
              <w:rPr>
                <w:sz w:val="15"/>
                <w:szCs w:val="15"/>
                <w:color w:val="auto"/>
              </w:rPr>
            </w:pPr>
          </w:p>
        </w:tc>
        <w:tc>
          <w:tcPr>
            <w:tcW w:w="620" w:type="dxa"/>
            <w:vAlign w:val="bottom"/>
            <w:shd w:val="clear" w:color="auto" w:fill="D8D8D8"/>
          </w:tcPr>
          <w:p>
            <w:pPr>
              <w:spacing w:after="0"/>
              <w:rPr>
                <w:sz w:val="15"/>
                <w:szCs w:val="15"/>
                <w:color w:val="auto"/>
              </w:rPr>
            </w:pPr>
          </w:p>
        </w:tc>
        <w:tc>
          <w:tcPr>
            <w:tcW w:w="920" w:type="dxa"/>
            <w:vAlign w:val="bottom"/>
            <w:shd w:val="clear" w:color="auto" w:fill="D8D8D8"/>
          </w:tcPr>
          <w:p>
            <w:pPr>
              <w:spacing w:after="0"/>
              <w:rPr>
                <w:sz w:val="15"/>
                <w:szCs w:val="15"/>
                <w:color w:val="auto"/>
              </w:rPr>
            </w:pPr>
          </w:p>
        </w:tc>
        <w:tc>
          <w:tcPr>
            <w:tcW w:w="700" w:type="dxa"/>
            <w:vAlign w:val="bottom"/>
            <w:shd w:val="clear" w:color="auto" w:fill="D8D8D8"/>
          </w:tcPr>
          <w:p>
            <w:pPr>
              <w:spacing w:after="0"/>
              <w:rPr>
                <w:sz w:val="15"/>
                <w:szCs w:val="15"/>
                <w:color w:val="auto"/>
              </w:rPr>
            </w:pPr>
          </w:p>
        </w:tc>
        <w:tc>
          <w:tcPr>
            <w:tcW w:w="160" w:type="dxa"/>
            <w:vAlign w:val="bottom"/>
            <w:shd w:val="clear" w:color="auto" w:fill="D8D8D8"/>
          </w:tcPr>
          <w:p>
            <w:pPr>
              <w:spacing w:after="0"/>
              <w:rPr>
                <w:sz w:val="15"/>
                <w:szCs w:val="15"/>
                <w:color w:val="auto"/>
              </w:rPr>
            </w:pPr>
          </w:p>
        </w:tc>
        <w:tc>
          <w:tcPr>
            <w:tcW w:w="620" w:type="dxa"/>
            <w:vAlign w:val="bottom"/>
            <w:shd w:val="clear" w:color="auto" w:fill="D8D8D8"/>
          </w:tcPr>
          <w:p>
            <w:pPr>
              <w:spacing w:after="0"/>
              <w:rPr>
                <w:sz w:val="15"/>
                <w:szCs w:val="15"/>
                <w:color w:val="auto"/>
              </w:rPr>
            </w:pPr>
          </w:p>
        </w:tc>
        <w:tc>
          <w:tcPr>
            <w:tcW w:w="640" w:type="dxa"/>
            <w:vAlign w:val="bottom"/>
            <w:shd w:val="clear" w:color="auto" w:fill="D8D8D8"/>
          </w:tcPr>
          <w:p>
            <w:pPr>
              <w:spacing w:after="0"/>
              <w:rPr>
                <w:sz w:val="15"/>
                <w:szCs w:val="15"/>
                <w:color w:val="auto"/>
              </w:rPr>
            </w:pPr>
          </w:p>
        </w:tc>
        <w:tc>
          <w:tcPr>
            <w:tcW w:w="760" w:type="dxa"/>
            <w:vAlign w:val="bottom"/>
            <w:shd w:val="clear" w:color="auto" w:fill="D8D8D8"/>
          </w:tcPr>
          <w:p>
            <w:pPr>
              <w:spacing w:after="0"/>
              <w:rPr>
                <w:sz w:val="15"/>
                <w:szCs w:val="15"/>
                <w:color w:val="auto"/>
              </w:rPr>
            </w:pPr>
          </w:p>
        </w:tc>
        <w:tc>
          <w:tcPr>
            <w:tcW w:w="80" w:type="dxa"/>
            <w:vAlign w:val="bottom"/>
            <w:shd w:val="clear" w:color="auto" w:fill="D8D8D8"/>
          </w:tcPr>
          <w:p>
            <w:pPr>
              <w:spacing w:after="0"/>
              <w:rPr>
                <w:sz w:val="15"/>
                <w:szCs w:val="15"/>
                <w:color w:val="auto"/>
              </w:rPr>
            </w:pPr>
          </w:p>
        </w:tc>
        <w:tc>
          <w:tcPr>
            <w:tcW w:w="820" w:type="dxa"/>
            <w:vAlign w:val="bottom"/>
            <w:shd w:val="clear" w:color="auto" w:fill="D8D8D8"/>
          </w:tcPr>
          <w:p>
            <w:pPr>
              <w:spacing w:after="0"/>
              <w:rPr>
                <w:sz w:val="15"/>
                <w:szCs w:val="15"/>
                <w:color w:val="auto"/>
              </w:rPr>
            </w:pPr>
          </w:p>
        </w:tc>
        <w:tc>
          <w:tcPr>
            <w:tcW w:w="40" w:type="dxa"/>
            <w:vAlign w:val="bottom"/>
            <w:shd w:val="clear" w:color="auto" w:fill="D8D8D8"/>
          </w:tcPr>
          <w:p>
            <w:pPr>
              <w:spacing w:after="0"/>
              <w:rPr>
                <w:sz w:val="15"/>
                <w:szCs w:val="15"/>
                <w:color w:val="auto"/>
              </w:rPr>
            </w:pPr>
          </w:p>
        </w:tc>
        <w:tc>
          <w:tcPr>
            <w:tcW w:w="880" w:type="dxa"/>
            <w:vAlign w:val="bottom"/>
            <w:shd w:val="clear" w:color="auto" w:fill="D8D8D8"/>
          </w:tcPr>
          <w:p>
            <w:pPr>
              <w:spacing w:after="0"/>
              <w:rPr>
                <w:sz w:val="15"/>
                <w:szCs w:val="15"/>
                <w:color w:val="auto"/>
              </w:rPr>
            </w:pPr>
          </w:p>
        </w:tc>
        <w:tc>
          <w:tcPr>
            <w:tcW w:w="40" w:type="dxa"/>
            <w:vAlign w:val="bottom"/>
            <w:shd w:val="clear" w:color="auto" w:fill="D8D8D8"/>
          </w:tcPr>
          <w:p>
            <w:pPr>
              <w:spacing w:after="0"/>
              <w:rPr>
                <w:sz w:val="15"/>
                <w:szCs w:val="15"/>
                <w:color w:val="auto"/>
              </w:rPr>
            </w:pPr>
          </w:p>
        </w:tc>
        <w:tc>
          <w:tcPr>
            <w:tcW w:w="280" w:type="dxa"/>
            <w:vAlign w:val="bottom"/>
            <w:shd w:val="clear" w:color="auto" w:fill="D8D8D8"/>
          </w:tcPr>
          <w:p>
            <w:pPr>
              <w:spacing w:after="0"/>
              <w:rPr>
                <w:sz w:val="15"/>
                <w:szCs w:val="15"/>
                <w:color w:val="auto"/>
              </w:rPr>
            </w:pPr>
          </w:p>
        </w:tc>
        <w:tc>
          <w:tcPr>
            <w:tcW w:w="420" w:type="dxa"/>
            <w:vAlign w:val="bottom"/>
            <w:shd w:val="clear" w:color="auto" w:fill="D8D8D8"/>
          </w:tcPr>
          <w:p>
            <w:pPr>
              <w:spacing w:after="0"/>
              <w:rPr>
                <w:sz w:val="15"/>
                <w:szCs w:val="15"/>
                <w:color w:val="auto"/>
              </w:rPr>
            </w:pPr>
          </w:p>
        </w:tc>
        <w:tc>
          <w:tcPr>
            <w:tcW w:w="40" w:type="dxa"/>
            <w:vAlign w:val="bottom"/>
            <w:shd w:val="clear" w:color="auto" w:fill="D8D8D8"/>
          </w:tcPr>
          <w:p>
            <w:pPr>
              <w:spacing w:after="0"/>
              <w:rPr>
                <w:sz w:val="15"/>
                <w:szCs w:val="15"/>
                <w:color w:val="auto"/>
              </w:rPr>
            </w:pPr>
          </w:p>
        </w:tc>
        <w:tc>
          <w:tcPr>
            <w:tcW w:w="320" w:type="dxa"/>
            <w:vAlign w:val="bottom"/>
            <w:shd w:val="clear" w:color="auto" w:fill="D8D8D8"/>
          </w:tcPr>
          <w:p>
            <w:pPr>
              <w:spacing w:after="0"/>
              <w:rPr>
                <w:sz w:val="15"/>
                <w:szCs w:val="15"/>
                <w:color w:val="auto"/>
              </w:rPr>
            </w:pPr>
          </w:p>
        </w:tc>
        <w:tc>
          <w:tcPr>
            <w:tcW w:w="540" w:type="dxa"/>
            <w:vAlign w:val="bottom"/>
            <w:shd w:val="clear" w:color="auto" w:fill="D8D8D8"/>
          </w:tcPr>
          <w:p>
            <w:pPr>
              <w:spacing w:after="0"/>
              <w:rPr>
                <w:sz w:val="15"/>
                <w:szCs w:val="15"/>
                <w:color w:val="auto"/>
              </w:rPr>
            </w:pPr>
          </w:p>
        </w:tc>
        <w:tc>
          <w:tcPr>
            <w:tcW w:w="40" w:type="dxa"/>
            <w:vAlign w:val="bottom"/>
            <w:shd w:val="clear" w:color="auto" w:fill="D8D8D8"/>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00" w:type="dxa"/>
            <w:vAlign w:val="bottom"/>
            <w:shd w:val="clear" w:color="auto" w:fill="D8D8D8"/>
          </w:tcPr>
          <w:p>
            <w:pPr>
              <w:spacing w:after="0"/>
              <w:rPr>
                <w:sz w:val="14"/>
                <w:szCs w:val="14"/>
                <w:color w:val="auto"/>
              </w:rPr>
            </w:pPr>
          </w:p>
        </w:tc>
        <w:tc>
          <w:tcPr>
            <w:tcW w:w="960" w:type="dxa"/>
            <w:vAlign w:val="bottom"/>
            <w:shd w:val="clear" w:color="auto" w:fill="D8D8D8"/>
          </w:tcPr>
          <w:p>
            <w:pPr>
              <w:ind w:left="120"/>
              <w:spacing w:after="0"/>
              <w:rPr>
                <w:sz w:val="20"/>
                <w:szCs w:val="20"/>
                <w:color w:val="auto"/>
              </w:rPr>
            </w:pPr>
            <w:r>
              <w:rPr>
                <w:rFonts w:ascii="Arial" w:cs="Arial" w:eastAsia="Arial" w:hAnsi="Arial"/>
                <w:sz w:val="14"/>
                <w:szCs w:val="14"/>
                <w:color w:val="auto"/>
              </w:rPr>
              <w:t>Shares (3)</w:t>
            </w:r>
          </w:p>
        </w:tc>
        <w:tc>
          <w:tcPr>
            <w:tcW w:w="120" w:type="dxa"/>
            <w:vAlign w:val="bottom"/>
            <w:shd w:val="clear" w:color="auto" w:fill="D8D8D8"/>
          </w:tcPr>
          <w:p>
            <w:pPr>
              <w:spacing w:after="0"/>
              <w:rPr>
                <w:sz w:val="14"/>
                <w:szCs w:val="14"/>
                <w:color w:val="auto"/>
              </w:rPr>
            </w:pPr>
          </w:p>
        </w:tc>
        <w:tc>
          <w:tcPr>
            <w:tcW w:w="620" w:type="dxa"/>
            <w:vAlign w:val="bottom"/>
            <w:shd w:val="clear" w:color="auto" w:fill="D8D8D8"/>
          </w:tcPr>
          <w:p>
            <w:pPr>
              <w:spacing w:after="0"/>
              <w:rPr>
                <w:sz w:val="14"/>
                <w:szCs w:val="14"/>
                <w:color w:val="auto"/>
              </w:rPr>
            </w:pPr>
          </w:p>
        </w:tc>
        <w:tc>
          <w:tcPr>
            <w:tcW w:w="920" w:type="dxa"/>
            <w:vAlign w:val="bottom"/>
            <w:shd w:val="clear" w:color="auto" w:fill="D8D8D8"/>
          </w:tcPr>
          <w:p>
            <w:pPr>
              <w:spacing w:after="0"/>
              <w:rPr>
                <w:sz w:val="14"/>
                <w:szCs w:val="14"/>
                <w:color w:val="auto"/>
              </w:rPr>
            </w:pPr>
          </w:p>
        </w:tc>
        <w:tc>
          <w:tcPr>
            <w:tcW w:w="700" w:type="dxa"/>
            <w:vAlign w:val="bottom"/>
            <w:shd w:val="clear" w:color="auto" w:fill="D8D8D8"/>
          </w:tcPr>
          <w:p>
            <w:pPr>
              <w:spacing w:after="0"/>
              <w:rPr>
                <w:sz w:val="14"/>
                <w:szCs w:val="14"/>
                <w:color w:val="auto"/>
              </w:rPr>
            </w:pPr>
          </w:p>
        </w:tc>
        <w:tc>
          <w:tcPr>
            <w:tcW w:w="160" w:type="dxa"/>
            <w:vAlign w:val="bottom"/>
            <w:shd w:val="clear" w:color="auto" w:fill="D8D8D8"/>
          </w:tcPr>
          <w:p>
            <w:pPr>
              <w:spacing w:after="0"/>
              <w:rPr>
                <w:sz w:val="14"/>
                <w:szCs w:val="14"/>
                <w:color w:val="auto"/>
              </w:rPr>
            </w:pPr>
          </w:p>
        </w:tc>
        <w:tc>
          <w:tcPr>
            <w:tcW w:w="620" w:type="dxa"/>
            <w:vAlign w:val="bottom"/>
            <w:shd w:val="clear" w:color="auto" w:fill="D8D8D8"/>
          </w:tcPr>
          <w:p>
            <w:pPr>
              <w:spacing w:after="0"/>
              <w:rPr>
                <w:sz w:val="14"/>
                <w:szCs w:val="14"/>
                <w:color w:val="auto"/>
              </w:rPr>
            </w:pPr>
          </w:p>
        </w:tc>
        <w:tc>
          <w:tcPr>
            <w:tcW w:w="640" w:type="dxa"/>
            <w:vAlign w:val="bottom"/>
            <w:shd w:val="clear" w:color="auto" w:fill="D8D8D8"/>
          </w:tcPr>
          <w:p>
            <w:pPr>
              <w:jc w:val="right"/>
              <w:ind w:right="8"/>
              <w:spacing w:after="0"/>
              <w:rPr>
                <w:sz w:val="20"/>
                <w:szCs w:val="20"/>
                <w:color w:val="auto"/>
              </w:rPr>
            </w:pPr>
            <w:r>
              <w:rPr>
                <w:rFonts w:ascii="Arial" w:cs="Arial" w:eastAsia="Arial" w:hAnsi="Arial"/>
                <w:sz w:val="14"/>
                <w:szCs w:val="14"/>
                <w:color w:val="auto"/>
              </w:rPr>
              <w:t>4,162</w:t>
            </w:r>
          </w:p>
        </w:tc>
        <w:tc>
          <w:tcPr>
            <w:tcW w:w="840" w:type="dxa"/>
            <w:vAlign w:val="bottom"/>
            <w:gridSpan w:val="2"/>
            <w:shd w:val="clear" w:color="auto" w:fill="D8D8D8"/>
          </w:tcPr>
          <w:p>
            <w:pPr>
              <w:jc w:val="right"/>
              <w:ind w:right="80"/>
              <w:spacing w:after="0"/>
              <w:rPr>
                <w:sz w:val="20"/>
                <w:szCs w:val="20"/>
                <w:color w:val="auto"/>
              </w:rPr>
            </w:pPr>
            <w:r>
              <w:rPr>
                <w:rFonts w:ascii="Arial" w:cs="Arial" w:eastAsia="Arial" w:hAnsi="Arial"/>
                <w:sz w:val="14"/>
                <w:szCs w:val="14"/>
                <w:color w:val="auto"/>
              </w:rPr>
              <w:t>16,648</w:t>
            </w:r>
          </w:p>
        </w:tc>
        <w:tc>
          <w:tcPr>
            <w:tcW w:w="820" w:type="dxa"/>
            <w:vAlign w:val="bottom"/>
            <w:shd w:val="clear" w:color="auto" w:fill="D8D8D8"/>
          </w:tcPr>
          <w:p>
            <w:pPr>
              <w:spacing w:after="0"/>
              <w:rPr>
                <w:sz w:val="14"/>
                <w:szCs w:val="14"/>
                <w:color w:val="auto"/>
              </w:rPr>
            </w:pPr>
          </w:p>
        </w:tc>
        <w:tc>
          <w:tcPr>
            <w:tcW w:w="40" w:type="dxa"/>
            <w:vAlign w:val="bottom"/>
            <w:shd w:val="clear" w:color="auto" w:fill="D8D8D8"/>
          </w:tcPr>
          <w:p>
            <w:pPr>
              <w:spacing w:after="0"/>
              <w:rPr>
                <w:sz w:val="14"/>
                <w:szCs w:val="14"/>
                <w:color w:val="auto"/>
              </w:rPr>
            </w:pPr>
          </w:p>
        </w:tc>
        <w:tc>
          <w:tcPr>
            <w:tcW w:w="880" w:type="dxa"/>
            <w:vAlign w:val="bottom"/>
            <w:shd w:val="clear" w:color="auto" w:fill="D8D8D8"/>
          </w:tcPr>
          <w:p>
            <w:pPr>
              <w:spacing w:after="0"/>
              <w:rPr>
                <w:sz w:val="14"/>
                <w:szCs w:val="14"/>
                <w:color w:val="auto"/>
              </w:rPr>
            </w:pPr>
          </w:p>
        </w:tc>
        <w:tc>
          <w:tcPr>
            <w:tcW w:w="40" w:type="dxa"/>
            <w:vAlign w:val="bottom"/>
            <w:shd w:val="clear" w:color="auto" w:fill="D8D8D8"/>
          </w:tcPr>
          <w:p>
            <w:pPr>
              <w:spacing w:after="0"/>
              <w:rPr>
                <w:sz w:val="14"/>
                <w:szCs w:val="14"/>
                <w:color w:val="auto"/>
              </w:rPr>
            </w:pPr>
          </w:p>
        </w:tc>
        <w:tc>
          <w:tcPr>
            <w:tcW w:w="280" w:type="dxa"/>
            <w:vAlign w:val="bottom"/>
            <w:shd w:val="clear" w:color="auto" w:fill="D8D8D8"/>
          </w:tcPr>
          <w:p>
            <w:pPr>
              <w:spacing w:after="0"/>
              <w:rPr>
                <w:sz w:val="14"/>
                <w:szCs w:val="14"/>
                <w:color w:val="auto"/>
              </w:rPr>
            </w:pPr>
          </w:p>
        </w:tc>
        <w:tc>
          <w:tcPr>
            <w:tcW w:w="420" w:type="dxa"/>
            <w:vAlign w:val="bottom"/>
            <w:shd w:val="clear" w:color="auto" w:fill="D8D8D8"/>
          </w:tcPr>
          <w:p>
            <w:pPr>
              <w:spacing w:after="0"/>
              <w:rPr>
                <w:sz w:val="14"/>
                <w:szCs w:val="14"/>
                <w:color w:val="auto"/>
              </w:rPr>
            </w:pPr>
          </w:p>
        </w:tc>
        <w:tc>
          <w:tcPr>
            <w:tcW w:w="40" w:type="dxa"/>
            <w:vAlign w:val="bottom"/>
            <w:shd w:val="clear" w:color="auto" w:fill="D8D8D8"/>
          </w:tcPr>
          <w:p>
            <w:pPr>
              <w:spacing w:after="0"/>
              <w:rPr>
                <w:sz w:val="14"/>
                <w:szCs w:val="14"/>
                <w:color w:val="auto"/>
              </w:rPr>
            </w:pPr>
          </w:p>
        </w:tc>
        <w:tc>
          <w:tcPr>
            <w:tcW w:w="320" w:type="dxa"/>
            <w:vAlign w:val="bottom"/>
            <w:shd w:val="clear" w:color="auto" w:fill="D8D8D8"/>
          </w:tcPr>
          <w:p>
            <w:pPr>
              <w:ind w:left="12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D8D8D8"/>
          </w:tcPr>
          <w:p>
            <w:pPr>
              <w:jc w:val="right"/>
              <w:ind w:right="40"/>
              <w:spacing w:after="0"/>
              <w:rPr>
                <w:sz w:val="20"/>
                <w:szCs w:val="20"/>
                <w:color w:val="auto"/>
              </w:rPr>
            </w:pPr>
            <w:r>
              <w:rPr>
                <w:rFonts w:ascii="Arial" w:cs="Arial" w:eastAsia="Arial" w:hAnsi="Arial"/>
                <w:sz w:val="14"/>
                <w:szCs w:val="14"/>
                <w:color w:val="auto"/>
              </w:rPr>
              <w:t>329,963</w:t>
            </w:r>
          </w:p>
        </w:tc>
        <w:tc>
          <w:tcPr>
            <w:tcW w:w="0" w:type="dxa"/>
            <w:vAlign w:val="bottom"/>
          </w:tcPr>
          <w:p>
            <w:pPr>
              <w:spacing w:after="0"/>
              <w:rPr>
                <w:sz w:val="1"/>
                <w:szCs w:val="1"/>
                <w:color w:val="auto"/>
              </w:rPr>
            </w:pPr>
          </w:p>
        </w:tc>
      </w:tr>
      <w:tr>
        <w:trPr>
          <w:trHeight w:val="175"/>
        </w:trPr>
        <w:tc>
          <w:tcPr>
            <w:tcW w:w="2000" w:type="dxa"/>
            <w:vAlign w:val="bottom"/>
            <w:shd w:val="clear" w:color="auto" w:fill="D8D8D8"/>
          </w:tcPr>
          <w:p>
            <w:pPr>
              <w:spacing w:after="0"/>
              <w:rPr>
                <w:sz w:val="15"/>
                <w:szCs w:val="15"/>
                <w:color w:val="auto"/>
              </w:rPr>
            </w:pPr>
          </w:p>
        </w:tc>
        <w:tc>
          <w:tcPr>
            <w:tcW w:w="960" w:type="dxa"/>
            <w:vAlign w:val="bottom"/>
            <w:shd w:val="clear" w:color="auto" w:fill="D8D8D8"/>
          </w:tcPr>
          <w:p>
            <w:pPr>
              <w:ind w:left="120"/>
              <w:spacing w:after="0"/>
              <w:rPr>
                <w:sz w:val="20"/>
                <w:szCs w:val="20"/>
                <w:color w:val="auto"/>
              </w:rPr>
            </w:pPr>
            <w:r>
              <w:rPr>
                <w:rFonts w:ascii="Arial" w:cs="Arial" w:eastAsia="Arial" w:hAnsi="Arial"/>
                <w:sz w:val="14"/>
                <w:szCs w:val="14"/>
                <w:color w:val="auto"/>
              </w:rPr>
              <w:t>RSU (4)</w:t>
            </w:r>
          </w:p>
        </w:tc>
        <w:tc>
          <w:tcPr>
            <w:tcW w:w="120" w:type="dxa"/>
            <w:vAlign w:val="bottom"/>
            <w:shd w:val="clear" w:color="auto" w:fill="D8D8D8"/>
          </w:tcPr>
          <w:p>
            <w:pPr>
              <w:spacing w:after="0"/>
              <w:rPr>
                <w:sz w:val="15"/>
                <w:szCs w:val="15"/>
                <w:color w:val="auto"/>
              </w:rPr>
            </w:pPr>
          </w:p>
        </w:tc>
        <w:tc>
          <w:tcPr>
            <w:tcW w:w="620" w:type="dxa"/>
            <w:vAlign w:val="bottom"/>
            <w:shd w:val="clear" w:color="auto" w:fill="D8D8D8"/>
          </w:tcPr>
          <w:p>
            <w:pPr>
              <w:spacing w:after="0"/>
              <w:rPr>
                <w:sz w:val="15"/>
                <w:szCs w:val="15"/>
                <w:color w:val="auto"/>
              </w:rPr>
            </w:pPr>
          </w:p>
        </w:tc>
        <w:tc>
          <w:tcPr>
            <w:tcW w:w="920" w:type="dxa"/>
            <w:vAlign w:val="bottom"/>
            <w:shd w:val="clear" w:color="auto" w:fill="D8D8D8"/>
          </w:tcPr>
          <w:p>
            <w:pPr>
              <w:spacing w:after="0"/>
              <w:rPr>
                <w:sz w:val="15"/>
                <w:szCs w:val="15"/>
                <w:color w:val="auto"/>
              </w:rPr>
            </w:pPr>
          </w:p>
        </w:tc>
        <w:tc>
          <w:tcPr>
            <w:tcW w:w="700" w:type="dxa"/>
            <w:vAlign w:val="bottom"/>
            <w:shd w:val="clear" w:color="auto" w:fill="D8D8D8"/>
          </w:tcPr>
          <w:p>
            <w:pPr>
              <w:spacing w:after="0"/>
              <w:rPr>
                <w:sz w:val="15"/>
                <w:szCs w:val="15"/>
                <w:color w:val="auto"/>
              </w:rPr>
            </w:pPr>
          </w:p>
        </w:tc>
        <w:tc>
          <w:tcPr>
            <w:tcW w:w="160" w:type="dxa"/>
            <w:vAlign w:val="bottom"/>
            <w:shd w:val="clear" w:color="auto" w:fill="D8D8D8"/>
          </w:tcPr>
          <w:p>
            <w:pPr>
              <w:spacing w:after="0"/>
              <w:rPr>
                <w:sz w:val="15"/>
                <w:szCs w:val="15"/>
                <w:color w:val="auto"/>
              </w:rPr>
            </w:pPr>
          </w:p>
        </w:tc>
        <w:tc>
          <w:tcPr>
            <w:tcW w:w="620" w:type="dxa"/>
            <w:vAlign w:val="bottom"/>
            <w:shd w:val="clear" w:color="auto" w:fill="D8D8D8"/>
          </w:tcPr>
          <w:p>
            <w:pPr>
              <w:spacing w:after="0"/>
              <w:rPr>
                <w:sz w:val="15"/>
                <w:szCs w:val="15"/>
                <w:color w:val="auto"/>
              </w:rPr>
            </w:pPr>
          </w:p>
        </w:tc>
        <w:tc>
          <w:tcPr>
            <w:tcW w:w="640" w:type="dxa"/>
            <w:vAlign w:val="bottom"/>
            <w:shd w:val="clear" w:color="auto" w:fill="D8D8D8"/>
          </w:tcPr>
          <w:p>
            <w:pPr>
              <w:spacing w:after="0"/>
              <w:rPr>
                <w:sz w:val="15"/>
                <w:szCs w:val="15"/>
                <w:color w:val="auto"/>
              </w:rPr>
            </w:pPr>
          </w:p>
        </w:tc>
        <w:tc>
          <w:tcPr>
            <w:tcW w:w="760" w:type="dxa"/>
            <w:vAlign w:val="bottom"/>
            <w:shd w:val="clear" w:color="auto" w:fill="D8D8D8"/>
          </w:tcPr>
          <w:p>
            <w:pPr>
              <w:spacing w:after="0"/>
              <w:rPr>
                <w:sz w:val="15"/>
                <w:szCs w:val="15"/>
                <w:color w:val="auto"/>
              </w:rPr>
            </w:pPr>
          </w:p>
        </w:tc>
        <w:tc>
          <w:tcPr>
            <w:tcW w:w="80" w:type="dxa"/>
            <w:vAlign w:val="bottom"/>
            <w:shd w:val="clear" w:color="auto" w:fill="D8D8D8"/>
          </w:tcPr>
          <w:p>
            <w:pPr>
              <w:spacing w:after="0"/>
              <w:rPr>
                <w:sz w:val="15"/>
                <w:szCs w:val="15"/>
                <w:color w:val="auto"/>
              </w:rPr>
            </w:pPr>
          </w:p>
        </w:tc>
        <w:tc>
          <w:tcPr>
            <w:tcW w:w="860" w:type="dxa"/>
            <w:vAlign w:val="bottom"/>
            <w:gridSpan w:val="2"/>
            <w:shd w:val="clear" w:color="auto" w:fill="D8D8D8"/>
          </w:tcPr>
          <w:p>
            <w:pPr>
              <w:jc w:val="right"/>
              <w:ind w:right="40"/>
              <w:spacing w:after="0"/>
              <w:rPr>
                <w:sz w:val="20"/>
                <w:szCs w:val="20"/>
                <w:color w:val="auto"/>
              </w:rPr>
            </w:pPr>
            <w:r>
              <w:rPr>
                <w:rFonts w:ascii="Arial" w:cs="Arial" w:eastAsia="Arial" w:hAnsi="Arial"/>
                <w:sz w:val="14"/>
                <w:szCs w:val="14"/>
                <w:color w:val="auto"/>
              </w:rPr>
              <w:t>2,775</w:t>
            </w:r>
          </w:p>
        </w:tc>
        <w:tc>
          <w:tcPr>
            <w:tcW w:w="880" w:type="dxa"/>
            <w:vAlign w:val="bottom"/>
            <w:shd w:val="clear" w:color="auto" w:fill="D8D8D8"/>
          </w:tcPr>
          <w:p>
            <w:pPr>
              <w:spacing w:after="0"/>
              <w:rPr>
                <w:sz w:val="15"/>
                <w:szCs w:val="15"/>
                <w:color w:val="auto"/>
              </w:rPr>
            </w:pPr>
          </w:p>
        </w:tc>
        <w:tc>
          <w:tcPr>
            <w:tcW w:w="40" w:type="dxa"/>
            <w:vAlign w:val="bottom"/>
            <w:shd w:val="clear" w:color="auto" w:fill="D8D8D8"/>
          </w:tcPr>
          <w:p>
            <w:pPr>
              <w:spacing w:after="0"/>
              <w:rPr>
                <w:sz w:val="15"/>
                <w:szCs w:val="15"/>
                <w:color w:val="auto"/>
              </w:rPr>
            </w:pPr>
          </w:p>
        </w:tc>
        <w:tc>
          <w:tcPr>
            <w:tcW w:w="280" w:type="dxa"/>
            <w:vAlign w:val="bottom"/>
            <w:shd w:val="clear" w:color="auto" w:fill="D8D8D8"/>
          </w:tcPr>
          <w:p>
            <w:pPr>
              <w:spacing w:after="0"/>
              <w:rPr>
                <w:sz w:val="15"/>
                <w:szCs w:val="15"/>
                <w:color w:val="auto"/>
              </w:rPr>
            </w:pPr>
          </w:p>
        </w:tc>
        <w:tc>
          <w:tcPr>
            <w:tcW w:w="420" w:type="dxa"/>
            <w:vAlign w:val="bottom"/>
            <w:shd w:val="clear" w:color="auto" w:fill="D8D8D8"/>
          </w:tcPr>
          <w:p>
            <w:pPr>
              <w:spacing w:after="0"/>
              <w:rPr>
                <w:sz w:val="15"/>
                <w:szCs w:val="15"/>
                <w:color w:val="auto"/>
              </w:rPr>
            </w:pPr>
          </w:p>
        </w:tc>
        <w:tc>
          <w:tcPr>
            <w:tcW w:w="40" w:type="dxa"/>
            <w:vAlign w:val="bottom"/>
            <w:shd w:val="clear" w:color="auto" w:fill="D8D8D8"/>
          </w:tcPr>
          <w:p>
            <w:pPr>
              <w:spacing w:after="0"/>
              <w:rPr>
                <w:sz w:val="15"/>
                <w:szCs w:val="15"/>
                <w:color w:val="auto"/>
              </w:rPr>
            </w:pPr>
          </w:p>
        </w:tc>
        <w:tc>
          <w:tcPr>
            <w:tcW w:w="320" w:type="dxa"/>
            <w:vAlign w:val="bottom"/>
            <w:shd w:val="clear" w:color="auto" w:fill="D8D8D8"/>
          </w:tcPr>
          <w:p>
            <w:pPr>
              <w:ind w:left="12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D8D8D8"/>
          </w:tcPr>
          <w:p>
            <w:pPr>
              <w:jc w:val="right"/>
              <w:ind w:right="40"/>
              <w:spacing w:after="0"/>
              <w:rPr>
                <w:sz w:val="20"/>
                <w:szCs w:val="20"/>
                <w:color w:val="auto"/>
              </w:rPr>
            </w:pPr>
            <w:r>
              <w:rPr>
                <w:rFonts w:ascii="Arial" w:cs="Arial" w:eastAsia="Arial" w:hAnsi="Arial"/>
                <w:sz w:val="14"/>
                <w:szCs w:val="14"/>
                <w:color w:val="auto"/>
              </w:rPr>
              <w:t>220,002</w:t>
            </w:r>
          </w:p>
        </w:tc>
        <w:tc>
          <w:tcPr>
            <w:tcW w:w="0" w:type="dxa"/>
            <w:vAlign w:val="bottom"/>
          </w:tcPr>
          <w:p>
            <w:pPr>
              <w:spacing w:after="0"/>
              <w:rPr>
                <w:sz w:val="1"/>
                <w:szCs w:val="1"/>
                <w:color w:val="auto"/>
              </w:rPr>
            </w:pPr>
          </w:p>
        </w:tc>
      </w:tr>
      <w:tr>
        <w:trPr>
          <w:trHeight w:val="175"/>
        </w:trPr>
        <w:tc>
          <w:tcPr>
            <w:tcW w:w="2000" w:type="dxa"/>
            <w:vAlign w:val="bottom"/>
            <w:tcBorders>
              <w:bottom w:val="single" w:sz="8" w:color="auto"/>
            </w:tcBorders>
            <w:shd w:val="clear" w:color="auto" w:fill="D8D8D8"/>
          </w:tcPr>
          <w:p>
            <w:pPr>
              <w:spacing w:after="0"/>
              <w:rPr>
                <w:sz w:val="15"/>
                <w:szCs w:val="15"/>
                <w:color w:val="auto"/>
              </w:rPr>
            </w:pPr>
          </w:p>
        </w:tc>
        <w:tc>
          <w:tcPr>
            <w:tcW w:w="960" w:type="dxa"/>
            <w:vAlign w:val="bottom"/>
            <w:tcBorders>
              <w:bottom w:val="single" w:sz="8" w:color="auto"/>
            </w:tcBorders>
            <w:shd w:val="clear" w:color="auto" w:fill="D8D8D8"/>
          </w:tcPr>
          <w:p>
            <w:pPr>
              <w:ind w:left="120"/>
              <w:spacing w:after="0"/>
              <w:rPr>
                <w:sz w:val="20"/>
                <w:szCs w:val="20"/>
                <w:color w:val="auto"/>
              </w:rPr>
            </w:pPr>
            <w:r>
              <w:rPr>
                <w:rFonts w:ascii="Arial" w:cs="Arial" w:eastAsia="Arial" w:hAnsi="Arial"/>
                <w:sz w:val="14"/>
                <w:szCs w:val="14"/>
                <w:color w:val="auto"/>
              </w:rPr>
              <w:t>AIP (5)</w:t>
            </w:r>
          </w:p>
        </w:tc>
        <w:tc>
          <w:tcPr>
            <w:tcW w:w="120" w:type="dxa"/>
            <w:vAlign w:val="bottom"/>
            <w:tcBorders>
              <w:bottom w:val="single" w:sz="8" w:color="auto"/>
            </w:tcBorders>
            <w:shd w:val="clear" w:color="auto" w:fill="D8D8D8"/>
          </w:tcPr>
          <w:p>
            <w:pPr>
              <w:spacing w:after="0"/>
              <w:rPr>
                <w:sz w:val="15"/>
                <w:szCs w:val="15"/>
                <w:color w:val="auto"/>
              </w:rPr>
            </w:pPr>
          </w:p>
        </w:tc>
        <w:tc>
          <w:tcPr>
            <w:tcW w:w="620" w:type="dxa"/>
            <w:vAlign w:val="bottom"/>
            <w:tcBorders>
              <w:bottom w:val="single" w:sz="8" w:color="auto"/>
            </w:tcBorders>
            <w:shd w:val="clear" w:color="auto" w:fill="D8D8D8"/>
          </w:tcPr>
          <w:p>
            <w:pPr>
              <w:spacing w:after="0"/>
              <w:rPr>
                <w:sz w:val="15"/>
                <w:szCs w:val="15"/>
                <w:color w:val="auto"/>
              </w:rPr>
            </w:pPr>
          </w:p>
        </w:tc>
        <w:tc>
          <w:tcPr>
            <w:tcW w:w="920" w:type="dxa"/>
            <w:vAlign w:val="bottom"/>
            <w:tcBorders>
              <w:bottom w:val="single" w:sz="8" w:color="auto"/>
            </w:tcBorders>
            <w:shd w:val="clear" w:color="auto" w:fill="D8D8D8"/>
          </w:tcPr>
          <w:p>
            <w:pPr>
              <w:jc w:val="right"/>
              <w:ind w:right="88"/>
              <w:spacing w:after="0"/>
              <w:rPr>
                <w:sz w:val="20"/>
                <w:szCs w:val="20"/>
                <w:color w:val="auto"/>
              </w:rPr>
            </w:pPr>
            <w:r>
              <w:rPr>
                <w:rFonts w:ascii="Arial" w:cs="Arial" w:eastAsia="Arial" w:hAnsi="Arial"/>
                <w:sz w:val="14"/>
                <w:szCs w:val="14"/>
                <w:color w:val="auto"/>
              </w:rPr>
              <w:t>650,000</w:t>
            </w:r>
          </w:p>
        </w:tc>
        <w:tc>
          <w:tcPr>
            <w:tcW w:w="70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4"/>
                <w:szCs w:val="14"/>
                <w:color w:val="auto"/>
              </w:rPr>
              <w:t>1,300,000</w:t>
            </w:r>
          </w:p>
        </w:tc>
        <w:tc>
          <w:tcPr>
            <w:tcW w:w="160" w:type="dxa"/>
            <w:vAlign w:val="bottom"/>
            <w:tcBorders>
              <w:bottom w:val="single" w:sz="8" w:color="auto"/>
            </w:tcBorders>
            <w:shd w:val="clear" w:color="auto" w:fill="D8D8D8"/>
          </w:tcPr>
          <w:p>
            <w:pPr>
              <w:spacing w:after="0"/>
              <w:rPr>
                <w:sz w:val="15"/>
                <w:szCs w:val="15"/>
                <w:color w:val="auto"/>
              </w:rPr>
            </w:pPr>
          </w:p>
        </w:tc>
        <w:tc>
          <w:tcPr>
            <w:tcW w:w="620" w:type="dxa"/>
            <w:vAlign w:val="bottom"/>
            <w:tcBorders>
              <w:bottom w:val="single" w:sz="8" w:color="auto"/>
            </w:tcBorders>
            <w:shd w:val="clear" w:color="auto" w:fill="D8D8D8"/>
          </w:tcPr>
          <w:p>
            <w:pPr>
              <w:spacing w:after="0"/>
              <w:rPr>
                <w:sz w:val="15"/>
                <w:szCs w:val="15"/>
                <w:color w:val="auto"/>
              </w:rPr>
            </w:pPr>
          </w:p>
        </w:tc>
        <w:tc>
          <w:tcPr>
            <w:tcW w:w="640" w:type="dxa"/>
            <w:vAlign w:val="bottom"/>
            <w:tcBorders>
              <w:bottom w:val="single" w:sz="8" w:color="auto"/>
            </w:tcBorders>
            <w:shd w:val="clear" w:color="auto" w:fill="D8D8D8"/>
          </w:tcPr>
          <w:p>
            <w:pPr>
              <w:spacing w:after="0"/>
              <w:rPr>
                <w:sz w:val="15"/>
                <w:szCs w:val="15"/>
                <w:color w:val="auto"/>
              </w:rPr>
            </w:pPr>
          </w:p>
        </w:tc>
        <w:tc>
          <w:tcPr>
            <w:tcW w:w="760" w:type="dxa"/>
            <w:vAlign w:val="bottom"/>
            <w:tcBorders>
              <w:bottom w:val="single" w:sz="8" w:color="auto"/>
            </w:tcBorders>
            <w:shd w:val="clear" w:color="auto" w:fill="D8D8D8"/>
          </w:tcPr>
          <w:p>
            <w:pPr>
              <w:spacing w:after="0"/>
              <w:rPr>
                <w:sz w:val="15"/>
                <w:szCs w:val="15"/>
                <w:color w:val="auto"/>
              </w:rPr>
            </w:pPr>
          </w:p>
        </w:tc>
        <w:tc>
          <w:tcPr>
            <w:tcW w:w="80" w:type="dxa"/>
            <w:vAlign w:val="bottom"/>
            <w:tcBorders>
              <w:bottom w:val="single" w:sz="8" w:color="auto"/>
            </w:tcBorders>
            <w:shd w:val="clear" w:color="auto" w:fill="D8D8D8"/>
          </w:tcPr>
          <w:p>
            <w:pPr>
              <w:spacing w:after="0"/>
              <w:rPr>
                <w:sz w:val="15"/>
                <w:szCs w:val="15"/>
                <w:color w:val="auto"/>
              </w:rPr>
            </w:pPr>
          </w:p>
        </w:tc>
        <w:tc>
          <w:tcPr>
            <w:tcW w:w="820" w:type="dxa"/>
            <w:vAlign w:val="bottom"/>
            <w:tcBorders>
              <w:bottom w:val="single" w:sz="8" w:color="auto"/>
            </w:tcBorders>
            <w:shd w:val="clear" w:color="auto" w:fill="D8D8D8"/>
          </w:tcPr>
          <w:p>
            <w:pPr>
              <w:spacing w:after="0"/>
              <w:rPr>
                <w:sz w:val="15"/>
                <w:szCs w:val="15"/>
                <w:color w:val="auto"/>
              </w:rPr>
            </w:pPr>
          </w:p>
        </w:tc>
        <w:tc>
          <w:tcPr>
            <w:tcW w:w="40" w:type="dxa"/>
            <w:vAlign w:val="bottom"/>
            <w:tcBorders>
              <w:bottom w:val="single" w:sz="8" w:color="auto"/>
            </w:tcBorders>
            <w:shd w:val="clear" w:color="auto" w:fill="D8D8D8"/>
          </w:tcPr>
          <w:p>
            <w:pPr>
              <w:spacing w:after="0"/>
              <w:rPr>
                <w:sz w:val="15"/>
                <w:szCs w:val="15"/>
                <w:color w:val="auto"/>
              </w:rPr>
            </w:pPr>
          </w:p>
        </w:tc>
        <w:tc>
          <w:tcPr>
            <w:tcW w:w="880" w:type="dxa"/>
            <w:vAlign w:val="bottom"/>
            <w:tcBorders>
              <w:bottom w:val="single" w:sz="8" w:color="auto"/>
            </w:tcBorders>
            <w:shd w:val="clear" w:color="auto" w:fill="D8D8D8"/>
          </w:tcPr>
          <w:p>
            <w:pPr>
              <w:spacing w:after="0"/>
              <w:rPr>
                <w:sz w:val="15"/>
                <w:szCs w:val="15"/>
                <w:color w:val="auto"/>
              </w:rPr>
            </w:pPr>
          </w:p>
        </w:tc>
        <w:tc>
          <w:tcPr>
            <w:tcW w:w="40" w:type="dxa"/>
            <w:vAlign w:val="bottom"/>
            <w:tcBorders>
              <w:bottom w:val="single" w:sz="8" w:color="auto"/>
            </w:tcBorders>
            <w:shd w:val="clear" w:color="auto" w:fill="D8D8D8"/>
          </w:tcPr>
          <w:p>
            <w:pPr>
              <w:spacing w:after="0"/>
              <w:rPr>
                <w:sz w:val="15"/>
                <w:szCs w:val="15"/>
                <w:color w:val="auto"/>
              </w:rPr>
            </w:pPr>
          </w:p>
        </w:tc>
        <w:tc>
          <w:tcPr>
            <w:tcW w:w="280" w:type="dxa"/>
            <w:vAlign w:val="bottom"/>
            <w:tcBorders>
              <w:bottom w:val="single" w:sz="8" w:color="auto"/>
            </w:tcBorders>
            <w:shd w:val="clear" w:color="auto" w:fill="D8D8D8"/>
          </w:tcPr>
          <w:p>
            <w:pPr>
              <w:spacing w:after="0"/>
              <w:rPr>
                <w:sz w:val="15"/>
                <w:szCs w:val="15"/>
                <w:color w:val="auto"/>
              </w:rPr>
            </w:pPr>
          </w:p>
        </w:tc>
        <w:tc>
          <w:tcPr>
            <w:tcW w:w="420" w:type="dxa"/>
            <w:vAlign w:val="bottom"/>
            <w:tcBorders>
              <w:bottom w:val="single" w:sz="8" w:color="auto"/>
            </w:tcBorders>
            <w:shd w:val="clear" w:color="auto" w:fill="D8D8D8"/>
          </w:tcPr>
          <w:p>
            <w:pPr>
              <w:spacing w:after="0"/>
              <w:rPr>
                <w:sz w:val="15"/>
                <w:szCs w:val="15"/>
                <w:color w:val="auto"/>
              </w:rPr>
            </w:pPr>
          </w:p>
        </w:tc>
        <w:tc>
          <w:tcPr>
            <w:tcW w:w="40" w:type="dxa"/>
            <w:vAlign w:val="bottom"/>
            <w:tcBorders>
              <w:bottom w:val="single" w:sz="8" w:color="auto"/>
            </w:tcBorders>
            <w:shd w:val="clear" w:color="auto" w:fill="D8D8D8"/>
          </w:tcPr>
          <w:p>
            <w:pPr>
              <w:spacing w:after="0"/>
              <w:rPr>
                <w:sz w:val="15"/>
                <w:szCs w:val="15"/>
                <w:color w:val="auto"/>
              </w:rPr>
            </w:pPr>
          </w:p>
        </w:tc>
        <w:tc>
          <w:tcPr>
            <w:tcW w:w="320" w:type="dxa"/>
            <w:vAlign w:val="bottom"/>
            <w:tcBorders>
              <w:bottom w:val="single" w:sz="8" w:color="auto"/>
            </w:tcBorders>
            <w:shd w:val="clear" w:color="auto" w:fill="D8D8D8"/>
          </w:tcPr>
          <w:p>
            <w:pPr>
              <w:spacing w:after="0"/>
              <w:rPr>
                <w:sz w:val="15"/>
                <w:szCs w:val="15"/>
                <w:color w:val="auto"/>
              </w:rPr>
            </w:pPr>
          </w:p>
        </w:tc>
        <w:tc>
          <w:tcPr>
            <w:tcW w:w="540" w:type="dxa"/>
            <w:vAlign w:val="bottom"/>
            <w:tcBorders>
              <w:bottom w:val="single" w:sz="8" w:color="auto"/>
            </w:tcBorders>
            <w:shd w:val="clear" w:color="auto" w:fill="D8D8D8"/>
          </w:tcPr>
          <w:p>
            <w:pPr>
              <w:spacing w:after="0"/>
              <w:rPr>
                <w:sz w:val="15"/>
                <w:szCs w:val="15"/>
                <w:color w:val="auto"/>
              </w:rPr>
            </w:pPr>
          </w:p>
        </w:tc>
        <w:tc>
          <w:tcPr>
            <w:tcW w:w="40" w:type="dxa"/>
            <w:vAlign w:val="bottom"/>
            <w:tcBorders>
              <w:bottom w:val="single" w:sz="8" w:color="auto"/>
            </w:tcBorders>
            <w:shd w:val="clear" w:color="auto" w:fill="D8D8D8"/>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1409700</wp:posOffset>
            </wp:positionH>
            <wp:positionV relativeFrom="paragraph">
              <wp:posOffset>-119380</wp:posOffset>
            </wp:positionV>
            <wp:extent cx="571373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713730" cy="8255"/>
                    </a:xfrm>
                    <a:prstGeom prst="rect">
                      <a:avLst/>
                    </a:prstGeom>
                    <a:noFill/>
                  </pic:spPr>
                </pic:pic>
              </a:graphicData>
            </a:graphic>
          </wp:anchor>
        </w:drawing>
        <w:drawing>
          <wp:anchor simplePos="0" relativeHeight="251657728" behindDoc="1" locked="0" layoutInCell="0" allowOverlap="1">
            <wp:simplePos x="0" y="0"/>
            <wp:positionH relativeFrom="column">
              <wp:posOffset>1409700</wp:posOffset>
            </wp:positionH>
            <wp:positionV relativeFrom="paragraph">
              <wp:posOffset>-230505</wp:posOffset>
            </wp:positionV>
            <wp:extent cx="571373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713730" cy="8255"/>
                    </a:xfrm>
                    <a:prstGeom prst="rect">
                      <a:avLst/>
                    </a:prstGeom>
                    <a:noFill/>
                  </pic:spPr>
                </pic:pic>
              </a:graphicData>
            </a:graphic>
          </wp:anchor>
        </w:drawing>
        <w:drawing>
          <wp:anchor simplePos="0" relativeHeight="251657728" behindDoc="1" locked="0" layoutInCell="0" allowOverlap="1">
            <wp:simplePos x="0" y="0"/>
            <wp:positionH relativeFrom="column">
              <wp:posOffset>1409700</wp:posOffset>
            </wp:positionH>
            <wp:positionV relativeFrom="paragraph">
              <wp:posOffset>-453390</wp:posOffset>
            </wp:positionV>
            <wp:extent cx="571373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713730" cy="8255"/>
                    </a:xfrm>
                    <a:prstGeom prst="rect">
                      <a:avLst/>
                    </a:prstGeom>
                    <a:noFill/>
                  </pic:spPr>
                </pic:pic>
              </a:graphicData>
            </a:graphic>
          </wp:anchor>
        </w:drawing>
        <w:drawing>
          <wp:anchor simplePos="0" relativeHeight="251657728" behindDoc="1" locked="0" layoutInCell="0" allowOverlap="1">
            <wp:simplePos x="0" y="0"/>
            <wp:positionH relativeFrom="column">
              <wp:posOffset>1409700</wp:posOffset>
            </wp:positionH>
            <wp:positionV relativeFrom="paragraph">
              <wp:posOffset>-1216025</wp:posOffset>
            </wp:positionV>
            <wp:extent cx="571373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713730" cy="8255"/>
                    </a:xfrm>
                    <a:prstGeom prst="rect">
                      <a:avLst/>
                    </a:prstGeom>
                    <a:noFill/>
                  </pic:spPr>
                </pic:pic>
              </a:graphicData>
            </a:graphic>
          </wp:anchor>
        </w:drawing>
        <w:drawing>
          <wp:anchor simplePos="0" relativeHeight="251657728" behindDoc="1" locked="0" layoutInCell="0" allowOverlap="1">
            <wp:simplePos x="0" y="0"/>
            <wp:positionH relativeFrom="column">
              <wp:posOffset>1409700</wp:posOffset>
            </wp:positionH>
            <wp:positionV relativeFrom="paragraph">
              <wp:posOffset>-1327150</wp:posOffset>
            </wp:positionV>
            <wp:extent cx="571373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713730" cy="8255"/>
                    </a:xfrm>
                    <a:prstGeom prst="rect">
                      <a:avLst/>
                    </a:prstGeom>
                    <a:noFill/>
                  </pic:spPr>
                </pic:pic>
              </a:graphicData>
            </a:graphic>
          </wp:anchor>
        </w:drawing>
        <w:drawing>
          <wp:anchor simplePos="0" relativeHeight="251657728" behindDoc="1" locked="0" layoutInCell="0" allowOverlap="1">
            <wp:simplePos x="0" y="0"/>
            <wp:positionH relativeFrom="column">
              <wp:posOffset>1409700</wp:posOffset>
            </wp:positionH>
            <wp:positionV relativeFrom="paragraph">
              <wp:posOffset>-1550035</wp:posOffset>
            </wp:positionV>
            <wp:extent cx="571373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713730" cy="8255"/>
                    </a:xfrm>
                    <a:prstGeom prst="rect">
                      <a:avLst/>
                    </a:prstGeom>
                    <a:noFill/>
                  </pic:spPr>
                </pic:pic>
              </a:graphicData>
            </a:graphic>
          </wp:anchor>
        </w:drawing>
        <w:drawing>
          <wp:anchor simplePos="0" relativeHeight="251657728" behindDoc="1" locked="0" layoutInCell="0" allowOverlap="1">
            <wp:simplePos x="0" y="0"/>
            <wp:positionH relativeFrom="column">
              <wp:posOffset>1409700</wp:posOffset>
            </wp:positionH>
            <wp:positionV relativeFrom="paragraph">
              <wp:posOffset>-2312035</wp:posOffset>
            </wp:positionV>
            <wp:extent cx="571373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713730" cy="8255"/>
                    </a:xfrm>
                    <a:prstGeom prst="rect">
                      <a:avLst/>
                    </a:prstGeom>
                    <a:noFill/>
                  </pic:spPr>
                </pic:pic>
              </a:graphicData>
            </a:graphic>
          </wp:anchor>
        </w:drawing>
        <w:drawing>
          <wp:anchor simplePos="0" relativeHeight="251657728" behindDoc="1" locked="0" layoutInCell="0" allowOverlap="1">
            <wp:simplePos x="0" y="0"/>
            <wp:positionH relativeFrom="column">
              <wp:posOffset>1409700</wp:posOffset>
            </wp:positionH>
            <wp:positionV relativeFrom="paragraph">
              <wp:posOffset>-2423795</wp:posOffset>
            </wp:positionV>
            <wp:extent cx="571373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713730" cy="8255"/>
                    </a:xfrm>
                    <a:prstGeom prst="rect">
                      <a:avLst/>
                    </a:prstGeom>
                    <a:noFill/>
                  </pic:spPr>
                </pic:pic>
              </a:graphicData>
            </a:graphic>
          </wp:anchor>
        </w:drawing>
        <w:drawing>
          <wp:anchor simplePos="0" relativeHeight="251657728" behindDoc="1" locked="0" layoutInCell="0" allowOverlap="1">
            <wp:simplePos x="0" y="0"/>
            <wp:positionH relativeFrom="column">
              <wp:posOffset>1409700</wp:posOffset>
            </wp:positionH>
            <wp:positionV relativeFrom="paragraph">
              <wp:posOffset>-2646045</wp:posOffset>
            </wp:positionV>
            <wp:extent cx="571373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713730" cy="8255"/>
                    </a:xfrm>
                    <a:prstGeom prst="rect">
                      <a:avLst/>
                    </a:prstGeom>
                    <a:noFill/>
                  </pic:spPr>
                </pic:pic>
              </a:graphicData>
            </a:graphic>
          </wp:anchor>
        </w:drawing>
      </w:r>
    </w:p>
    <w:p>
      <w:pPr>
        <w:spacing w:after="0" w:line="33" w:lineRule="exact"/>
        <w:rPr>
          <w:sz w:val="20"/>
          <w:szCs w:val="20"/>
          <w:color w:val="auto"/>
        </w:rPr>
      </w:pPr>
    </w:p>
    <w:p>
      <w:pPr>
        <w:ind w:left="540" w:hanging="330"/>
        <w:spacing w:after="0"/>
        <w:tabs>
          <w:tab w:leader="none" w:pos="540" w:val="left"/>
        </w:tabs>
        <w:numPr>
          <w:ilvl w:val="0"/>
          <w:numId w:val="47"/>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the minimum amount payable for a certain level of performance. Under each of our plans, there is no guaranteed minimum payment.</w:t>
      </w:r>
    </w:p>
    <w:p>
      <w:pPr>
        <w:spacing w:after="0" w:line="20" w:lineRule="exact"/>
        <w:rPr>
          <w:rFonts w:ascii="Arial" w:cs="Arial" w:eastAsia="Arial" w:hAnsi="Arial"/>
          <w:sz w:val="16"/>
          <w:szCs w:val="16"/>
          <w:i w:val="1"/>
          <w:iCs w:val="1"/>
          <w:color w:val="auto"/>
        </w:rPr>
      </w:pPr>
    </w:p>
    <w:p>
      <w:pPr>
        <w:ind w:left="540" w:right="520" w:hanging="330"/>
        <w:spacing w:after="0" w:line="246" w:lineRule="auto"/>
        <w:tabs>
          <w:tab w:leader="none" w:pos="540" w:val="left"/>
        </w:tabs>
        <w:numPr>
          <w:ilvl w:val="0"/>
          <w:numId w:val="47"/>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an award of SSARs under the LTIP that will not be exercisable until February 10, 2020. The grant date fair value was calculated in accordance with FASB ASC 718, using a Black-Scholes value of $12.63 per SSAR.</w:t>
      </w:r>
    </w:p>
    <w:p>
      <w:pPr>
        <w:ind w:left="540" w:right="100" w:hanging="330"/>
        <w:spacing w:after="0" w:line="246" w:lineRule="auto"/>
        <w:tabs>
          <w:tab w:leader="none" w:pos="540" w:val="left"/>
        </w:tabs>
        <w:numPr>
          <w:ilvl w:val="0"/>
          <w:numId w:val="47"/>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an award of performance shares under the LTIP. The performance shares vest and become payable after the three-year performance period ending December 31, 2019 subject to the achievement of the applicable performance goal. The performance share awards are considered performance and service awards per FASB ASC 718 and the grant date fair value for the awards was calculated in accordance with FASB ASC 718, using a value of $79.28 per share.</w:t>
      </w:r>
    </w:p>
    <w:p>
      <w:pPr>
        <w:spacing w:after="0" w:line="1" w:lineRule="exact"/>
        <w:rPr>
          <w:rFonts w:ascii="Arial" w:cs="Arial" w:eastAsia="Arial" w:hAnsi="Arial"/>
          <w:sz w:val="16"/>
          <w:szCs w:val="16"/>
          <w:i w:val="1"/>
          <w:iCs w:val="1"/>
          <w:color w:val="auto"/>
        </w:rPr>
      </w:pPr>
    </w:p>
    <w:p>
      <w:pPr>
        <w:ind w:left="540" w:right="200" w:hanging="330"/>
        <w:spacing w:after="0" w:line="246" w:lineRule="auto"/>
        <w:tabs>
          <w:tab w:leader="none" w:pos="540" w:val="left"/>
        </w:tabs>
        <w:numPr>
          <w:ilvl w:val="0"/>
          <w:numId w:val="47"/>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an award of restricted stock units under the LTIP made on February 10, 2017. The grant vests in three equal annual installments beginning on March 15, 2018. The grant date fair value for the awards were calculated in accordance with FASB ASC 718, using a value of $79.28 per share.</w:t>
      </w:r>
    </w:p>
    <w:p>
      <w:pPr>
        <w:ind w:left="540" w:right="260" w:hanging="330"/>
        <w:spacing w:after="0" w:line="260" w:lineRule="auto"/>
        <w:tabs>
          <w:tab w:leader="none" w:pos="540" w:val="left"/>
        </w:tabs>
        <w:numPr>
          <w:ilvl w:val="0"/>
          <w:numId w:val="47"/>
        </w:numPr>
        <w:rPr>
          <w:rFonts w:ascii="Arial" w:cs="Arial" w:eastAsia="Arial" w:hAnsi="Arial"/>
          <w:sz w:val="16"/>
          <w:szCs w:val="16"/>
          <w:i w:val="1"/>
          <w:iCs w:val="1"/>
          <w:color w:val="auto"/>
        </w:rPr>
      </w:pPr>
      <w:r>
        <w:rPr>
          <w:rFonts w:ascii="Arial" w:cs="Arial" w:eastAsia="Arial" w:hAnsi="Arial"/>
          <w:sz w:val="16"/>
          <w:szCs w:val="16"/>
          <w:i w:val="1"/>
          <w:iCs w:val="1"/>
          <w:color w:val="auto"/>
        </w:rPr>
        <w:t>The amounts shown in this row reflect the potential payouts in February 2018 for 2017 under the AIP. The bonus amount actually paid in February 2018 is disclosed in the Summary Compensation Table in the column “Bonus” for 2017 for the executive officer.</w:t>
      </w:r>
    </w:p>
    <w:p>
      <w:pPr>
        <w:spacing w:after="0" w:line="107" w:lineRule="exact"/>
        <w:rPr>
          <w:sz w:val="20"/>
          <w:szCs w:val="20"/>
          <w:color w:val="auto"/>
        </w:rPr>
      </w:pPr>
    </w:p>
    <w:p>
      <w:pPr>
        <w:ind w:left="7380"/>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57</w:t>
      </w:r>
    </w:p>
    <w:p>
      <w:pPr>
        <w:sectPr>
          <w:pgSz w:w="11900" w:h="16838" w:orient="portrait"/>
          <w:cols w:equalWidth="0" w:num="1">
            <w:col w:w="11220"/>
          </w:cols>
          <w:pgMar w:left="240" w:top="459" w:right="4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EXECUTIVE COMPENSATION TABLES</w:t>
      </w:r>
    </w:p>
    <w:p>
      <w:pPr>
        <w:spacing w:after="0" w:line="139"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32406B"/>
        </w:rPr>
        <w:t>Outstanding Equity Awards at Fiscal Year-End 2017</w:t>
      </w:r>
    </w:p>
    <w:p>
      <w:pPr>
        <w:spacing w:after="0" w:line="105" w:lineRule="exact"/>
        <w:rPr>
          <w:sz w:val="20"/>
          <w:szCs w:val="20"/>
          <w:color w:val="auto"/>
        </w:rPr>
      </w:pPr>
    </w:p>
    <w:p>
      <w:pPr>
        <w:ind w:left="220" w:right="160"/>
        <w:spacing w:after="0" w:line="250" w:lineRule="auto"/>
        <w:rPr>
          <w:sz w:val="20"/>
          <w:szCs w:val="20"/>
          <w:color w:val="auto"/>
        </w:rPr>
      </w:pPr>
      <w:r>
        <w:rPr>
          <w:rFonts w:ascii="Arial" w:cs="Arial" w:eastAsia="Arial" w:hAnsi="Arial"/>
          <w:sz w:val="16"/>
          <w:szCs w:val="16"/>
          <w:color w:val="auto"/>
        </w:rPr>
        <w:t>Awards listed below with grant dates beginning in 2013 were made under the LTIP. Awards listed below with grant dates between 2006 through 2012 were made under the 2005 Plan. All equity awards outstanding as of February 28, 2014 were adjusted as a result of the spin-off of Knowles Corporation to preserve the value of the awards in accordance with the Employee Matters Agreement, dated February 28, 2014, between Dover and Knowles Corporation.</w:t>
      </w:r>
    </w:p>
    <w:p>
      <w:pPr>
        <w:spacing w:after="0" w:line="210" w:lineRule="exact"/>
        <w:rPr>
          <w:sz w:val="20"/>
          <w:szCs w:val="20"/>
          <w:color w:val="auto"/>
        </w:rPr>
      </w:pPr>
    </w:p>
    <w:tbl>
      <w:tblPr>
        <w:tblLayout w:type="fixed"/>
        <w:tblInd w:w="220" w:type="dxa"/>
        <w:tblCellMar>
          <w:top w:w="0" w:type="dxa"/>
          <w:left w:w="0" w:type="dxa"/>
          <w:bottom w:w="0" w:type="dxa"/>
          <w:right w:w="0" w:type="dxa"/>
        </w:tblCellMar>
      </w:tblPr>
      <w:tr>
        <w:trPr>
          <w:trHeight w:val="175"/>
        </w:trPr>
        <w:tc>
          <w:tcPr>
            <w:tcW w:w="206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Option Awards</w:t>
            </w:r>
          </w:p>
        </w:tc>
        <w:tc>
          <w:tcPr>
            <w:tcW w:w="12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Stock Awards</w:t>
            </w:r>
          </w:p>
        </w:tc>
        <w:tc>
          <w:tcPr>
            <w:tcW w:w="106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r>
      <w:tr>
        <w:trPr>
          <w:trHeight w:val="142"/>
        </w:trPr>
        <w:tc>
          <w:tcPr>
            <w:tcW w:w="2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Equity</w:t>
            </w:r>
          </w:p>
        </w:tc>
        <w:tc>
          <w:tcPr>
            <w:tcW w:w="96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r>
      <w:tr>
        <w:trPr>
          <w:trHeight w:val="162"/>
        </w:trPr>
        <w:tc>
          <w:tcPr>
            <w:tcW w:w="2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40" w:type="dxa"/>
            <w:vAlign w:val="bottom"/>
          </w:tcPr>
          <w:p>
            <w:pPr>
              <w:ind w:left="60"/>
              <w:spacing w:after="0"/>
              <w:rPr>
                <w:sz w:val="20"/>
                <w:szCs w:val="20"/>
                <w:color w:val="auto"/>
              </w:rPr>
            </w:pPr>
            <w:r>
              <w:rPr>
                <w:rFonts w:ascii="Arial" w:cs="Arial" w:eastAsia="Arial" w:hAnsi="Arial"/>
                <w:sz w:val="14"/>
                <w:szCs w:val="14"/>
                <w:b w:val="1"/>
                <w:bCs w:val="1"/>
                <w:color w:val="auto"/>
              </w:rPr>
              <w:t>Incentive</w:t>
            </w:r>
          </w:p>
        </w:tc>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Equity</w:t>
            </w:r>
          </w:p>
        </w:tc>
      </w:tr>
      <w:tr>
        <w:trPr>
          <w:trHeight w:val="162"/>
        </w:trPr>
        <w:tc>
          <w:tcPr>
            <w:tcW w:w="2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40" w:type="dxa"/>
            <w:vAlign w:val="bottom"/>
          </w:tcPr>
          <w:p>
            <w:pPr>
              <w:ind w:left="60"/>
              <w:spacing w:after="0"/>
              <w:rPr>
                <w:sz w:val="20"/>
                <w:szCs w:val="20"/>
                <w:color w:val="auto"/>
              </w:rPr>
            </w:pPr>
            <w:r>
              <w:rPr>
                <w:rFonts w:ascii="Arial" w:cs="Arial" w:eastAsia="Arial" w:hAnsi="Arial"/>
                <w:sz w:val="14"/>
                <w:szCs w:val="14"/>
                <w:b w:val="1"/>
                <w:bCs w:val="1"/>
                <w:color w:val="auto"/>
              </w:rPr>
              <w:t>Plan</w:t>
            </w:r>
          </w:p>
        </w:tc>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Incentive</w:t>
            </w:r>
          </w:p>
        </w:tc>
      </w:tr>
      <w:tr>
        <w:trPr>
          <w:trHeight w:val="162"/>
        </w:trPr>
        <w:tc>
          <w:tcPr>
            <w:tcW w:w="2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40" w:type="dxa"/>
            <w:vAlign w:val="bottom"/>
          </w:tcPr>
          <w:p>
            <w:pPr>
              <w:ind w:left="60"/>
              <w:spacing w:after="0"/>
              <w:rPr>
                <w:sz w:val="20"/>
                <w:szCs w:val="20"/>
                <w:color w:val="auto"/>
              </w:rPr>
            </w:pPr>
            <w:r>
              <w:rPr>
                <w:rFonts w:ascii="Arial" w:cs="Arial" w:eastAsia="Arial" w:hAnsi="Arial"/>
                <w:sz w:val="14"/>
                <w:szCs w:val="14"/>
                <w:b w:val="1"/>
                <w:bCs w:val="1"/>
                <w:color w:val="auto"/>
              </w:rPr>
              <w:t>Awards:</w:t>
            </w:r>
          </w:p>
        </w:tc>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Plan Awards:</w:t>
            </w:r>
          </w:p>
        </w:tc>
      </w:tr>
      <w:tr>
        <w:trPr>
          <w:trHeight w:val="162"/>
        </w:trPr>
        <w:tc>
          <w:tcPr>
            <w:tcW w:w="2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60" w:type="dxa"/>
            <w:vAlign w:val="bottom"/>
          </w:tcPr>
          <w:p>
            <w:pPr>
              <w:ind w:left="40"/>
              <w:spacing w:after="0"/>
              <w:rPr>
                <w:sz w:val="20"/>
                <w:szCs w:val="20"/>
                <w:color w:val="auto"/>
              </w:rPr>
            </w:pPr>
            <w:r>
              <w:rPr>
                <w:rFonts w:ascii="Arial" w:cs="Arial" w:eastAsia="Arial" w:hAnsi="Arial"/>
                <w:sz w:val="14"/>
                <w:szCs w:val="14"/>
                <w:b w:val="1"/>
                <w:bCs w:val="1"/>
                <w:color w:val="auto"/>
              </w:rPr>
              <w:t>Market</w:t>
            </w:r>
          </w:p>
        </w:tc>
        <w:tc>
          <w:tcPr>
            <w:tcW w:w="1240" w:type="dxa"/>
            <w:vAlign w:val="bottom"/>
          </w:tcPr>
          <w:p>
            <w:pPr>
              <w:ind w:left="60"/>
              <w:spacing w:after="0"/>
              <w:rPr>
                <w:sz w:val="20"/>
                <w:szCs w:val="20"/>
                <w:color w:val="auto"/>
              </w:rPr>
            </w:pPr>
            <w:r>
              <w:rPr>
                <w:rFonts w:ascii="Arial" w:cs="Arial" w:eastAsia="Arial" w:hAnsi="Arial"/>
                <w:sz w:val="14"/>
                <w:szCs w:val="14"/>
                <w:b w:val="1"/>
                <w:bCs w:val="1"/>
                <w:color w:val="auto"/>
              </w:rPr>
              <w:t>Number of</w:t>
            </w:r>
          </w:p>
        </w:tc>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Market or</w:t>
            </w:r>
          </w:p>
        </w:tc>
      </w:tr>
      <w:tr>
        <w:trPr>
          <w:trHeight w:val="162"/>
        </w:trPr>
        <w:tc>
          <w:tcPr>
            <w:tcW w:w="2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20"/>
                <w:szCs w:val="20"/>
                <w:color w:val="auto"/>
              </w:rPr>
            </w:pPr>
            <w:r>
              <w:rPr>
                <w:rFonts w:ascii="Arial" w:cs="Arial" w:eastAsia="Arial" w:hAnsi="Arial"/>
                <w:sz w:val="14"/>
                <w:szCs w:val="14"/>
                <w:b w:val="1"/>
                <w:bCs w:val="1"/>
                <w:color w:val="auto"/>
              </w:rPr>
              <w:t>Number of</w:t>
            </w:r>
          </w:p>
        </w:tc>
        <w:tc>
          <w:tcPr>
            <w:tcW w:w="1060" w:type="dxa"/>
            <w:vAlign w:val="bottom"/>
          </w:tcPr>
          <w:p>
            <w:pPr>
              <w:ind w:left="40"/>
              <w:spacing w:after="0"/>
              <w:rPr>
                <w:sz w:val="20"/>
                <w:szCs w:val="20"/>
                <w:color w:val="auto"/>
              </w:rPr>
            </w:pPr>
            <w:r>
              <w:rPr>
                <w:rFonts w:ascii="Arial" w:cs="Arial" w:eastAsia="Arial" w:hAnsi="Arial"/>
                <w:sz w:val="14"/>
                <w:szCs w:val="14"/>
                <w:b w:val="1"/>
                <w:bCs w:val="1"/>
                <w:color w:val="auto"/>
              </w:rPr>
              <w:t>Value of</w:t>
            </w:r>
          </w:p>
        </w:tc>
        <w:tc>
          <w:tcPr>
            <w:tcW w:w="1240" w:type="dxa"/>
            <w:vAlign w:val="bottom"/>
          </w:tcPr>
          <w:p>
            <w:pPr>
              <w:ind w:left="60"/>
              <w:spacing w:after="0"/>
              <w:rPr>
                <w:sz w:val="20"/>
                <w:szCs w:val="20"/>
                <w:color w:val="auto"/>
              </w:rPr>
            </w:pPr>
            <w:r>
              <w:rPr>
                <w:rFonts w:ascii="Arial" w:cs="Arial" w:eastAsia="Arial" w:hAnsi="Arial"/>
                <w:sz w:val="14"/>
                <w:szCs w:val="14"/>
                <w:b w:val="1"/>
                <w:bCs w:val="1"/>
                <w:color w:val="auto"/>
              </w:rPr>
              <w:t>Unearned</w:t>
            </w:r>
          </w:p>
        </w:tc>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Payout Value</w:t>
            </w:r>
          </w:p>
        </w:tc>
      </w:tr>
      <w:tr>
        <w:trPr>
          <w:trHeight w:val="162"/>
        </w:trPr>
        <w:tc>
          <w:tcPr>
            <w:tcW w:w="2060" w:type="dxa"/>
            <w:vAlign w:val="bottom"/>
          </w:tcPr>
          <w:p>
            <w:pPr>
              <w:spacing w:after="0"/>
              <w:rPr>
                <w:sz w:val="14"/>
                <w:szCs w:val="14"/>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b w:val="1"/>
                <w:bCs w:val="1"/>
                <w:color w:val="auto"/>
              </w:rPr>
              <w:t>Number of</w:t>
            </w:r>
          </w:p>
        </w:tc>
        <w:tc>
          <w:tcPr>
            <w:tcW w:w="1260" w:type="dxa"/>
            <w:vAlign w:val="bottom"/>
          </w:tcPr>
          <w:p>
            <w:pPr>
              <w:ind w:left="180"/>
              <w:spacing w:after="0"/>
              <w:rPr>
                <w:sz w:val="20"/>
                <w:szCs w:val="20"/>
                <w:color w:val="auto"/>
              </w:rPr>
            </w:pPr>
            <w:r>
              <w:rPr>
                <w:rFonts w:ascii="Arial" w:cs="Arial" w:eastAsia="Arial" w:hAnsi="Arial"/>
                <w:sz w:val="14"/>
                <w:szCs w:val="14"/>
                <w:b w:val="1"/>
                <w:bCs w:val="1"/>
                <w:color w:val="auto"/>
              </w:rPr>
              <w:t>Number of</w:t>
            </w: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20"/>
                <w:szCs w:val="20"/>
                <w:color w:val="auto"/>
              </w:rPr>
            </w:pPr>
            <w:r>
              <w:rPr>
                <w:rFonts w:ascii="Arial" w:cs="Arial" w:eastAsia="Arial" w:hAnsi="Arial"/>
                <w:sz w:val="14"/>
                <w:szCs w:val="14"/>
                <w:b w:val="1"/>
                <w:bCs w:val="1"/>
                <w:color w:val="auto"/>
              </w:rPr>
              <w:t>Shares or</w:t>
            </w:r>
          </w:p>
        </w:tc>
        <w:tc>
          <w:tcPr>
            <w:tcW w:w="1060" w:type="dxa"/>
            <w:vAlign w:val="bottom"/>
          </w:tcPr>
          <w:p>
            <w:pPr>
              <w:ind w:left="40"/>
              <w:spacing w:after="0"/>
              <w:rPr>
                <w:sz w:val="20"/>
                <w:szCs w:val="20"/>
                <w:color w:val="auto"/>
              </w:rPr>
            </w:pPr>
            <w:r>
              <w:rPr>
                <w:rFonts w:ascii="Arial" w:cs="Arial" w:eastAsia="Arial" w:hAnsi="Arial"/>
                <w:sz w:val="14"/>
                <w:szCs w:val="14"/>
                <w:b w:val="1"/>
                <w:bCs w:val="1"/>
                <w:color w:val="auto"/>
              </w:rPr>
              <w:t>Shares or</w:t>
            </w:r>
          </w:p>
        </w:tc>
        <w:tc>
          <w:tcPr>
            <w:tcW w:w="1240" w:type="dxa"/>
            <w:vAlign w:val="bottom"/>
          </w:tcPr>
          <w:p>
            <w:pPr>
              <w:ind w:left="60"/>
              <w:spacing w:after="0"/>
              <w:rPr>
                <w:sz w:val="20"/>
                <w:szCs w:val="20"/>
                <w:color w:val="auto"/>
              </w:rPr>
            </w:pPr>
            <w:r>
              <w:rPr>
                <w:rFonts w:ascii="Arial" w:cs="Arial" w:eastAsia="Arial" w:hAnsi="Arial"/>
                <w:sz w:val="14"/>
                <w:szCs w:val="14"/>
                <w:b w:val="1"/>
                <w:bCs w:val="1"/>
                <w:color w:val="auto"/>
              </w:rPr>
              <w:t>Shares,</w:t>
            </w:r>
          </w:p>
        </w:tc>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of Unearned</w:t>
            </w:r>
          </w:p>
        </w:tc>
      </w:tr>
      <w:tr>
        <w:trPr>
          <w:trHeight w:val="162"/>
        </w:trPr>
        <w:tc>
          <w:tcPr>
            <w:tcW w:w="2060" w:type="dxa"/>
            <w:vAlign w:val="bottom"/>
          </w:tcPr>
          <w:p>
            <w:pPr>
              <w:spacing w:after="0"/>
              <w:rPr>
                <w:sz w:val="14"/>
                <w:szCs w:val="14"/>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b w:val="1"/>
                <w:bCs w:val="1"/>
                <w:color w:val="auto"/>
              </w:rPr>
              <w:t>Securities</w:t>
            </w:r>
          </w:p>
        </w:tc>
        <w:tc>
          <w:tcPr>
            <w:tcW w:w="1260" w:type="dxa"/>
            <w:vAlign w:val="bottom"/>
          </w:tcPr>
          <w:p>
            <w:pPr>
              <w:ind w:left="180"/>
              <w:spacing w:after="0"/>
              <w:rPr>
                <w:sz w:val="20"/>
                <w:szCs w:val="20"/>
                <w:color w:val="auto"/>
              </w:rPr>
            </w:pPr>
            <w:r>
              <w:rPr>
                <w:rFonts w:ascii="Arial" w:cs="Arial" w:eastAsia="Arial" w:hAnsi="Arial"/>
                <w:sz w:val="14"/>
                <w:szCs w:val="14"/>
                <w:b w:val="1"/>
                <w:bCs w:val="1"/>
                <w:color w:val="auto"/>
              </w:rPr>
              <w:t>Securities</w:t>
            </w: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20"/>
                <w:szCs w:val="20"/>
                <w:color w:val="auto"/>
              </w:rPr>
            </w:pPr>
            <w:r>
              <w:rPr>
                <w:rFonts w:ascii="Arial" w:cs="Arial" w:eastAsia="Arial" w:hAnsi="Arial"/>
                <w:sz w:val="14"/>
                <w:szCs w:val="14"/>
                <w:b w:val="1"/>
                <w:bCs w:val="1"/>
                <w:color w:val="auto"/>
              </w:rPr>
              <w:t>Units</w:t>
            </w:r>
          </w:p>
        </w:tc>
        <w:tc>
          <w:tcPr>
            <w:tcW w:w="1060" w:type="dxa"/>
            <w:vAlign w:val="bottom"/>
          </w:tcPr>
          <w:p>
            <w:pPr>
              <w:ind w:left="40"/>
              <w:spacing w:after="0"/>
              <w:rPr>
                <w:sz w:val="20"/>
                <w:szCs w:val="20"/>
                <w:color w:val="auto"/>
              </w:rPr>
            </w:pPr>
            <w:r>
              <w:rPr>
                <w:rFonts w:ascii="Arial" w:cs="Arial" w:eastAsia="Arial" w:hAnsi="Arial"/>
                <w:sz w:val="14"/>
                <w:szCs w:val="14"/>
                <w:b w:val="1"/>
                <w:bCs w:val="1"/>
                <w:color w:val="auto"/>
              </w:rPr>
              <w:t>Units of</w:t>
            </w:r>
          </w:p>
        </w:tc>
        <w:tc>
          <w:tcPr>
            <w:tcW w:w="1240" w:type="dxa"/>
            <w:vAlign w:val="bottom"/>
          </w:tcPr>
          <w:p>
            <w:pPr>
              <w:ind w:left="60"/>
              <w:spacing w:after="0"/>
              <w:rPr>
                <w:sz w:val="20"/>
                <w:szCs w:val="20"/>
                <w:color w:val="auto"/>
              </w:rPr>
            </w:pPr>
            <w:r>
              <w:rPr>
                <w:rFonts w:ascii="Arial" w:cs="Arial" w:eastAsia="Arial" w:hAnsi="Arial"/>
                <w:sz w:val="14"/>
                <w:szCs w:val="14"/>
                <w:b w:val="1"/>
                <w:bCs w:val="1"/>
                <w:color w:val="auto"/>
              </w:rPr>
              <w:t>Units or</w:t>
            </w:r>
          </w:p>
        </w:tc>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Shares, Units</w:t>
            </w:r>
          </w:p>
        </w:tc>
      </w:tr>
      <w:tr>
        <w:trPr>
          <w:trHeight w:val="162"/>
        </w:trPr>
        <w:tc>
          <w:tcPr>
            <w:tcW w:w="2060" w:type="dxa"/>
            <w:vAlign w:val="bottom"/>
          </w:tcPr>
          <w:p>
            <w:pPr>
              <w:spacing w:after="0"/>
              <w:rPr>
                <w:sz w:val="14"/>
                <w:szCs w:val="14"/>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b w:val="1"/>
                <w:bCs w:val="1"/>
                <w:color w:val="auto"/>
              </w:rPr>
              <w:t>Underlying</w:t>
            </w:r>
          </w:p>
        </w:tc>
        <w:tc>
          <w:tcPr>
            <w:tcW w:w="1260" w:type="dxa"/>
            <w:vAlign w:val="bottom"/>
          </w:tcPr>
          <w:p>
            <w:pPr>
              <w:ind w:left="180"/>
              <w:spacing w:after="0"/>
              <w:rPr>
                <w:sz w:val="20"/>
                <w:szCs w:val="20"/>
                <w:color w:val="auto"/>
              </w:rPr>
            </w:pPr>
            <w:r>
              <w:rPr>
                <w:rFonts w:ascii="Arial" w:cs="Arial" w:eastAsia="Arial" w:hAnsi="Arial"/>
                <w:sz w:val="14"/>
                <w:szCs w:val="14"/>
                <w:b w:val="1"/>
                <w:bCs w:val="1"/>
                <w:color w:val="auto"/>
              </w:rPr>
              <w:t>Underlying</w:t>
            </w: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20"/>
                <w:szCs w:val="20"/>
                <w:color w:val="auto"/>
              </w:rPr>
            </w:pPr>
            <w:r>
              <w:rPr>
                <w:rFonts w:ascii="Arial" w:cs="Arial" w:eastAsia="Arial" w:hAnsi="Arial"/>
                <w:sz w:val="14"/>
                <w:szCs w:val="14"/>
                <w:b w:val="1"/>
                <w:bCs w:val="1"/>
                <w:color w:val="auto"/>
              </w:rPr>
              <w:t>of Stock</w:t>
            </w:r>
          </w:p>
        </w:tc>
        <w:tc>
          <w:tcPr>
            <w:tcW w:w="1060" w:type="dxa"/>
            <w:vAlign w:val="bottom"/>
          </w:tcPr>
          <w:p>
            <w:pPr>
              <w:ind w:left="40"/>
              <w:spacing w:after="0"/>
              <w:rPr>
                <w:sz w:val="20"/>
                <w:szCs w:val="20"/>
                <w:color w:val="auto"/>
              </w:rPr>
            </w:pPr>
            <w:r>
              <w:rPr>
                <w:rFonts w:ascii="Arial" w:cs="Arial" w:eastAsia="Arial" w:hAnsi="Arial"/>
                <w:sz w:val="14"/>
                <w:szCs w:val="14"/>
                <w:b w:val="1"/>
                <w:bCs w:val="1"/>
                <w:color w:val="auto"/>
              </w:rPr>
              <w:t>Stock</w:t>
            </w:r>
          </w:p>
        </w:tc>
        <w:tc>
          <w:tcPr>
            <w:tcW w:w="1240" w:type="dxa"/>
            <w:vAlign w:val="bottom"/>
          </w:tcPr>
          <w:p>
            <w:pPr>
              <w:ind w:left="60"/>
              <w:spacing w:after="0"/>
              <w:rPr>
                <w:sz w:val="20"/>
                <w:szCs w:val="20"/>
                <w:color w:val="auto"/>
              </w:rPr>
            </w:pPr>
            <w:r>
              <w:rPr>
                <w:rFonts w:ascii="Arial" w:cs="Arial" w:eastAsia="Arial" w:hAnsi="Arial"/>
                <w:sz w:val="14"/>
                <w:szCs w:val="14"/>
                <w:b w:val="1"/>
                <w:bCs w:val="1"/>
                <w:color w:val="auto"/>
              </w:rPr>
              <w:t>Other Rights</w:t>
            </w:r>
          </w:p>
        </w:tc>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or Other</w:t>
            </w:r>
          </w:p>
        </w:tc>
      </w:tr>
      <w:tr>
        <w:trPr>
          <w:trHeight w:val="162"/>
        </w:trPr>
        <w:tc>
          <w:tcPr>
            <w:tcW w:w="2060" w:type="dxa"/>
            <w:vAlign w:val="bottom"/>
          </w:tcPr>
          <w:p>
            <w:pPr>
              <w:spacing w:after="0"/>
              <w:rPr>
                <w:sz w:val="14"/>
                <w:szCs w:val="14"/>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b w:val="1"/>
                <w:bCs w:val="1"/>
                <w:color w:val="auto"/>
              </w:rPr>
              <w:t>Unexercised</w:t>
            </w:r>
          </w:p>
        </w:tc>
        <w:tc>
          <w:tcPr>
            <w:tcW w:w="1260" w:type="dxa"/>
            <w:vAlign w:val="bottom"/>
          </w:tcPr>
          <w:p>
            <w:pPr>
              <w:ind w:left="180"/>
              <w:spacing w:after="0"/>
              <w:rPr>
                <w:sz w:val="20"/>
                <w:szCs w:val="20"/>
                <w:color w:val="auto"/>
              </w:rPr>
            </w:pPr>
            <w:r>
              <w:rPr>
                <w:rFonts w:ascii="Arial" w:cs="Arial" w:eastAsia="Arial" w:hAnsi="Arial"/>
                <w:sz w:val="14"/>
                <w:szCs w:val="14"/>
                <w:b w:val="1"/>
                <w:bCs w:val="1"/>
                <w:color w:val="auto"/>
              </w:rPr>
              <w:t>Unexercised</w:t>
            </w:r>
          </w:p>
        </w:tc>
        <w:tc>
          <w:tcPr>
            <w:tcW w:w="880" w:type="dxa"/>
            <w:vAlign w:val="bottom"/>
          </w:tcPr>
          <w:p>
            <w:pPr>
              <w:ind w:left="180"/>
              <w:spacing w:after="0"/>
              <w:rPr>
                <w:sz w:val="20"/>
                <w:szCs w:val="20"/>
                <w:color w:val="auto"/>
              </w:rPr>
            </w:pPr>
            <w:r>
              <w:rPr>
                <w:rFonts w:ascii="Arial" w:cs="Arial" w:eastAsia="Arial" w:hAnsi="Arial"/>
                <w:sz w:val="14"/>
                <w:szCs w:val="14"/>
                <w:b w:val="1"/>
                <w:bCs w:val="1"/>
                <w:color w:val="auto"/>
              </w:rPr>
              <w:t>Option</w:t>
            </w:r>
          </w:p>
        </w:tc>
        <w:tc>
          <w:tcPr>
            <w:tcW w:w="940" w:type="dxa"/>
            <w:vAlign w:val="bottom"/>
            <w:gridSpan w:val="2"/>
          </w:tcPr>
          <w:p>
            <w:pPr>
              <w:ind w:left="100"/>
              <w:spacing w:after="0"/>
              <w:rPr>
                <w:sz w:val="20"/>
                <w:szCs w:val="20"/>
                <w:color w:val="auto"/>
              </w:rPr>
            </w:pPr>
            <w:r>
              <w:rPr>
                <w:rFonts w:ascii="Arial" w:cs="Arial" w:eastAsia="Arial" w:hAnsi="Arial"/>
                <w:sz w:val="14"/>
                <w:szCs w:val="14"/>
                <w:b w:val="1"/>
                <w:bCs w:val="1"/>
                <w:color w:val="auto"/>
              </w:rPr>
              <w:t>Option</w:t>
            </w:r>
          </w:p>
        </w:tc>
        <w:tc>
          <w:tcPr>
            <w:tcW w:w="1020" w:type="dxa"/>
            <w:vAlign w:val="bottom"/>
          </w:tcPr>
          <w:p>
            <w:pPr>
              <w:spacing w:after="0"/>
              <w:rPr>
                <w:sz w:val="20"/>
                <w:szCs w:val="20"/>
                <w:color w:val="auto"/>
              </w:rPr>
            </w:pPr>
            <w:r>
              <w:rPr>
                <w:rFonts w:ascii="Arial" w:cs="Arial" w:eastAsia="Arial" w:hAnsi="Arial"/>
                <w:sz w:val="14"/>
                <w:szCs w:val="14"/>
                <w:b w:val="1"/>
                <w:bCs w:val="1"/>
                <w:color w:val="auto"/>
              </w:rPr>
              <w:t>That Have</w:t>
            </w:r>
          </w:p>
        </w:tc>
        <w:tc>
          <w:tcPr>
            <w:tcW w:w="1060" w:type="dxa"/>
            <w:vAlign w:val="bottom"/>
          </w:tcPr>
          <w:p>
            <w:pPr>
              <w:ind w:left="40"/>
              <w:spacing w:after="0"/>
              <w:rPr>
                <w:sz w:val="20"/>
                <w:szCs w:val="20"/>
                <w:color w:val="auto"/>
              </w:rPr>
            </w:pPr>
            <w:r>
              <w:rPr>
                <w:rFonts w:ascii="Arial" w:cs="Arial" w:eastAsia="Arial" w:hAnsi="Arial"/>
                <w:sz w:val="14"/>
                <w:szCs w:val="14"/>
                <w:b w:val="1"/>
                <w:bCs w:val="1"/>
                <w:color w:val="auto"/>
              </w:rPr>
              <w:t>That</w:t>
            </w:r>
          </w:p>
        </w:tc>
        <w:tc>
          <w:tcPr>
            <w:tcW w:w="1240" w:type="dxa"/>
            <w:vAlign w:val="bottom"/>
          </w:tcPr>
          <w:p>
            <w:pPr>
              <w:ind w:left="60"/>
              <w:spacing w:after="0"/>
              <w:rPr>
                <w:sz w:val="20"/>
                <w:szCs w:val="20"/>
                <w:color w:val="auto"/>
              </w:rPr>
            </w:pPr>
            <w:r>
              <w:rPr>
                <w:rFonts w:ascii="Arial" w:cs="Arial" w:eastAsia="Arial" w:hAnsi="Arial"/>
                <w:sz w:val="14"/>
                <w:szCs w:val="14"/>
                <w:b w:val="1"/>
                <w:bCs w:val="1"/>
                <w:color w:val="auto"/>
              </w:rPr>
              <w:t>That Have</w:t>
            </w:r>
          </w:p>
        </w:tc>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Rights that</w:t>
            </w:r>
          </w:p>
        </w:tc>
      </w:tr>
      <w:tr>
        <w:trPr>
          <w:trHeight w:val="162"/>
        </w:trPr>
        <w:tc>
          <w:tcPr>
            <w:tcW w:w="2060" w:type="dxa"/>
            <w:vAlign w:val="bottom"/>
          </w:tcPr>
          <w:p>
            <w:pPr>
              <w:spacing w:after="0"/>
              <w:rPr>
                <w:sz w:val="14"/>
                <w:szCs w:val="14"/>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b w:val="1"/>
                <w:bCs w:val="1"/>
                <w:color w:val="auto"/>
              </w:rPr>
              <w:t>Options (#)</w:t>
            </w:r>
          </w:p>
        </w:tc>
        <w:tc>
          <w:tcPr>
            <w:tcW w:w="1260" w:type="dxa"/>
            <w:vAlign w:val="bottom"/>
          </w:tcPr>
          <w:p>
            <w:pPr>
              <w:ind w:left="180"/>
              <w:spacing w:after="0"/>
              <w:rPr>
                <w:sz w:val="20"/>
                <w:szCs w:val="20"/>
                <w:color w:val="auto"/>
              </w:rPr>
            </w:pPr>
            <w:r>
              <w:rPr>
                <w:rFonts w:ascii="Arial" w:cs="Arial" w:eastAsia="Arial" w:hAnsi="Arial"/>
                <w:sz w:val="14"/>
                <w:szCs w:val="14"/>
                <w:b w:val="1"/>
                <w:bCs w:val="1"/>
                <w:color w:val="auto"/>
              </w:rPr>
              <w:t>Options (#)</w:t>
            </w: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Exercise</w:t>
            </w:r>
          </w:p>
        </w:tc>
        <w:tc>
          <w:tcPr>
            <w:tcW w:w="940" w:type="dxa"/>
            <w:vAlign w:val="bottom"/>
            <w:gridSpan w:val="2"/>
          </w:tcPr>
          <w:p>
            <w:pPr>
              <w:ind w:left="100"/>
              <w:spacing w:after="0"/>
              <w:rPr>
                <w:sz w:val="20"/>
                <w:szCs w:val="20"/>
                <w:color w:val="auto"/>
              </w:rPr>
            </w:pPr>
            <w:r>
              <w:rPr>
                <w:rFonts w:ascii="Arial" w:cs="Arial" w:eastAsia="Arial" w:hAnsi="Arial"/>
                <w:sz w:val="14"/>
                <w:szCs w:val="14"/>
                <w:b w:val="1"/>
                <w:bCs w:val="1"/>
                <w:color w:val="auto"/>
              </w:rPr>
              <w:t>Expiration</w:t>
            </w:r>
          </w:p>
        </w:tc>
        <w:tc>
          <w:tcPr>
            <w:tcW w:w="1020" w:type="dxa"/>
            <w:vAlign w:val="bottom"/>
          </w:tcPr>
          <w:p>
            <w:pPr>
              <w:spacing w:after="0"/>
              <w:rPr>
                <w:sz w:val="20"/>
                <w:szCs w:val="20"/>
                <w:color w:val="auto"/>
              </w:rPr>
            </w:pPr>
            <w:r>
              <w:rPr>
                <w:rFonts w:ascii="Arial" w:cs="Arial" w:eastAsia="Arial" w:hAnsi="Arial"/>
                <w:sz w:val="14"/>
                <w:szCs w:val="14"/>
                <w:b w:val="1"/>
                <w:bCs w:val="1"/>
                <w:color w:val="auto"/>
              </w:rPr>
              <w:t>Not</w:t>
            </w:r>
          </w:p>
        </w:tc>
        <w:tc>
          <w:tcPr>
            <w:tcW w:w="1060" w:type="dxa"/>
            <w:vAlign w:val="bottom"/>
          </w:tcPr>
          <w:p>
            <w:pPr>
              <w:ind w:left="40"/>
              <w:spacing w:after="0"/>
              <w:rPr>
                <w:sz w:val="20"/>
                <w:szCs w:val="20"/>
                <w:color w:val="auto"/>
              </w:rPr>
            </w:pPr>
            <w:r>
              <w:rPr>
                <w:rFonts w:ascii="Arial" w:cs="Arial" w:eastAsia="Arial" w:hAnsi="Arial"/>
                <w:sz w:val="14"/>
                <w:szCs w:val="14"/>
                <w:b w:val="1"/>
                <w:bCs w:val="1"/>
                <w:color w:val="auto"/>
              </w:rPr>
              <w:t>Have Not</w:t>
            </w:r>
          </w:p>
        </w:tc>
        <w:tc>
          <w:tcPr>
            <w:tcW w:w="1240" w:type="dxa"/>
            <w:vAlign w:val="bottom"/>
          </w:tcPr>
          <w:p>
            <w:pPr>
              <w:ind w:left="60"/>
              <w:spacing w:after="0"/>
              <w:rPr>
                <w:sz w:val="20"/>
                <w:szCs w:val="20"/>
                <w:color w:val="auto"/>
              </w:rPr>
            </w:pPr>
            <w:r>
              <w:rPr>
                <w:rFonts w:ascii="Arial" w:cs="Arial" w:eastAsia="Arial" w:hAnsi="Arial"/>
                <w:sz w:val="14"/>
                <w:szCs w:val="14"/>
                <w:b w:val="1"/>
                <w:bCs w:val="1"/>
                <w:color w:val="auto"/>
              </w:rPr>
              <w:t>not</w:t>
            </w:r>
          </w:p>
        </w:tc>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Have not</w:t>
            </w:r>
          </w:p>
        </w:tc>
      </w:tr>
      <w:tr>
        <w:trPr>
          <w:trHeight w:val="189"/>
        </w:trPr>
        <w:tc>
          <w:tcPr>
            <w:tcW w:w="20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26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Exercisable</w:t>
            </w:r>
          </w:p>
        </w:tc>
        <w:tc>
          <w:tcPr>
            <w:tcW w:w="12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Unvested</w:t>
            </w:r>
          </w:p>
        </w:tc>
        <w:tc>
          <w:tcPr>
            <w:tcW w:w="88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Price ($)</w:t>
            </w:r>
          </w:p>
        </w:tc>
        <w:tc>
          <w:tcPr>
            <w:tcW w:w="9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Date</w:t>
            </w:r>
          </w:p>
        </w:tc>
        <w:tc>
          <w:tcPr>
            <w:tcW w:w="10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Vested (#)</w:t>
            </w:r>
          </w:p>
        </w:tc>
        <w:tc>
          <w:tcPr>
            <w:tcW w:w="10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Vested ($)</w:t>
            </w:r>
          </w:p>
        </w:tc>
        <w:tc>
          <w:tcPr>
            <w:tcW w:w="12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Vested (#)</w:t>
            </w:r>
          </w:p>
        </w:tc>
        <w:tc>
          <w:tcPr>
            <w:tcW w:w="12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Vested ($)</w:t>
            </w:r>
          </w:p>
        </w:tc>
      </w:tr>
      <w:tr>
        <w:trPr>
          <w:trHeight w:val="155"/>
        </w:trPr>
        <w:tc>
          <w:tcPr>
            <w:tcW w:w="2060" w:type="dxa"/>
            <w:vAlign w:val="bottom"/>
            <w:shd w:val="clear" w:color="auto" w:fill="D8D8D8"/>
          </w:tcPr>
          <w:p>
            <w:pPr>
              <w:spacing w:after="0" w:line="155" w:lineRule="exact"/>
              <w:rPr>
                <w:sz w:val="20"/>
                <w:szCs w:val="20"/>
                <w:color w:val="auto"/>
              </w:rPr>
            </w:pPr>
            <w:r>
              <w:rPr>
                <w:rFonts w:ascii="Arial" w:cs="Arial" w:eastAsia="Arial" w:hAnsi="Arial"/>
                <w:sz w:val="14"/>
                <w:szCs w:val="14"/>
                <w:color w:val="auto"/>
              </w:rPr>
              <w:t>Robert A. Livingston</w:t>
            </w:r>
          </w:p>
        </w:tc>
        <w:tc>
          <w:tcPr>
            <w:tcW w:w="240" w:type="dxa"/>
            <w:vAlign w:val="bottom"/>
            <w:tcBorders>
              <w:right w:val="single" w:sz="8" w:color="D8D8D8"/>
            </w:tcBorders>
            <w:shd w:val="clear" w:color="auto" w:fill="D8D8D8"/>
          </w:tcPr>
          <w:p>
            <w:pPr>
              <w:spacing w:after="0"/>
              <w:rPr>
                <w:sz w:val="13"/>
                <w:szCs w:val="13"/>
                <w:color w:val="auto"/>
              </w:rPr>
            </w:pPr>
          </w:p>
        </w:tc>
        <w:tc>
          <w:tcPr>
            <w:tcW w:w="1020" w:type="dxa"/>
            <w:vAlign w:val="bottom"/>
            <w:shd w:val="clear" w:color="auto" w:fill="D8D8D8"/>
          </w:tcPr>
          <w:p>
            <w:pPr>
              <w:spacing w:after="0"/>
              <w:rPr>
                <w:sz w:val="13"/>
                <w:szCs w:val="13"/>
                <w:color w:val="auto"/>
              </w:rPr>
            </w:pPr>
          </w:p>
        </w:tc>
        <w:tc>
          <w:tcPr>
            <w:tcW w:w="1260" w:type="dxa"/>
            <w:vAlign w:val="bottom"/>
            <w:shd w:val="clear" w:color="auto" w:fill="D8D8D8"/>
          </w:tcPr>
          <w:p>
            <w:pPr>
              <w:jc w:val="right"/>
              <w:spacing w:after="0" w:line="155" w:lineRule="exact"/>
              <w:rPr>
                <w:sz w:val="20"/>
                <w:szCs w:val="20"/>
                <w:color w:val="auto"/>
              </w:rPr>
            </w:pPr>
            <w:r>
              <w:rPr>
                <w:rFonts w:ascii="Arial" w:cs="Arial" w:eastAsia="Arial" w:hAnsi="Arial"/>
                <w:sz w:val="14"/>
                <w:szCs w:val="14"/>
                <w:color w:val="auto"/>
              </w:rPr>
              <w:t>204,339(1)</w:t>
            </w:r>
          </w:p>
        </w:tc>
        <w:tc>
          <w:tcPr>
            <w:tcW w:w="880" w:type="dxa"/>
            <w:vAlign w:val="bottom"/>
            <w:shd w:val="clear" w:color="auto" w:fill="D8D8D8"/>
          </w:tcPr>
          <w:p>
            <w:pPr>
              <w:jc w:val="right"/>
              <w:ind w:right="48"/>
              <w:spacing w:after="0" w:line="155" w:lineRule="exact"/>
              <w:rPr>
                <w:sz w:val="20"/>
                <w:szCs w:val="20"/>
                <w:color w:val="auto"/>
              </w:rPr>
            </w:pPr>
            <w:r>
              <w:rPr>
                <w:rFonts w:ascii="Arial" w:cs="Arial" w:eastAsia="Arial" w:hAnsi="Arial"/>
                <w:sz w:val="14"/>
                <w:szCs w:val="14"/>
                <w:color w:val="auto"/>
              </w:rPr>
              <w:t>79.28</w:t>
            </w:r>
          </w:p>
        </w:tc>
        <w:tc>
          <w:tcPr>
            <w:tcW w:w="940" w:type="dxa"/>
            <w:vAlign w:val="bottom"/>
            <w:gridSpan w:val="2"/>
            <w:shd w:val="clear" w:color="auto" w:fill="D8D8D8"/>
          </w:tcPr>
          <w:p>
            <w:pPr>
              <w:jc w:val="right"/>
              <w:ind w:right="120"/>
              <w:spacing w:after="0" w:line="155" w:lineRule="exact"/>
              <w:rPr>
                <w:sz w:val="20"/>
                <w:szCs w:val="20"/>
                <w:color w:val="auto"/>
              </w:rPr>
            </w:pPr>
            <w:r>
              <w:rPr>
                <w:rFonts w:ascii="Arial" w:cs="Arial" w:eastAsia="Arial" w:hAnsi="Arial"/>
                <w:sz w:val="14"/>
                <w:szCs w:val="14"/>
                <w:color w:val="auto"/>
              </w:rPr>
              <w:t>2/10/2027</w:t>
            </w:r>
          </w:p>
        </w:tc>
        <w:tc>
          <w:tcPr>
            <w:tcW w:w="1020" w:type="dxa"/>
            <w:vAlign w:val="bottom"/>
            <w:shd w:val="clear" w:color="auto" w:fill="D8D8D8"/>
          </w:tcPr>
          <w:p>
            <w:pPr>
              <w:spacing w:after="0"/>
              <w:rPr>
                <w:sz w:val="13"/>
                <w:szCs w:val="13"/>
                <w:color w:val="auto"/>
              </w:rPr>
            </w:pPr>
          </w:p>
        </w:tc>
        <w:tc>
          <w:tcPr>
            <w:tcW w:w="1060" w:type="dxa"/>
            <w:vAlign w:val="bottom"/>
            <w:shd w:val="clear" w:color="auto" w:fill="D8D8D8"/>
          </w:tcPr>
          <w:p>
            <w:pPr>
              <w:spacing w:after="0"/>
              <w:rPr>
                <w:sz w:val="13"/>
                <w:szCs w:val="13"/>
                <w:color w:val="auto"/>
              </w:rPr>
            </w:pPr>
          </w:p>
        </w:tc>
        <w:tc>
          <w:tcPr>
            <w:tcW w:w="1240" w:type="dxa"/>
            <w:vAlign w:val="bottom"/>
            <w:shd w:val="clear" w:color="auto" w:fill="D8D8D8"/>
          </w:tcPr>
          <w:p>
            <w:pPr>
              <w:spacing w:after="0"/>
              <w:rPr>
                <w:sz w:val="13"/>
                <w:szCs w:val="13"/>
                <w:color w:val="auto"/>
              </w:rPr>
            </w:pPr>
          </w:p>
        </w:tc>
        <w:tc>
          <w:tcPr>
            <w:tcW w:w="960" w:type="dxa"/>
            <w:vAlign w:val="bottom"/>
            <w:shd w:val="clear" w:color="auto" w:fill="D8D8D8"/>
          </w:tcPr>
          <w:p>
            <w:pPr>
              <w:spacing w:after="0"/>
              <w:rPr>
                <w:sz w:val="13"/>
                <w:szCs w:val="13"/>
                <w:color w:val="auto"/>
              </w:rPr>
            </w:pPr>
          </w:p>
        </w:tc>
        <w:tc>
          <w:tcPr>
            <w:tcW w:w="320" w:type="dxa"/>
            <w:vAlign w:val="bottom"/>
            <w:shd w:val="clear" w:color="auto" w:fill="D8D8D8"/>
          </w:tcPr>
          <w:p>
            <w:pPr>
              <w:spacing w:after="0"/>
              <w:rPr>
                <w:sz w:val="13"/>
                <w:szCs w:val="13"/>
                <w:color w:val="auto"/>
              </w:rPr>
            </w:pPr>
          </w:p>
        </w:tc>
      </w:tr>
      <w:tr>
        <w:trPr>
          <w:trHeight w:val="175"/>
        </w:trPr>
        <w:tc>
          <w:tcPr>
            <w:tcW w:w="2060" w:type="dxa"/>
            <w:vAlign w:val="bottom"/>
            <w:shd w:val="clear" w:color="auto" w:fill="D8D8D8"/>
          </w:tcPr>
          <w:p>
            <w:pPr>
              <w:spacing w:after="0"/>
              <w:rPr>
                <w:sz w:val="15"/>
                <w:szCs w:val="15"/>
                <w:color w:val="auto"/>
              </w:rPr>
            </w:pPr>
          </w:p>
        </w:tc>
        <w:tc>
          <w:tcPr>
            <w:tcW w:w="240" w:type="dxa"/>
            <w:vAlign w:val="bottom"/>
            <w:tcBorders>
              <w:right w:val="single" w:sz="8" w:color="D8D8D8"/>
            </w:tcBorders>
            <w:shd w:val="clear" w:color="auto" w:fill="D8D8D8"/>
          </w:tcPr>
          <w:p>
            <w:pPr>
              <w:spacing w:after="0"/>
              <w:rPr>
                <w:sz w:val="15"/>
                <w:szCs w:val="15"/>
                <w:color w:val="auto"/>
              </w:rPr>
            </w:pPr>
          </w:p>
        </w:tc>
        <w:tc>
          <w:tcPr>
            <w:tcW w:w="1020" w:type="dxa"/>
            <w:vAlign w:val="bottom"/>
            <w:shd w:val="clear" w:color="auto" w:fill="D8D8D8"/>
          </w:tcPr>
          <w:p>
            <w:pPr>
              <w:spacing w:after="0"/>
              <w:rPr>
                <w:sz w:val="15"/>
                <w:szCs w:val="15"/>
                <w:color w:val="auto"/>
              </w:rPr>
            </w:pPr>
          </w:p>
        </w:tc>
        <w:tc>
          <w:tcPr>
            <w:tcW w:w="1260" w:type="dxa"/>
            <w:vAlign w:val="bottom"/>
            <w:shd w:val="clear" w:color="auto" w:fill="D8D8D8"/>
          </w:tcPr>
          <w:p>
            <w:pPr>
              <w:jc w:val="right"/>
              <w:spacing w:after="0"/>
              <w:rPr>
                <w:sz w:val="20"/>
                <w:szCs w:val="20"/>
                <w:color w:val="auto"/>
              </w:rPr>
            </w:pPr>
            <w:r>
              <w:rPr>
                <w:rFonts w:ascii="Arial" w:cs="Arial" w:eastAsia="Arial" w:hAnsi="Arial"/>
                <w:sz w:val="14"/>
                <w:szCs w:val="14"/>
                <w:color w:val="auto"/>
              </w:rPr>
              <w:t>272,489(2)</w:t>
            </w:r>
          </w:p>
        </w:tc>
        <w:tc>
          <w:tcPr>
            <w:tcW w:w="880" w:type="dxa"/>
            <w:vAlign w:val="bottom"/>
            <w:shd w:val="clear" w:color="auto" w:fill="D8D8D8"/>
          </w:tcPr>
          <w:p>
            <w:pPr>
              <w:jc w:val="right"/>
              <w:ind w:right="48"/>
              <w:spacing w:after="0"/>
              <w:rPr>
                <w:sz w:val="20"/>
                <w:szCs w:val="20"/>
                <w:color w:val="auto"/>
              </w:rPr>
            </w:pPr>
            <w:r>
              <w:rPr>
                <w:rFonts w:ascii="Arial" w:cs="Arial" w:eastAsia="Arial" w:hAnsi="Arial"/>
                <w:sz w:val="14"/>
                <w:szCs w:val="14"/>
                <w:color w:val="auto"/>
              </w:rPr>
              <w:t>57.25</w:t>
            </w:r>
          </w:p>
        </w:tc>
        <w:tc>
          <w:tcPr>
            <w:tcW w:w="940" w:type="dxa"/>
            <w:vAlign w:val="bottom"/>
            <w:gridSpan w:val="2"/>
            <w:shd w:val="clear" w:color="auto" w:fill="D8D8D8"/>
          </w:tcPr>
          <w:p>
            <w:pPr>
              <w:jc w:val="right"/>
              <w:ind w:right="120"/>
              <w:spacing w:after="0"/>
              <w:rPr>
                <w:sz w:val="20"/>
                <w:szCs w:val="20"/>
                <w:color w:val="auto"/>
              </w:rPr>
            </w:pPr>
            <w:r>
              <w:rPr>
                <w:rFonts w:ascii="Arial" w:cs="Arial" w:eastAsia="Arial" w:hAnsi="Arial"/>
                <w:sz w:val="14"/>
                <w:szCs w:val="14"/>
                <w:color w:val="auto"/>
              </w:rPr>
              <w:t>2/11/2026</w:t>
            </w:r>
          </w:p>
        </w:tc>
        <w:tc>
          <w:tcPr>
            <w:tcW w:w="1020" w:type="dxa"/>
            <w:vAlign w:val="bottom"/>
            <w:shd w:val="clear" w:color="auto" w:fill="D8D8D8"/>
          </w:tcPr>
          <w:p>
            <w:pPr>
              <w:spacing w:after="0"/>
              <w:rPr>
                <w:sz w:val="15"/>
                <w:szCs w:val="15"/>
                <w:color w:val="auto"/>
              </w:rPr>
            </w:pPr>
          </w:p>
        </w:tc>
        <w:tc>
          <w:tcPr>
            <w:tcW w:w="1060" w:type="dxa"/>
            <w:vAlign w:val="bottom"/>
            <w:shd w:val="clear" w:color="auto" w:fill="D8D8D8"/>
          </w:tcPr>
          <w:p>
            <w:pPr>
              <w:spacing w:after="0"/>
              <w:rPr>
                <w:sz w:val="15"/>
                <w:szCs w:val="15"/>
                <w:color w:val="auto"/>
              </w:rPr>
            </w:pPr>
          </w:p>
        </w:tc>
        <w:tc>
          <w:tcPr>
            <w:tcW w:w="1240" w:type="dxa"/>
            <w:vAlign w:val="bottom"/>
            <w:shd w:val="clear" w:color="auto" w:fill="D8D8D8"/>
          </w:tcPr>
          <w:p>
            <w:pPr>
              <w:spacing w:after="0"/>
              <w:rPr>
                <w:sz w:val="15"/>
                <w:szCs w:val="15"/>
                <w:color w:val="auto"/>
              </w:rPr>
            </w:pPr>
          </w:p>
        </w:tc>
        <w:tc>
          <w:tcPr>
            <w:tcW w:w="960" w:type="dxa"/>
            <w:vAlign w:val="bottom"/>
            <w:shd w:val="clear" w:color="auto" w:fill="D8D8D8"/>
          </w:tcPr>
          <w:p>
            <w:pPr>
              <w:spacing w:after="0"/>
              <w:rPr>
                <w:sz w:val="15"/>
                <w:szCs w:val="15"/>
                <w:color w:val="auto"/>
              </w:rPr>
            </w:pPr>
          </w:p>
        </w:tc>
        <w:tc>
          <w:tcPr>
            <w:tcW w:w="320" w:type="dxa"/>
            <w:vAlign w:val="bottom"/>
            <w:shd w:val="clear" w:color="auto" w:fill="D8D8D8"/>
          </w:tcPr>
          <w:p>
            <w:pPr>
              <w:spacing w:after="0"/>
              <w:rPr>
                <w:sz w:val="15"/>
                <w:szCs w:val="15"/>
                <w:color w:val="auto"/>
              </w:rPr>
            </w:pPr>
          </w:p>
        </w:tc>
      </w:tr>
      <w:tr>
        <w:trPr>
          <w:trHeight w:val="175"/>
        </w:trPr>
        <w:tc>
          <w:tcPr>
            <w:tcW w:w="2060" w:type="dxa"/>
            <w:vAlign w:val="bottom"/>
            <w:shd w:val="clear" w:color="auto" w:fill="D8D8D8"/>
          </w:tcPr>
          <w:p>
            <w:pPr>
              <w:spacing w:after="0"/>
              <w:rPr>
                <w:sz w:val="15"/>
                <w:szCs w:val="15"/>
                <w:color w:val="auto"/>
              </w:rPr>
            </w:pPr>
          </w:p>
        </w:tc>
        <w:tc>
          <w:tcPr>
            <w:tcW w:w="240" w:type="dxa"/>
            <w:vAlign w:val="bottom"/>
            <w:tcBorders>
              <w:right w:val="single" w:sz="8" w:color="D8D8D8"/>
            </w:tcBorders>
            <w:shd w:val="clear" w:color="auto" w:fill="D8D8D8"/>
          </w:tcPr>
          <w:p>
            <w:pPr>
              <w:spacing w:after="0"/>
              <w:rPr>
                <w:sz w:val="15"/>
                <w:szCs w:val="15"/>
                <w:color w:val="auto"/>
              </w:rPr>
            </w:pPr>
          </w:p>
        </w:tc>
        <w:tc>
          <w:tcPr>
            <w:tcW w:w="1020" w:type="dxa"/>
            <w:vAlign w:val="bottom"/>
            <w:shd w:val="clear" w:color="auto" w:fill="D8D8D8"/>
          </w:tcPr>
          <w:p>
            <w:pPr>
              <w:spacing w:after="0"/>
              <w:rPr>
                <w:sz w:val="15"/>
                <w:szCs w:val="15"/>
                <w:color w:val="auto"/>
              </w:rPr>
            </w:pPr>
          </w:p>
        </w:tc>
        <w:tc>
          <w:tcPr>
            <w:tcW w:w="1260" w:type="dxa"/>
            <w:vAlign w:val="bottom"/>
            <w:shd w:val="clear" w:color="auto" w:fill="D8D8D8"/>
          </w:tcPr>
          <w:p>
            <w:pPr>
              <w:jc w:val="right"/>
              <w:spacing w:after="0"/>
              <w:rPr>
                <w:sz w:val="20"/>
                <w:szCs w:val="20"/>
                <w:color w:val="auto"/>
              </w:rPr>
            </w:pPr>
            <w:r>
              <w:rPr>
                <w:rFonts w:ascii="Arial" w:cs="Arial" w:eastAsia="Arial" w:hAnsi="Arial"/>
                <w:sz w:val="14"/>
                <w:szCs w:val="14"/>
                <w:color w:val="auto"/>
              </w:rPr>
              <w:t>212,882(3)</w:t>
            </w:r>
          </w:p>
        </w:tc>
        <w:tc>
          <w:tcPr>
            <w:tcW w:w="880" w:type="dxa"/>
            <w:vAlign w:val="bottom"/>
            <w:shd w:val="clear" w:color="auto" w:fill="D8D8D8"/>
          </w:tcPr>
          <w:p>
            <w:pPr>
              <w:jc w:val="right"/>
              <w:ind w:right="48"/>
              <w:spacing w:after="0"/>
              <w:rPr>
                <w:sz w:val="20"/>
                <w:szCs w:val="20"/>
                <w:color w:val="auto"/>
              </w:rPr>
            </w:pPr>
            <w:r>
              <w:rPr>
                <w:rFonts w:ascii="Arial" w:cs="Arial" w:eastAsia="Arial" w:hAnsi="Arial"/>
                <w:sz w:val="14"/>
                <w:szCs w:val="14"/>
                <w:color w:val="auto"/>
              </w:rPr>
              <w:t>73.28</w:t>
            </w:r>
          </w:p>
        </w:tc>
        <w:tc>
          <w:tcPr>
            <w:tcW w:w="940" w:type="dxa"/>
            <w:vAlign w:val="bottom"/>
            <w:gridSpan w:val="2"/>
            <w:shd w:val="clear" w:color="auto" w:fill="D8D8D8"/>
          </w:tcPr>
          <w:p>
            <w:pPr>
              <w:jc w:val="right"/>
              <w:ind w:right="120"/>
              <w:spacing w:after="0"/>
              <w:rPr>
                <w:sz w:val="20"/>
                <w:szCs w:val="20"/>
                <w:color w:val="auto"/>
              </w:rPr>
            </w:pPr>
            <w:r>
              <w:rPr>
                <w:rFonts w:ascii="Arial" w:cs="Arial" w:eastAsia="Arial" w:hAnsi="Arial"/>
                <w:sz w:val="14"/>
                <w:szCs w:val="14"/>
                <w:color w:val="auto"/>
              </w:rPr>
              <w:t>2/12/2025</w:t>
            </w:r>
          </w:p>
        </w:tc>
        <w:tc>
          <w:tcPr>
            <w:tcW w:w="1020" w:type="dxa"/>
            <w:vAlign w:val="bottom"/>
            <w:shd w:val="clear" w:color="auto" w:fill="D8D8D8"/>
          </w:tcPr>
          <w:p>
            <w:pPr>
              <w:spacing w:after="0"/>
              <w:rPr>
                <w:sz w:val="15"/>
                <w:szCs w:val="15"/>
                <w:color w:val="auto"/>
              </w:rPr>
            </w:pPr>
          </w:p>
        </w:tc>
        <w:tc>
          <w:tcPr>
            <w:tcW w:w="1060" w:type="dxa"/>
            <w:vAlign w:val="bottom"/>
            <w:shd w:val="clear" w:color="auto" w:fill="D8D8D8"/>
          </w:tcPr>
          <w:p>
            <w:pPr>
              <w:spacing w:after="0"/>
              <w:rPr>
                <w:sz w:val="15"/>
                <w:szCs w:val="15"/>
                <w:color w:val="auto"/>
              </w:rPr>
            </w:pPr>
          </w:p>
        </w:tc>
        <w:tc>
          <w:tcPr>
            <w:tcW w:w="1240" w:type="dxa"/>
            <w:vAlign w:val="bottom"/>
            <w:shd w:val="clear" w:color="auto" w:fill="D8D8D8"/>
          </w:tcPr>
          <w:p>
            <w:pPr>
              <w:spacing w:after="0"/>
              <w:rPr>
                <w:sz w:val="15"/>
                <w:szCs w:val="15"/>
                <w:color w:val="auto"/>
              </w:rPr>
            </w:pPr>
          </w:p>
        </w:tc>
        <w:tc>
          <w:tcPr>
            <w:tcW w:w="960" w:type="dxa"/>
            <w:vAlign w:val="bottom"/>
            <w:shd w:val="clear" w:color="auto" w:fill="D8D8D8"/>
          </w:tcPr>
          <w:p>
            <w:pPr>
              <w:spacing w:after="0"/>
              <w:rPr>
                <w:sz w:val="15"/>
                <w:szCs w:val="15"/>
                <w:color w:val="auto"/>
              </w:rPr>
            </w:pPr>
          </w:p>
        </w:tc>
        <w:tc>
          <w:tcPr>
            <w:tcW w:w="320" w:type="dxa"/>
            <w:vAlign w:val="bottom"/>
            <w:shd w:val="clear" w:color="auto" w:fill="D8D8D8"/>
          </w:tcPr>
          <w:p>
            <w:pPr>
              <w:spacing w:after="0"/>
              <w:rPr>
                <w:sz w:val="15"/>
                <w:szCs w:val="15"/>
                <w:color w:val="auto"/>
              </w:rPr>
            </w:pPr>
          </w:p>
        </w:tc>
      </w:tr>
      <w:tr>
        <w:trPr>
          <w:trHeight w:val="175"/>
        </w:trPr>
        <w:tc>
          <w:tcPr>
            <w:tcW w:w="2060" w:type="dxa"/>
            <w:vAlign w:val="bottom"/>
            <w:shd w:val="clear" w:color="auto" w:fill="D8D8D8"/>
          </w:tcPr>
          <w:p>
            <w:pPr>
              <w:spacing w:after="0"/>
              <w:rPr>
                <w:sz w:val="15"/>
                <w:szCs w:val="15"/>
                <w:color w:val="auto"/>
              </w:rPr>
            </w:pPr>
          </w:p>
        </w:tc>
        <w:tc>
          <w:tcPr>
            <w:tcW w:w="240" w:type="dxa"/>
            <w:vAlign w:val="bottom"/>
            <w:tcBorders>
              <w:right w:val="single" w:sz="8" w:color="D8D8D8"/>
            </w:tcBorders>
            <w:shd w:val="clear" w:color="auto" w:fill="D8D8D8"/>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189,068(4)</w:t>
            </w:r>
          </w:p>
        </w:tc>
        <w:tc>
          <w:tcPr>
            <w:tcW w:w="1260" w:type="dxa"/>
            <w:vAlign w:val="bottom"/>
          </w:tcPr>
          <w:p>
            <w:pPr>
              <w:spacing w:after="0"/>
              <w:rPr>
                <w:sz w:val="15"/>
                <w:szCs w:val="15"/>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82.51</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3/10/2024</w:t>
            </w:r>
          </w:p>
        </w:tc>
        <w:tc>
          <w:tcPr>
            <w:tcW w:w="10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75"/>
        </w:trPr>
        <w:tc>
          <w:tcPr>
            <w:tcW w:w="2060" w:type="dxa"/>
            <w:vAlign w:val="bottom"/>
            <w:shd w:val="clear" w:color="auto" w:fill="D8D8D8"/>
          </w:tcPr>
          <w:p>
            <w:pPr>
              <w:spacing w:after="0"/>
              <w:rPr>
                <w:sz w:val="15"/>
                <w:szCs w:val="15"/>
                <w:color w:val="auto"/>
              </w:rPr>
            </w:pPr>
          </w:p>
        </w:tc>
        <w:tc>
          <w:tcPr>
            <w:tcW w:w="240" w:type="dxa"/>
            <w:vAlign w:val="bottom"/>
            <w:tcBorders>
              <w:right w:val="single" w:sz="8" w:color="D8D8D8"/>
            </w:tcBorders>
            <w:shd w:val="clear" w:color="auto" w:fill="D8D8D8"/>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293,708(5)</w:t>
            </w:r>
          </w:p>
        </w:tc>
        <w:tc>
          <w:tcPr>
            <w:tcW w:w="1260" w:type="dxa"/>
            <w:vAlign w:val="bottom"/>
            <w:shd w:val="clear" w:color="auto" w:fill="D8D8D8"/>
          </w:tcPr>
          <w:p>
            <w:pPr>
              <w:spacing w:after="0"/>
              <w:rPr>
                <w:sz w:val="15"/>
                <w:szCs w:val="15"/>
                <w:color w:val="auto"/>
              </w:rPr>
            </w:pPr>
          </w:p>
        </w:tc>
        <w:tc>
          <w:tcPr>
            <w:tcW w:w="880" w:type="dxa"/>
            <w:vAlign w:val="bottom"/>
            <w:shd w:val="clear" w:color="auto" w:fill="D8D8D8"/>
          </w:tcPr>
          <w:p>
            <w:pPr>
              <w:jc w:val="right"/>
              <w:ind w:right="48"/>
              <w:spacing w:after="0"/>
              <w:rPr>
                <w:sz w:val="20"/>
                <w:szCs w:val="20"/>
                <w:color w:val="auto"/>
              </w:rPr>
            </w:pPr>
            <w:r>
              <w:rPr>
                <w:rFonts w:ascii="Arial" w:cs="Arial" w:eastAsia="Arial" w:hAnsi="Arial"/>
                <w:sz w:val="14"/>
                <w:szCs w:val="14"/>
                <w:color w:val="auto"/>
              </w:rPr>
              <w:t>63.33</w:t>
            </w:r>
          </w:p>
        </w:tc>
        <w:tc>
          <w:tcPr>
            <w:tcW w:w="940" w:type="dxa"/>
            <w:vAlign w:val="bottom"/>
            <w:gridSpan w:val="2"/>
            <w:shd w:val="clear" w:color="auto" w:fill="D8D8D8"/>
          </w:tcPr>
          <w:p>
            <w:pPr>
              <w:jc w:val="right"/>
              <w:ind w:right="120"/>
              <w:spacing w:after="0"/>
              <w:rPr>
                <w:sz w:val="20"/>
                <w:szCs w:val="20"/>
                <w:color w:val="auto"/>
              </w:rPr>
            </w:pPr>
            <w:r>
              <w:rPr>
                <w:rFonts w:ascii="Arial" w:cs="Arial" w:eastAsia="Arial" w:hAnsi="Arial"/>
                <w:sz w:val="14"/>
                <w:szCs w:val="14"/>
                <w:color w:val="auto"/>
              </w:rPr>
              <w:t>2/14/2023</w:t>
            </w:r>
          </w:p>
        </w:tc>
        <w:tc>
          <w:tcPr>
            <w:tcW w:w="1020" w:type="dxa"/>
            <w:vAlign w:val="bottom"/>
            <w:shd w:val="clear" w:color="auto" w:fill="D8D8D8"/>
          </w:tcPr>
          <w:p>
            <w:pPr>
              <w:spacing w:after="0"/>
              <w:rPr>
                <w:sz w:val="15"/>
                <w:szCs w:val="15"/>
                <w:color w:val="auto"/>
              </w:rPr>
            </w:pPr>
          </w:p>
        </w:tc>
        <w:tc>
          <w:tcPr>
            <w:tcW w:w="1060" w:type="dxa"/>
            <w:vAlign w:val="bottom"/>
            <w:shd w:val="clear" w:color="auto" w:fill="D8D8D8"/>
          </w:tcPr>
          <w:p>
            <w:pPr>
              <w:spacing w:after="0"/>
              <w:rPr>
                <w:sz w:val="15"/>
                <w:szCs w:val="15"/>
                <w:color w:val="auto"/>
              </w:rPr>
            </w:pPr>
          </w:p>
        </w:tc>
        <w:tc>
          <w:tcPr>
            <w:tcW w:w="1240" w:type="dxa"/>
            <w:vAlign w:val="bottom"/>
            <w:shd w:val="clear" w:color="auto" w:fill="D8D8D8"/>
          </w:tcPr>
          <w:p>
            <w:pPr>
              <w:spacing w:after="0"/>
              <w:rPr>
                <w:sz w:val="15"/>
                <w:szCs w:val="15"/>
                <w:color w:val="auto"/>
              </w:rPr>
            </w:pPr>
          </w:p>
        </w:tc>
        <w:tc>
          <w:tcPr>
            <w:tcW w:w="960" w:type="dxa"/>
            <w:vAlign w:val="bottom"/>
            <w:shd w:val="clear" w:color="auto" w:fill="D8D8D8"/>
          </w:tcPr>
          <w:p>
            <w:pPr>
              <w:spacing w:after="0"/>
              <w:rPr>
                <w:sz w:val="15"/>
                <w:szCs w:val="15"/>
                <w:color w:val="auto"/>
              </w:rPr>
            </w:pPr>
          </w:p>
        </w:tc>
        <w:tc>
          <w:tcPr>
            <w:tcW w:w="320" w:type="dxa"/>
            <w:vAlign w:val="bottom"/>
            <w:shd w:val="clear" w:color="auto" w:fill="D8D8D8"/>
          </w:tcPr>
          <w:p>
            <w:pPr>
              <w:spacing w:after="0"/>
              <w:rPr>
                <w:sz w:val="15"/>
                <w:szCs w:val="15"/>
                <w:color w:val="auto"/>
              </w:rPr>
            </w:pPr>
          </w:p>
        </w:tc>
      </w:tr>
      <w:tr>
        <w:trPr>
          <w:trHeight w:val="175"/>
        </w:trPr>
        <w:tc>
          <w:tcPr>
            <w:tcW w:w="2060" w:type="dxa"/>
            <w:vAlign w:val="bottom"/>
            <w:shd w:val="clear" w:color="auto" w:fill="D8D8D8"/>
          </w:tcPr>
          <w:p>
            <w:pPr>
              <w:spacing w:after="0"/>
              <w:rPr>
                <w:sz w:val="15"/>
                <w:szCs w:val="15"/>
                <w:color w:val="auto"/>
              </w:rPr>
            </w:pPr>
          </w:p>
        </w:tc>
        <w:tc>
          <w:tcPr>
            <w:tcW w:w="240" w:type="dxa"/>
            <w:vAlign w:val="bottom"/>
            <w:tcBorders>
              <w:right w:val="single" w:sz="8" w:color="D8D8D8"/>
            </w:tcBorders>
            <w:shd w:val="clear" w:color="auto" w:fill="D8D8D8"/>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249,924(6)</w:t>
            </w:r>
          </w:p>
        </w:tc>
        <w:tc>
          <w:tcPr>
            <w:tcW w:w="1260" w:type="dxa"/>
            <w:vAlign w:val="bottom"/>
            <w:shd w:val="clear" w:color="auto" w:fill="D8D8D8"/>
          </w:tcPr>
          <w:p>
            <w:pPr>
              <w:spacing w:after="0"/>
              <w:rPr>
                <w:sz w:val="15"/>
                <w:szCs w:val="15"/>
                <w:color w:val="auto"/>
              </w:rPr>
            </w:pPr>
          </w:p>
        </w:tc>
        <w:tc>
          <w:tcPr>
            <w:tcW w:w="880" w:type="dxa"/>
            <w:vAlign w:val="bottom"/>
            <w:shd w:val="clear" w:color="auto" w:fill="D8D8D8"/>
          </w:tcPr>
          <w:p>
            <w:pPr>
              <w:jc w:val="right"/>
              <w:ind w:right="48"/>
              <w:spacing w:after="0"/>
              <w:rPr>
                <w:sz w:val="20"/>
                <w:szCs w:val="20"/>
                <w:color w:val="auto"/>
              </w:rPr>
            </w:pPr>
            <w:r>
              <w:rPr>
                <w:rFonts w:ascii="Arial" w:cs="Arial" w:eastAsia="Arial" w:hAnsi="Arial"/>
                <w:sz w:val="14"/>
                <w:szCs w:val="14"/>
                <w:color w:val="auto"/>
              </w:rPr>
              <w:t>57.62</w:t>
            </w:r>
          </w:p>
        </w:tc>
        <w:tc>
          <w:tcPr>
            <w:tcW w:w="940" w:type="dxa"/>
            <w:vAlign w:val="bottom"/>
            <w:gridSpan w:val="2"/>
            <w:shd w:val="clear" w:color="auto" w:fill="D8D8D8"/>
          </w:tcPr>
          <w:p>
            <w:pPr>
              <w:jc w:val="right"/>
              <w:ind w:right="120"/>
              <w:spacing w:after="0"/>
              <w:rPr>
                <w:sz w:val="20"/>
                <w:szCs w:val="20"/>
                <w:color w:val="auto"/>
              </w:rPr>
            </w:pPr>
            <w:r>
              <w:rPr>
                <w:rFonts w:ascii="Arial" w:cs="Arial" w:eastAsia="Arial" w:hAnsi="Arial"/>
                <w:sz w:val="14"/>
                <w:szCs w:val="14"/>
                <w:color w:val="auto"/>
              </w:rPr>
              <w:t>2/9/2022</w:t>
            </w:r>
          </w:p>
        </w:tc>
        <w:tc>
          <w:tcPr>
            <w:tcW w:w="1020" w:type="dxa"/>
            <w:vAlign w:val="bottom"/>
            <w:shd w:val="clear" w:color="auto" w:fill="D8D8D8"/>
          </w:tcPr>
          <w:p>
            <w:pPr>
              <w:spacing w:after="0"/>
              <w:rPr>
                <w:sz w:val="15"/>
                <w:szCs w:val="15"/>
                <w:color w:val="auto"/>
              </w:rPr>
            </w:pPr>
          </w:p>
        </w:tc>
        <w:tc>
          <w:tcPr>
            <w:tcW w:w="1060" w:type="dxa"/>
            <w:vAlign w:val="bottom"/>
            <w:shd w:val="clear" w:color="auto" w:fill="D8D8D8"/>
          </w:tcPr>
          <w:p>
            <w:pPr>
              <w:spacing w:after="0"/>
              <w:rPr>
                <w:sz w:val="15"/>
                <w:szCs w:val="15"/>
                <w:color w:val="auto"/>
              </w:rPr>
            </w:pPr>
          </w:p>
        </w:tc>
        <w:tc>
          <w:tcPr>
            <w:tcW w:w="1240" w:type="dxa"/>
            <w:vAlign w:val="bottom"/>
            <w:shd w:val="clear" w:color="auto" w:fill="D8D8D8"/>
          </w:tcPr>
          <w:p>
            <w:pPr>
              <w:spacing w:after="0"/>
              <w:rPr>
                <w:sz w:val="15"/>
                <w:szCs w:val="15"/>
                <w:color w:val="auto"/>
              </w:rPr>
            </w:pPr>
          </w:p>
        </w:tc>
        <w:tc>
          <w:tcPr>
            <w:tcW w:w="960" w:type="dxa"/>
            <w:vAlign w:val="bottom"/>
            <w:shd w:val="clear" w:color="auto" w:fill="D8D8D8"/>
          </w:tcPr>
          <w:p>
            <w:pPr>
              <w:spacing w:after="0"/>
              <w:rPr>
                <w:sz w:val="15"/>
                <w:szCs w:val="15"/>
                <w:color w:val="auto"/>
              </w:rPr>
            </w:pPr>
          </w:p>
        </w:tc>
        <w:tc>
          <w:tcPr>
            <w:tcW w:w="320" w:type="dxa"/>
            <w:vAlign w:val="bottom"/>
            <w:shd w:val="clear" w:color="auto" w:fill="D8D8D8"/>
          </w:tcPr>
          <w:p>
            <w:pPr>
              <w:spacing w:after="0"/>
              <w:rPr>
                <w:sz w:val="15"/>
                <w:szCs w:val="15"/>
                <w:color w:val="auto"/>
              </w:rPr>
            </w:pPr>
          </w:p>
        </w:tc>
      </w:tr>
      <w:tr>
        <w:trPr>
          <w:trHeight w:val="175"/>
        </w:trPr>
        <w:tc>
          <w:tcPr>
            <w:tcW w:w="2060" w:type="dxa"/>
            <w:vAlign w:val="bottom"/>
            <w:shd w:val="clear" w:color="auto" w:fill="D8D8D8"/>
          </w:tcPr>
          <w:p>
            <w:pPr>
              <w:spacing w:after="0"/>
              <w:rPr>
                <w:sz w:val="15"/>
                <w:szCs w:val="15"/>
                <w:color w:val="auto"/>
              </w:rPr>
            </w:pPr>
          </w:p>
        </w:tc>
        <w:tc>
          <w:tcPr>
            <w:tcW w:w="240" w:type="dxa"/>
            <w:vAlign w:val="bottom"/>
            <w:tcBorders>
              <w:right w:val="single" w:sz="8" w:color="D8D8D8"/>
            </w:tcBorders>
            <w:shd w:val="clear" w:color="auto" w:fill="D8D8D8"/>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204,485(7)</w:t>
            </w:r>
          </w:p>
        </w:tc>
        <w:tc>
          <w:tcPr>
            <w:tcW w:w="1260" w:type="dxa"/>
            <w:vAlign w:val="bottom"/>
            <w:shd w:val="clear" w:color="auto" w:fill="D8D8D8"/>
          </w:tcPr>
          <w:p>
            <w:pPr>
              <w:spacing w:after="0"/>
              <w:rPr>
                <w:sz w:val="15"/>
                <w:szCs w:val="15"/>
                <w:color w:val="auto"/>
              </w:rPr>
            </w:pPr>
          </w:p>
        </w:tc>
        <w:tc>
          <w:tcPr>
            <w:tcW w:w="880" w:type="dxa"/>
            <w:vAlign w:val="bottom"/>
            <w:shd w:val="clear" w:color="auto" w:fill="D8D8D8"/>
          </w:tcPr>
          <w:p>
            <w:pPr>
              <w:jc w:val="right"/>
              <w:ind w:right="48"/>
              <w:spacing w:after="0"/>
              <w:rPr>
                <w:sz w:val="20"/>
                <w:szCs w:val="20"/>
                <w:color w:val="auto"/>
              </w:rPr>
            </w:pPr>
            <w:r>
              <w:rPr>
                <w:rFonts w:ascii="Arial" w:cs="Arial" w:eastAsia="Arial" w:hAnsi="Arial"/>
                <w:sz w:val="14"/>
                <w:szCs w:val="14"/>
                <w:color w:val="auto"/>
              </w:rPr>
              <w:t>58.69</w:t>
            </w:r>
          </w:p>
        </w:tc>
        <w:tc>
          <w:tcPr>
            <w:tcW w:w="940" w:type="dxa"/>
            <w:vAlign w:val="bottom"/>
            <w:gridSpan w:val="2"/>
            <w:shd w:val="clear" w:color="auto" w:fill="D8D8D8"/>
          </w:tcPr>
          <w:p>
            <w:pPr>
              <w:jc w:val="right"/>
              <w:ind w:right="120"/>
              <w:spacing w:after="0"/>
              <w:rPr>
                <w:sz w:val="20"/>
                <w:szCs w:val="20"/>
                <w:color w:val="auto"/>
              </w:rPr>
            </w:pPr>
            <w:r>
              <w:rPr>
                <w:rFonts w:ascii="Arial" w:cs="Arial" w:eastAsia="Arial" w:hAnsi="Arial"/>
                <w:sz w:val="14"/>
                <w:szCs w:val="14"/>
                <w:color w:val="auto"/>
              </w:rPr>
              <w:t>2/10/2021</w:t>
            </w:r>
          </w:p>
        </w:tc>
        <w:tc>
          <w:tcPr>
            <w:tcW w:w="1020" w:type="dxa"/>
            <w:vAlign w:val="bottom"/>
            <w:shd w:val="clear" w:color="auto" w:fill="D8D8D8"/>
          </w:tcPr>
          <w:p>
            <w:pPr>
              <w:spacing w:after="0"/>
              <w:rPr>
                <w:sz w:val="15"/>
                <w:szCs w:val="15"/>
                <w:color w:val="auto"/>
              </w:rPr>
            </w:pPr>
          </w:p>
        </w:tc>
        <w:tc>
          <w:tcPr>
            <w:tcW w:w="1060" w:type="dxa"/>
            <w:vAlign w:val="bottom"/>
            <w:shd w:val="clear" w:color="auto" w:fill="D8D8D8"/>
          </w:tcPr>
          <w:p>
            <w:pPr>
              <w:spacing w:after="0"/>
              <w:rPr>
                <w:sz w:val="15"/>
                <w:szCs w:val="15"/>
                <w:color w:val="auto"/>
              </w:rPr>
            </w:pPr>
          </w:p>
        </w:tc>
        <w:tc>
          <w:tcPr>
            <w:tcW w:w="1240" w:type="dxa"/>
            <w:vAlign w:val="bottom"/>
            <w:shd w:val="clear" w:color="auto" w:fill="D8D8D8"/>
          </w:tcPr>
          <w:p>
            <w:pPr>
              <w:spacing w:after="0"/>
              <w:rPr>
                <w:sz w:val="15"/>
                <w:szCs w:val="15"/>
                <w:color w:val="auto"/>
              </w:rPr>
            </w:pPr>
          </w:p>
        </w:tc>
        <w:tc>
          <w:tcPr>
            <w:tcW w:w="960" w:type="dxa"/>
            <w:vAlign w:val="bottom"/>
            <w:shd w:val="clear" w:color="auto" w:fill="D8D8D8"/>
          </w:tcPr>
          <w:p>
            <w:pPr>
              <w:spacing w:after="0"/>
              <w:rPr>
                <w:sz w:val="15"/>
                <w:szCs w:val="15"/>
                <w:color w:val="auto"/>
              </w:rPr>
            </w:pPr>
          </w:p>
        </w:tc>
        <w:tc>
          <w:tcPr>
            <w:tcW w:w="320" w:type="dxa"/>
            <w:vAlign w:val="bottom"/>
            <w:shd w:val="clear" w:color="auto" w:fill="D8D8D8"/>
          </w:tcPr>
          <w:p>
            <w:pPr>
              <w:spacing w:after="0"/>
              <w:rPr>
                <w:sz w:val="15"/>
                <w:szCs w:val="15"/>
                <w:color w:val="auto"/>
              </w:rPr>
            </w:pPr>
          </w:p>
        </w:tc>
      </w:tr>
      <w:tr>
        <w:trPr>
          <w:trHeight w:val="175"/>
        </w:trPr>
        <w:tc>
          <w:tcPr>
            <w:tcW w:w="2060" w:type="dxa"/>
            <w:vAlign w:val="bottom"/>
            <w:shd w:val="clear" w:color="auto" w:fill="D8D8D8"/>
          </w:tcPr>
          <w:p>
            <w:pPr>
              <w:spacing w:after="0"/>
              <w:rPr>
                <w:sz w:val="15"/>
                <w:szCs w:val="15"/>
                <w:color w:val="auto"/>
              </w:rPr>
            </w:pPr>
          </w:p>
        </w:tc>
        <w:tc>
          <w:tcPr>
            <w:tcW w:w="240" w:type="dxa"/>
            <w:vAlign w:val="bottom"/>
            <w:tcBorders>
              <w:right w:val="single" w:sz="8" w:color="D8D8D8"/>
            </w:tcBorders>
            <w:shd w:val="clear" w:color="auto" w:fill="D8D8D8"/>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317,553(8)</w:t>
            </w:r>
          </w:p>
        </w:tc>
        <w:tc>
          <w:tcPr>
            <w:tcW w:w="1260" w:type="dxa"/>
            <w:vAlign w:val="bottom"/>
            <w:shd w:val="clear" w:color="auto" w:fill="D8D8D8"/>
          </w:tcPr>
          <w:p>
            <w:pPr>
              <w:spacing w:after="0"/>
              <w:rPr>
                <w:sz w:val="15"/>
                <w:szCs w:val="15"/>
                <w:color w:val="auto"/>
              </w:rPr>
            </w:pPr>
          </w:p>
        </w:tc>
        <w:tc>
          <w:tcPr>
            <w:tcW w:w="880" w:type="dxa"/>
            <w:vAlign w:val="bottom"/>
            <w:shd w:val="clear" w:color="auto" w:fill="D8D8D8"/>
          </w:tcPr>
          <w:p>
            <w:pPr>
              <w:jc w:val="right"/>
              <w:ind w:right="48"/>
              <w:spacing w:after="0"/>
              <w:rPr>
                <w:sz w:val="20"/>
                <w:szCs w:val="20"/>
                <w:color w:val="auto"/>
              </w:rPr>
            </w:pPr>
            <w:r>
              <w:rPr>
                <w:rFonts w:ascii="Arial" w:cs="Arial" w:eastAsia="Arial" w:hAnsi="Arial"/>
                <w:sz w:val="14"/>
                <w:szCs w:val="14"/>
                <w:color w:val="auto"/>
              </w:rPr>
              <w:t>37.79</w:t>
            </w:r>
          </w:p>
        </w:tc>
        <w:tc>
          <w:tcPr>
            <w:tcW w:w="940" w:type="dxa"/>
            <w:vAlign w:val="bottom"/>
            <w:gridSpan w:val="2"/>
            <w:shd w:val="clear" w:color="auto" w:fill="D8D8D8"/>
          </w:tcPr>
          <w:p>
            <w:pPr>
              <w:jc w:val="right"/>
              <w:ind w:right="120"/>
              <w:spacing w:after="0"/>
              <w:rPr>
                <w:sz w:val="20"/>
                <w:szCs w:val="20"/>
                <w:color w:val="auto"/>
              </w:rPr>
            </w:pPr>
            <w:r>
              <w:rPr>
                <w:rFonts w:ascii="Arial" w:cs="Arial" w:eastAsia="Arial" w:hAnsi="Arial"/>
                <w:sz w:val="14"/>
                <w:szCs w:val="14"/>
                <w:color w:val="auto"/>
              </w:rPr>
              <w:t>2/11/2020</w:t>
            </w:r>
          </w:p>
        </w:tc>
        <w:tc>
          <w:tcPr>
            <w:tcW w:w="1020" w:type="dxa"/>
            <w:vAlign w:val="bottom"/>
            <w:shd w:val="clear" w:color="auto" w:fill="D8D8D8"/>
          </w:tcPr>
          <w:p>
            <w:pPr>
              <w:spacing w:after="0"/>
              <w:rPr>
                <w:sz w:val="15"/>
                <w:szCs w:val="15"/>
                <w:color w:val="auto"/>
              </w:rPr>
            </w:pPr>
          </w:p>
        </w:tc>
        <w:tc>
          <w:tcPr>
            <w:tcW w:w="1060" w:type="dxa"/>
            <w:vAlign w:val="bottom"/>
            <w:shd w:val="clear" w:color="auto" w:fill="D8D8D8"/>
          </w:tcPr>
          <w:p>
            <w:pPr>
              <w:spacing w:after="0"/>
              <w:rPr>
                <w:sz w:val="15"/>
                <w:szCs w:val="15"/>
                <w:color w:val="auto"/>
              </w:rPr>
            </w:pPr>
          </w:p>
        </w:tc>
        <w:tc>
          <w:tcPr>
            <w:tcW w:w="1240" w:type="dxa"/>
            <w:vAlign w:val="bottom"/>
            <w:shd w:val="clear" w:color="auto" w:fill="D8D8D8"/>
          </w:tcPr>
          <w:p>
            <w:pPr>
              <w:spacing w:after="0"/>
              <w:rPr>
                <w:sz w:val="15"/>
                <w:szCs w:val="15"/>
                <w:color w:val="auto"/>
              </w:rPr>
            </w:pPr>
          </w:p>
        </w:tc>
        <w:tc>
          <w:tcPr>
            <w:tcW w:w="960" w:type="dxa"/>
            <w:vAlign w:val="bottom"/>
            <w:shd w:val="clear" w:color="auto" w:fill="D8D8D8"/>
          </w:tcPr>
          <w:p>
            <w:pPr>
              <w:spacing w:after="0"/>
              <w:rPr>
                <w:sz w:val="15"/>
                <w:szCs w:val="15"/>
                <w:color w:val="auto"/>
              </w:rPr>
            </w:pPr>
          </w:p>
        </w:tc>
        <w:tc>
          <w:tcPr>
            <w:tcW w:w="320" w:type="dxa"/>
            <w:vAlign w:val="bottom"/>
            <w:shd w:val="clear" w:color="auto" w:fill="D8D8D8"/>
          </w:tcPr>
          <w:p>
            <w:pPr>
              <w:spacing w:after="0"/>
              <w:rPr>
                <w:sz w:val="15"/>
                <w:szCs w:val="15"/>
                <w:color w:val="auto"/>
              </w:rPr>
            </w:pPr>
          </w:p>
        </w:tc>
      </w:tr>
      <w:tr>
        <w:trPr>
          <w:trHeight w:val="175"/>
        </w:trPr>
        <w:tc>
          <w:tcPr>
            <w:tcW w:w="2060" w:type="dxa"/>
            <w:vAlign w:val="bottom"/>
            <w:shd w:val="clear" w:color="auto" w:fill="D8D8D8"/>
          </w:tcPr>
          <w:p>
            <w:pPr>
              <w:spacing w:after="0"/>
              <w:rPr>
                <w:sz w:val="15"/>
                <w:szCs w:val="15"/>
                <w:color w:val="auto"/>
              </w:rPr>
            </w:pPr>
          </w:p>
        </w:tc>
        <w:tc>
          <w:tcPr>
            <w:tcW w:w="240" w:type="dxa"/>
            <w:vAlign w:val="bottom"/>
            <w:tcBorders>
              <w:right w:val="single" w:sz="8" w:color="D8D8D8"/>
            </w:tcBorders>
            <w:shd w:val="clear" w:color="auto" w:fill="D8D8D8"/>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176,023(9)</w:t>
            </w:r>
          </w:p>
        </w:tc>
        <w:tc>
          <w:tcPr>
            <w:tcW w:w="1260" w:type="dxa"/>
            <w:vAlign w:val="bottom"/>
            <w:shd w:val="clear" w:color="auto" w:fill="D8D8D8"/>
          </w:tcPr>
          <w:p>
            <w:pPr>
              <w:spacing w:after="0"/>
              <w:rPr>
                <w:sz w:val="15"/>
                <w:szCs w:val="15"/>
                <w:color w:val="auto"/>
              </w:rPr>
            </w:pPr>
          </w:p>
        </w:tc>
        <w:tc>
          <w:tcPr>
            <w:tcW w:w="880" w:type="dxa"/>
            <w:vAlign w:val="bottom"/>
            <w:shd w:val="clear" w:color="auto" w:fill="D8D8D8"/>
          </w:tcPr>
          <w:p>
            <w:pPr>
              <w:jc w:val="right"/>
              <w:ind w:right="48"/>
              <w:spacing w:after="0"/>
              <w:rPr>
                <w:sz w:val="20"/>
                <w:szCs w:val="20"/>
                <w:color w:val="auto"/>
              </w:rPr>
            </w:pPr>
            <w:r>
              <w:rPr>
                <w:rFonts w:ascii="Arial" w:cs="Arial" w:eastAsia="Arial" w:hAnsi="Arial"/>
                <w:sz w:val="14"/>
                <w:szCs w:val="14"/>
                <w:color w:val="auto"/>
              </w:rPr>
              <w:t>25.96</w:t>
            </w:r>
          </w:p>
        </w:tc>
        <w:tc>
          <w:tcPr>
            <w:tcW w:w="940" w:type="dxa"/>
            <w:vAlign w:val="bottom"/>
            <w:gridSpan w:val="2"/>
            <w:shd w:val="clear" w:color="auto" w:fill="D8D8D8"/>
          </w:tcPr>
          <w:p>
            <w:pPr>
              <w:jc w:val="right"/>
              <w:ind w:right="120"/>
              <w:spacing w:after="0"/>
              <w:rPr>
                <w:sz w:val="20"/>
                <w:szCs w:val="20"/>
                <w:color w:val="auto"/>
              </w:rPr>
            </w:pPr>
            <w:r>
              <w:rPr>
                <w:rFonts w:ascii="Arial" w:cs="Arial" w:eastAsia="Arial" w:hAnsi="Arial"/>
                <w:sz w:val="14"/>
                <w:szCs w:val="14"/>
                <w:color w:val="auto"/>
              </w:rPr>
              <w:t>2/12/2019</w:t>
            </w:r>
          </w:p>
        </w:tc>
        <w:tc>
          <w:tcPr>
            <w:tcW w:w="1020" w:type="dxa"/>
            <w:vAlign w:val="bottom"/>
            <w:shd w:val="clear" w:color="auto" w:fill="D8D8D8"/>
          </w:tcPr>
          <w:p>
            <w:pPr>
              <w:spacing w:after="0"/>
              <w:rPr>
                <w:sz w:val="15"/>
                <w:szCs w:val="15"/>
                <w:color w:val="auto"/>
              </w:rPr>
            </w:pPr>
          </w:p>
        </w:tc>
        <w:tc>
          <w:tcPr>
            <w:tcW w:w="1060" w:type="dxa"/>
            <w:vAlign w:val="bottom"/>
            <w:shd w:val="clear" w:color="auto" w:fill="D8D8D8"/>
          </w:tcPr>
          <w:p>
            <w:pPr>
              <w:spacing w:after="0"/>
              <w:rPr>
                <w:sz w:val="15"/>
                <w:szCs w:val="15"/>
                <w:color w:val="auto"/>
              </w:rPr>
            </w:pPr>
          </w:p>
        </w:tc>
        <w:tc>
          <w:tcPr>
            <w:tcW w:w="1240" w:type="dxa"/>
            <w:vAlign w:val="bottom"/>
            <w:shd w:val="clear" w:color="auto" w:fill="D8D8D8"/>
          </w:tcPr>
          <w:p>
            <w:pPr>
              <w:spacing w:after="0"/>
              <w:rPr>
                <w:sz w:val="15"/>
                <w:szCs w:val="15"/>
                <w:color w:val="auto"/>
              </w:rPr>
            </w:pPr>
          </w:p>
        </w:tc>
        <w:tc>
          <w:tcPr>
            <w:tcW w:w="960" w:type="dxa"/>
            <w:vAlign w:val="bottom"/>
            <w:shd w:val="clear" w:color="auto" w:fill="D8D8D8"/>
          </w:tcPr>
          <w:p>
            <w:pPr>
              <w:spacing w:after="0"/>
              <w:rPr>
                <w:sz w:val="15"/>
                <w:szCs w:val="15"/>
                <w:color w:val="auto"/>
              </w:rPr>
            </w:pPr>
          </w:p>
        </w:tc>
        <w:tc>
          <w:tcPr>
            <w:tcW w:w="320" w:type="dxa"/>
            <w:vAlign w:val="bottom"/>
            <w:shd w:val="clear" w:color="auto" w:fill="D8D8D8"/>
          </w:tcPr>
          <w:p>
            <w:pPr>
              <w:spacing w:after="0"/>
              <w:rPr>
                <w:sz w:val="15"/>
                <w:szCs w:val="15"/>
                <w:color w:val="auto"/>
              </w:rPr>
            </w:pPr>
          </w:p>
        </w:tc>
      </w:tr>
      <w:tr>
        <w:trPr>
          <w:trHeight w:val="175"/>
        </w:trPr>
        <w:tc>
          <w:tcPr>
            <w:tcW w:w="2060" w:type="dxa"/>
            <w:vAlign w:val="bottom"/>
            <w:shd w:val="clear" w:color="auto" w:fill="D8D8D8"/>
          </w:tcPr>
          <w:p>
            <w:pPr>
              <w:spacing w:after="0"/>
              <w:rPr>
                <w:sz w:val="15"/>
                <w:szCs w:val="15"/>
                <w:color w:val="auto"/>
              </w:rPr>
            </w:pPr>
          </w:p>
        </w:tc>
        <w:tc>
          <w:tcPr>
            <w:tcW w:w="240" w:type="dxa"/>
            <w:vAlign w:val="bottom"/>
            <w:tcBorders>
              <w:right w:val="single" w:sz="8" w:color="D8D8D8"/>
            </w:tcBorders>
            <w:shd w:val="clear" w:color="auto" w:fill="D8D8D8"/>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shd w:val="clear" w:color="auto" w:fill="D8D8D8"/>
          </w:tcPr>
          <w:p>
            <w:pPr>
              <w:spacing w:after="0"/>
              <w:rPr>
                <w:sz w:val="15"/>
                <w:szCs w:val="15"/>
                <w:color w:val="auto"/>
              </w:rPr>
            </w:pPr>
          </w:p>
        </w:tc>
        <w:tc>
          <w:tcPr>
            <w:tcW w:w="880" w:type="dxa"/>
            <w:vAlign w:val="bottom"/>
            <w:shd w:val="clear" w:color="auto" w:fill="D8D8D8"/>
          </w:tcPr>
          <w:p>
            <w:pPr>
              <w:spacing w:after="0"/>
              <w:rPr>
                <w:sz w:val="15"/>
                <w:szCs w:val="15"/>
                <w:color w:val="auto"/>
              </w:rPr>
            </w:pPr>
          </w:p>
        </w:tc>
        <w:tc>
          <w:tcPr>
            <w:tcW w:w="820" w:type="dxa"/>
            <w:vAlign w:val="bottom"/>
            <w:shd w:val="clear" w:color="auto" w:fill="D8D8D8"/>
          </w:tcPr>
          <w:p>
            <w:pPr>
              <w:spacing w:after="0"/>
              <w:rPr>
                <w:sz w:val="15"/>
                <w:szCs w:val="15"/>
                <w:color w:val="auto"/>
              </w:rPr>
            </w:pPr>
          </w:p>
        </w:tc>
        <w:tc>
          <w:tcPr>
            <w:tcW w:w="120" w:type="dxa"/>
            <w:vAlign w:val="bottom"/>
            <w:shd w:val="clear" w:color="auto" w:fill="D8D8D8"/>
          </w:tcPr>
          <w:p>
            <w:pPr>
              <w:spacing w:after="0"/>
              <w:rPr>
                <w:sz w:val="15"/>
                <w:szCs w:val="15"/>
                <w:color w:val="auto"/>
              </w:rPr>
            </w:pPr>
          </w:p>
        </w:tc>
        <w:tc>
          <w:tcPr>
            <w:tcW w:w="1020" w:type="dxa"/>
            <w:vAlign w:val="bottom"/>
            <w:shd w:val="clear" w:color="auto" w:fill="D8D8D8"/>
          </w:tcPr>
          <w:p>
            <w:pPr>
              <w:jc w:val="right"/>
              <w:spacing w:after="0"/>
              <w:rPr>
                <w:sz w:val="20"/>
                <w:szCs w:val="20"/>
                <w:color w:val="auto"/>
              </w:rPr>
            </w:pPr>
            <w:r>
              <w:rPr>
                <w:rFonts w:ascii="Arial" w:cs="Arial" w:eastAsia="Arial" w:hAnsi="Arial"/>
                <w:sz w:val="14"/>
                <w:szCs w:val="14"/>
                <w:color w:val="auto"/>
              </w:rPr>
              <w:t>17,028(10)</w:t>
            </w:r>
          </w:p>
        </w:tc>
        <w:tc>
          <w:tcPr>
            <w:tcW w:w="1060" w:type="dxa"/>
            <w:vAlign w:val="bottom"/>
            <w:shd w:val="clear" w:color="auto" w:fill="D8D8D8"/>
          </w:tcPr>
          <w:p>
            <w:pPr>
              <w:jc w:val="right"/>
              <w:ind w:right="8"/>
              <w:spacing w:after="0"/>
              <w:rPr>
                <w:sz w:val="20"/>
                <w:szCs w:val="20"/>
                <w:color w:val="auto"/>
              </w:rPr>
            </w:pPr>
            <w:r>
              <w:rPr>
                <w:rFonts w:ascii="Arial" w:cs="Arial" w:eastAsia="Arial" w:hAnsi="Arial"/>
                <w:sz w:val="14"/>
                <w:szCs w:val="14"/>
                <w:color w:val="auto"/>
              </w:rPr>
              <w:t>1,719,658(13)</w:t>
            </w:r>
          </w:p>
        </w:tc>
        <w:tc>
          <w:tcPr>
            <w:tcW w:w="1240" w:type="dxa"/>
            <w:vAlign w:val="bottom"/>
            <w:shd w:val="clear" w:color="auto" w:fill="D8D8D8"/>
          </w:tcPr>
          <w:p>
            <w:pPr>
              <w:ind w:left="500"/>
              <w:spacing w:after="0"/>
              <w:rPr>
                <w:sz w:val="20"/>
                <w:szCs w:val="20"/>
                <w:color w:val="auto"/>
              </w:rPr>
            </w:pPr>
            <w:r>
              <w:rPr>
                <w:rFonts w:ascii="Arial" w:cs="Arial" w:eastAsia="Arial" w:hAnsi="Arial"/>
                <w:sz w:val="14"/>
                <w:szCs w:val="14"/>
                <w:color w:val="auto"/>
              </w:rPr>
              <w:t>68,112(14)</w:t>
            </w:r>
          </w:p>
        </w:tc>
        <w:tc>
          <w:tcPr>
            <w:tcW w:w="1280" w:type="dxa"/>
            <w:vAlign w:val="bottom"/>
            <w:gridSpan w:val="2"/>
            <w:shd w:val="clear" w:color="auto" w:fill="D8D8D8"/>
          </w:tcPr>
          <w:p>
            <w:pPr>
              <w:ind w:left="320"/>
              <w:spacing w:after="0"/>
              <w:rPr>
                <w:sz w:val="20"/>
                <w:szCs w:val="20"/>
                <w:color w:val="auto"/>
              </w:rPr>
            </w:pPr>
            <w:r>
              <w:rPr>
                <w:rFonts w:ascii="Arial" w:cs="Arial" w:eastAsia="Arial" w:hAnsi="Arial"/>
                <w:sz w:val="14"/>
                <w:szCs w:val="14"/>
                <w:color w:val="auto"/>
              </w:rPr>
              <w:t>6,878,631(16)</w:t>
            </w:r>
          </w:p>
        </w:tc>
      </w:tr>
      <w:tr>
        <w:trPr>
          <w:trHeight w:val="175"/>
        </w:trPr>
        <w:tc>
          <w:tcPr>
            <w:tcW w:w="2060" w:type="dxa"/>
            <w:vAlign w:val="bottom"/>
            <w:shd w:val="clear" w:color="auto" w:fill="D8D8D8"/>
          </w:tcPr>
          <w:p>
            <w:pPr>
              <w:spacing w:after="0"/>
              <w:rPr>
                <w:sz w:val="15"/>
                <w:szCs w:val="15"/>
                <w:color w:val="auto"/>
              </w:rPr>
            </w:pPr>
          </w:p>
        </w:tc>
        <w:tc>
          <w:tcPr>
            <w:tcW w:w="240" w:type="dxa"/>
            <w:vAlign w:val="bottom"/>
            <w:tcBorders>
              <w:right w:val="single" w:sz="8" w:color="D8D8D8"/>
            </w:tcBorders>
            <w:shd w:val="clear" w:color="auto" w:fill="D8D8D8"/>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shd w:val="clear" w:color="auto" w:fill="D8D8D8"/>
          </w:tcPr>
          <w:p>
            <w:pPr>
              <w:spacing w:after="0"/>
              <w:rPr>
                <w:sz w:val="15"/>
                <w:szCs w:val="15"/>
                <w:color w:val="auto"/>
              </w:rPr>
            </w:pPr>
          </w:p>
        </w:tc>
        <w:tc>
          <w:tcPr>
            <w:tcW w:w="880" w:type="dxa"/>
            <w:vAlign w:val="bottom"/>
            <w:shd w:val="clear" w:color="auto" w:fill="D8D8D8"/>
          </w:tcPr>
          <w:p>
            <w:pPr>
              <w:spacing w:after="0"/>
              <w:rPr>
                <w:sz w:val="15"/>
                <w:szCs w:val="15"/>
                <w:color w:val="auto"/>
              </w:rPr>
            </w:pPr>
          </w:p>
        </w:tc>
        <w:tc>
          <w:tcPr>
            <w:tcW w:w="820" w:type="dxa"/>
            <w:vAlign w:val="bottom"/>
            <w:shd w:val="clear" w:color="auto" w:fill="D8D8D8"/>
          </w:tcPr>
          <w:p>
            <w:pPr>
              <w:spacing w:after="0"/>
              <w:rPr>
                <w:sz w:val="15"/>
                <w:szCs w:val="15"/>
                <w:color w:val="auto"/>
              </w:rPr>
            </w:pPr>
          </w:p>
        </w:tc>
        <w:tc>
          <w:tcPr>
            <w:tcW w:w="120" w:type="dxa"/>
            <w:vAlign w:val="bottom"/>
            <w:shd w:val="clear" w:color="auto" w:fill="D8D8D8"/>
          </w:tcPr>
          <w:p>
            <w:pPr>
              <w:spacing w:after="0"/>
              <w:rPr>
                <w:sz w:val="15"/>
                <w:szCs w:val="15"/>
                <w:color w:val="auto"/>
              </w:rPr>
            </w:pPr>
          </w:p>
        </w:tc>
        <w:tc>
          <w:tcPr>
            <w:tcW w:w="1020" w:type="dxa"/>
            <w:vAlign w:val="bottom"/>
            <w:shd w:val="clear" w:color="auto" w:fill="D8D8D8"/>
          </w:tcPr>
          <w:p>
            <w:pPr>
              <w:jc w:val="right"/>
              <w:spacing w:after="0"/>
              <w:rPr>
                <w:sz w:val="20"/>
                <w:szCs w:val="20"/>
                <w:color w:val="auto"/>
              </w:rPr>
            </w:pPr>
            <w:r>
              <w:rPr>
                <w:rFonts w:ascii="Arial" w:cs="Arial" w:eastAsia="Arial" w:hAnsi="Arial"/>
                <w:sz w:val="14"/>
                <w:szCs w:val="14"/>
                <w:color w:val="auto"/>
              </w:rPr>
              <w:t>15,138(11)</w:t>
            </w:r>
          </w:p>
        </w:tc>
        <w:tc>
          <w:tcPr>
            <w:tcW w:w="1060" w:type="dxa"/>
            <w:vAlign w:val="bottom"/>
            <w:shd w:val="clear" w:color="auto" w:fill="D8D8D8"/>
          </w:tcPr>
          <w:p>
            <w:pPr>
              <w:jc w:val="right"/>
              <w:ind w:right="8"/>
              <w:spacing w:after="0"/>
              <w:rPr>
                <w:sz w:val="20"/>
                <w:szCs w:val="20"/>
                <w:color w:val="auto"/>
              </w:rPr>
            </w:pPr>
            <w:r>
              <w:rPr>
                <w:rFonts w:ascii="Arial" w:cs="Arial" w:eastAsia="Arial" w:hAnsi="Arial"/>
                <w:sz w:val="14"/>
                <w:szCs w:val="14"/>
                <w:color w:val="auto"/>
              </w:rPr>
              <w:t>1,528,787(13)</w:t>
            </w:r>
          </w:p>
        </w:tc>
        <w:tc>
          <w:tcPr>
            <w:tcW w:w="1240" w:type="dxa"/>
            <w:vAlign w:val="bottom"/>
            <w:shd w:val="clear" w:color="auto" w:fill="D8D8D8"/>
          </w:tcPr>
          <w:p>
            <w:pPr>
              <w:ind w:left="500"/>
              <w:spacing w:after="0"/>
              <w:rPr>
                <w:sz w:val="20"/>
                <w:szCs w:val="20"/>
                <w:color w:val="auto"/>
              </w:rPr>
            </w:pPr>
            <w:r>
              <w:rPr>
                <w:rFonts w:ascii="Arial" w:cs="Arial" w:eastAsia="Arial" w:hAnsi="Arial"/>
                <w:sz w:val="14"/>
                <w:szCs w:val="14"/>
                <w:color w:val="auto"/>
              </w:rPr>
              <w:t>90,828(15)</w:t>
            </w:r>
          </w:p>
        </w:tc>
        <w:tc>
          <w:tcPr>
            <w:tcW w:w="1280" w:type="dxa"/>
            <w:vAlign w:val="bottom"/>
            <w:gridSpan w:val="2"/>
            <w:shd w:val="clear" w:color="auto" w:fill="D8D8D8"/>
          </w:tcPr>
          <w:p>
            <w:pPr>
              <w:ind w:left="320"/>
              <w:spacing w:after="0"/>
              <w:rPr>
                <w:sz w:val="20"/>
                <w:szCs w:val="20"/>
                <w:color w:val="auto"/>
              </w:rPr>
            </w:pPr>
            <w:r>
              <w:rPr>
                <w:rFonts w:ascii="Arial" w:cs="Arial" w:eastAsia="Arial" w:hAnsi="Arial"/>
                <w:sz w:val="14"/>
                <w:szCs w:val="14"/>
                <w:color w:val="auto"/>
              </w:rPr>
              <w:t>9,172,720(16)</w:t>
            </w:r>
          </w:p>
        </w:tc>
      </w:tr>
      <w:tr>
        <w:trPr>
          <w:trHeight w:val="175"/>
        </w:trPr>
        <w:tc>
          <w:tcPr>
            <w:tcW w:w="2060" w:type="dxa"/>
            <w:vAlign w:val="bottom"/>
            <w:shd w:val="clear" w:color="auto" w:fill="D8D8D8"/>
          </w:tcPr>
          <w:p>
            <w:pPr>
              <w:spacing w:after="0"/>
              <w:rPr>
                <w:sz w:val="15"/>
                <w:szCs w:val="15"/>
                <w:color w:val="auto"/>
              </w:rPr>
            </w:pPr>
          </w:p>
        </w:tc>
        <w:tc>
          <w:tcPr>
            <w:tcW w:w="240" w:type="dxa"/>
            <w:vAlign w:val="bottom"/>
            <w:tcBorders>
              <w:right w:val="single" w:sz="8" w:color="D8D8D8"/>
            </w:tcBorders>
            <w:shd w:val="clear" w:color="auto" w:fill="D8D8D8"/>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shd w:val="clear" w:color="auto" w:fill="D8D8D8"/>
          </w:tcPr>
          <w:p>
            <w:pPr>
              <w:spacing w:after="0"/>
              <w:rPr>
                <w:sz w:val="15"/>
                <w:szCs w:val="15"/>
                <w:color w:val="auto"/>
              </w:rPr>
            </w:pPr>
          </w:p>
        </w:tc>
        <w:tc>
          <w:tcPr>
            <w:tcW w:w="880" w:type="dxa"/>
            <w:vAlign w:val="bottom"/>
            <w:shd w:val="clear" w:color="auto" w:fill="D8D8D8"/>
          </w:tcPr>
          <w:p>
            <w:pPr>
              <w:spacing w:after="0"/>
              <w:rPr>
                <w:sz w:val="15"/>
                <w:szCs w:val="15"/>
                <w:color w:val="auto"/>
              </w:rPr>
            </w:pPr>
          </w:p>
        </w:tc>
        <w:tc>
          <w:tcPr>
            <w:tcW w:w="820" w:type="dxa"/>
            <w:vAlign w:val="bottom"/>
            <w:shd w:val="clear" w:color="auto" w:fill="D8D8D8"/>
          </w:tcPr>
          <w:p>
            <w:pPr>
              <w:spacing w:after="0"/>
              <w:rPr>
                <w:sz w:val="15"/>
                <w:szCs w:val="15"/>
                <w:color w:val="auto"/>
              </w:rPr>
            </w:pPr>
          </w:p>
        </w:tc>
        <w:tc>
          <w:tcPr>
            <w:tcW w:w="120" w:type="dxa"/>
            <w:vAlign w:val="bottom"/>
            <w:shd w:val="clear" w:color="auto" w:fill="D8D8D8"/>
          </w:tcPr>
          <w:p>
            <w:pPr>
              <w:spacing w:after="0"/>
              <w:rPr>
                <w:sz w:val="15"/>
                <w:szCs w:val="15"/>
                <w:color w:val="auto"/>
              </w:rPr>
            </w:pPr>
          </w:p>
        </w:tc>
        <w:tc>
          <w:tcPr>
            <w:tcW w:w="1020" w:type="dxa"/>
            <w:vAlign w:val="bottom"/>
            <w:shd w:val="clear" w:color="auto" w:fill="D8D8D8"/>
          </w:tcPr>
          <w:p>
            <w:pPr>
              <w:jc w:val="right"/>
              <w:spacing w:after="0"/>
              <w:rPr>
                <w:sz w:val="20"/>
                <w:szCs w:val="20"/>
                <w:color w:val="auto"/>
              </w:rPr>
            </w:pPr>
            <w:r>
              <w:rPr>
                <w:rFonts w:ascii="Arial" w:cs="Arial" w:eastAsia="Arial" w:hAnsi="Arial"/>
                <w:sz w:val="14"/>
                <w:szCs w:val="14"/>
                <w:color w:val="auto"/>
              </w:rPr>
              <w:t>5,914(12)</w:t>
            </w:r>
          </w:p>
        </w:tc>
        <w:tc>
          <w:tcPr>
            <w:tcW w:w="1060" w:type="dxa"/>
            <w:vAlign w:val="bottom"/>
            <w:shd w:val="clear" w:color="auto" w:fill="D8D8D8"/>
          </w:tcPr>
          <w:p>
            <w:pPr>
              <w:jc w:val="right"/>
              <w:ind w:right="8"/>
              <w:spacing w:after="0"/>
              <w:rPr>
                <w:sz w:val="20"/>
                <w:szCs w:val="20"/>
                <w:color w:val="auto"/>
              </w:rPr>
            </w:pPr>
            <w:r>
              <w:rPr>
                <w:rFonts w:ascii="Arial" w:cs="Arial" w:eastAsia="Arial" w:hAnsi="Arial"/>
                <w:sz w:val="14"/>
                <w:szCs w:val="14"/>
                <w:color w:val="auto"/>
              </w:rPr>
              <w:t>597,255(13)</w:t>
            </w:r>
          </w:p>
        </w:tc>
        <w:tc>
          <w:tcPr>
            <w:tcW w:w="1240" w:type="dxa"/>
            <w:vAlign w:val="bottom"/>
            <w:shd w:val="clear" w:color="auto" w:fill="D8D8D8"/>
          </w:tcPr>
          <w:p>
            <w:pPr>
              <w:spacing w:after="0"/>
              <w:rPr>
                <w:sz w:val="15"/>
                <w:szCs w:val="15"/>
                <w:color w:val="auto"/>
              </w:rPr>
            </w:pPr>
          </w:p>
        </w:tc>
        <w:tc>
          <w:tcPr>
            <w:tcW w:w="960" w:type="dxa"/>
            <w:vAlign w:val="bottom"/>
            <w:shd w:val="clear" w:color="auto" w:fill="D8D8D8"/>
          </w:tcPr>
          <w:p>
            <w:pPr>
              <w:spacing w:after="0"/>
              <w:rPr>
                <w:sz w:val="15"/>
                <w:szCs w:val="15"/>
                <w:color w:val="auto"/>
              </w:rPr>
            </w:pPr>
          </w:p>
        </w:tc>
        <w:tc>
          <w:tcPr>
            <w:tcW w:w="320" w:type="dxa"/>
            <w:vAlign w:val="bottom"/>
            <w:shd w:val="clear" w:color="auto" w:fill="D8D8D8"/>
          </w:tcPr>
          <w:p>
            <w:pPr>
              <w:spacing w:after="0"/>
              <w:rPr>
                <w:sz w:val="15"/>
                <w:szCs w:val="15"/>
                <w:color w:val="auto"/>
              </w:rPr>
            </w:pPr>
          </w:p>
        </w:tc>
      </w:tr>
      <w:tr>
        <w:trPr>
          <w:trHeight w:val="162"/>
        </w:trPr>
        <w:tc>
          <w:tcPr>
            <w:tcW w:w="2060" w:type="dxa"/>
            <w:vAlign w:val="bottom"/>
          </w:tcPr>
          <w:p>
            <w:pPr>
              <w:spacing w:after="0"/>
              <w:rPr>
                <w:sz w:val="20"/>
                <w:szCs w:val="20"/>
                <w:color w:val="auto"/>
              </w:rPr>
            </w:pPr>
            <w:r>
              <w:rPr>
                <w:rFonts w:ascii="Arial" w:cs="Arial" w:eastAsia="Arial" w:hAnsi="Arial"/>
                <w:sz w:val="14"/>
                <w:szCs w:val="14"/>
                <w:color w:val="auto"/>
              </w:rPr>
              <w:t>Brad M. Cerepak</w:t>
            </w:r>
          </w:p>
        </w:tc>
        <w:tc>
          <w:tcPr>
            <w:tcW w:w="240" w:type="dxa"/>
            <w:vAlign w:val="bottom"/>
            <w:tcBorders>
              <w:bottom w:val="single" w:sz="8" w:color="999999"/>
            </w:tcBorders>
          </w:tcPr>
          <w:p>
            <w:pPr>
              <w:spacing w:after="0"/>
              <w:rPr>
                <w:sz w:val="14"/>
                <w:szCs w:val="14"/>
                <w:color w:val="auto"/>
              </w:rPr>
            </w:pPr>
          </w:p>
        </w:tc>
        <w:tc>
          <w:tcPr>
            <w:tcW w:w="1020" w:type="dxa"/>
            <w:vAlign w:val="bottom"/>
            <w:tcBorders>
              <w:bottom w:val="single" w:sz="8" w:color="999999"/>
            </w:tcBorders>
          </w:tcPr>
          <w:p>
            <w:pPr>
              <w:spacing w:after="0"/>
              <w:rPr>
                <w:sz w:val="14"/>
                <w:szCs w:val="14"/>
                <w:color w:val="auto"/>
              </w:rPr>
            </w:pPr>
          </w:p>
        </w:tc>
        <w:tc>
          <w:tcPr>
            <w:tcW w:w="1260" w:type="dxa"/>
            <w:vAlign w:val="bottom"/>
            <w:tcBorders>
              <w:bottom w:val="single" w:sz="8" w:color="999999"/>
            </w:tcBorders>
          </w:tcPr>
          <w:p>
            <w:pPr>
              <w:jc w:val="right"/>
              <w:spacing w:after="0"/>
              <w:rPr>
                <w:sz w:val="20"/>
                <w:szCs w:val="20"/>
                <w:color w:val="auto"/>
              </w:rPr>
            </w:pPr>
            <w:r>
              <w:rPr>
                <w:rFonts w:ascii="Arial" w:cs="Arial" w:eastAsia="Arial" w:hAnsi="Arial"/>
                <w:sz w:val="14"/>
                <w:szCs w:val="14"/>
                <w:color w:val="auto"/>
              </w:rPr>
              <w:t>60,545(1)</w:t>
            </w:r>
          </w:p>
        </w:tc>
        <w:tc>
          <w:tcPr>
            <w:tcW w:w="880" w:type="dxa"/>
            <w:vAlign w:val="bottom"/>
            <w:tcBorders>
              <w:bottom w:val="single" w:sz="8" w:color="999999"/>
            </w:tcBorders>
          </w:tcPr>
          <w:p>
            <w:pPr>
              <w:jc w:val="right"/>
              <w:ind w:right="48"/>
              <w:spacing w:after="0"/>
              <w:rPr>
                <w:sz w:val="20"/>
                <w:szCs w:val="20"/>
                <w:color w:val="auto"/>
              </w:rPr>
            </w:pPr>
            <w:r>
              <w:rPr>
                <w:rFonts w:ascii="Arial" w:cs="Arial" w:eastAsia="Arial" w:hAnsi="Arial"/>
                <w:sz w:val="14"/>
                <w:szCs w:val="14"/>
                <w:color w:val="auto"/>
              </w:rPr>
              <w:t>79.28</w:t>
            </w:r>
          </w:p>
        </w:tc>
        <w:tc>
          <w:tcPr>
            <w:tcW w:w="940" w:type="dxa"/>
            <w:vAlign w:val="bottom"/>
            <w:tcBorders>
              <w:bottom w:val="single" w:sz="8" w:color="999999"/>
            </w:tcBorders>
            <w:gridSpan w:val="2"/>
          </w:tcPr>
          <w:p>
            <w:pPr>
              <w:jc w:val="right"/>
              <w:ind w:right="120"/>
              <w:spacing w:after="0"/>
              <w:rPr>
                <w:sz w:val="20"/>
                <w:szCs w:val="20"/>
                <w:color w:val="auto"/>
              </w:rPr>
            </w:pPr>
            <w:r>
              <w:rPr>
                <w:rFonts w:ascii="Arial" w:cs="Arial" w:eastAsia="Arial" w:hAnsi="Arial"/>
                <w:sz w:val="14"/>
                <w:szCs w:val="14"/>
                <w:color w:val="auto"/>
              </w:rPr>
              <w:t>2/10/2027</w:t>
            </w:r>
          </w:p>
        </w:tc>
        <w:tc>
          <w:tcPr>
            <w:tcW w:w="1020" w:type="dxa"/>
            <w:vAlign w:val="bottom"/>
            <w:tcBorders>
              <w:bottom w:val="single" w:sz="8" w:color="999999"/>
            </w:tcBorders>
          </w:tcPr>
          <w:p>
            <w:pPr>
              <w:spacing w:after="0"/>
              <w:rPr>
                <w:sz w:val="14"/>
                <w:szCs w:val="14"/>
                <w:color w:val="auto"/>
              </w:rPr>
            </w:pPr>
          </w:p>
        </w:tc>
        <w:tc>
          <w:tcPr>
            <w:tcW w:w="1060" w:type="dxa"/>
            <w:vAlign w:val="bottom"/>
            <w:tcBorders>
              <w:bottom w:val="single" w:sz="8" w:color="999999"/>
            </w:tcBorders>
          </w:tcPr>
          <w:p>
            <w:pPr>
              <w:spacing w:after="0"/>
              <w:rPr>
                <w:sz w:val="14"/>
                <w:szCs w:val="14"/>
                <w:color w:val="auto"/>
              </w:rPr>
            </w:pPr>
          </w:p>
        </w:tc>
        <w:tc>
          <w:tcPr>
            <w:tcW w:w="1240" w:type="dxa"/>
            <w:vAlign w:val="bottom"/>
            <w:tcBorders>
              <w:bottom w:val="single" w:sz="8" w:color="999999"/>
            </w:tcBorders>
          </w:tcPr>
          <w:p>
            <w:pPr>
              <w:spacing w:after="0"/>
              <w:rPr>
                <w:sz w:val="14"/>
                <w:szCs w:val="14"/>
                <w:color w:val="auto"/>
              </w:rPr>
            </w:pPr>
          </w:p>
        </w:tc>
        <w:tc>
          <w:tcPr>
            <w:tcW w:w="960" w:type="dxa"/>
            <w:vAlign w:val="bottom"/>
            <w:tcBorders>
              <w:bottom w:val="single" w:sz="8" w:color="999999"/>
            </w:tcBorders>
          </w:tcPr>
          <w:p>
            <w:pPr>
              <w:spacing w:after="0"/>
              <w:rPr>
                <w:sz w:val="14"/>
                <w:szCs w:val="14"/>
                <w:color w:val="auto"/>
              </w:rPr>
            </w:pPr>
          </w:p>
        </w:tc>
        <w:tc>
          <w:tcPr>
            <w:tcW w:w="320" w:type="dxa"/>
            <w:vAlign w:val="bottom"/>
            <w:tcBorders>
              <w:bottom w:val="single" w:sz="8" w:color="999999"/>
            </w:tcBorders>
          </w:tcPr>
          <w:p>
            <w:pPr>
              <w:spacing w:after="0"/>
              <w:rPr>
                <w:sz w:val="14"/>
                <w:szCs w:val="14"/>
                <w:color w:val="auto"/>
              </w:rPr>
            </w:pPr>
          </w:p>
        </w:tc>
      </w:tr>
      <w:tr>
        <w:trPr>
          <w:trHeight w:val="155"/>
        </w:trPr>
        <w:tc>
          <w:tcPr>
            <w:tcW w:w="2060" w:type="dxa"/>
            <w:vAlign w:val="bottom"/>
          </w:tcPr>
          <w:p>
            <w:pPr>
              <w:spacing w:after="0"/>
              <w:rPr>
                <w:sz w:val="13"/>
                <w:szCs w:val="13"/>
                <w:color w:val="auto"/>
              </w:rPr>
            </w:pPr>
          </w:p>
        </w:tc>
        <w:tc>
          <w:tcPr>
            <w:tcW w:w="240" w:type="dxa"/>
            <w:vAlign w:val="bottom"/>
            <w:tcBorders>
              <w:bottom w:val="single" w:sz="8" w:color="999999"/>
            </w:tcBorders>
          </w:tcPr>
          <w:p>
            <w:pPr>
              <w:spacing w:after="0"/>
              <w:rPr>
                <w:sz w:val="13"/>
                <w:szCs w:val="13"/>
                <w:color w:val="auto"/>
              </w:rPr>
            </w:pPr>
          </w:p>
        </w:tc>
        <w:tc>
          <w:tcPr>
            <w:tcW w:w="1020" w:type="dxa"/>
            <w:vAlign w:val="bottom"/>
            <w:tcBorders>
              <w:bottom w:val="single" w:sz="8" w:color="999999"/>
            </w:tcBorders>
          </w:tcPr>
          <w:p>
            <w:pPr>
              <w:spacing w:after="0"/>
              <w:rPr>
                <w:sz w:val="13"/>
                <w:szCs w:val="13"/>
                <w:color w:val="auto"/>
              </w:rPr>
            </w:pPr>
          </w:p>
        </w:tc>
        <w:tc>
          <w:tcPr>
            <w:tcW w:w="1260" w:type="dxa"/>
            <w:vAlign w:val="bottom"/>
            <w:tcBorders>
              <w:bottom w:val="single" w:sz="8" w:color="999999"/>
            </w:tcBorders>
          </w:tcPr>
          <w:p>
            <w:pPr>
              <w:jc w:val="right"/>
              <w:spacing w:after="0" w:line="155" w:lineRule="exact"/>
              <w:rPr>
                <w:sz w:val="20"/>
                <w:szCs w:val="20"/>
                <w:color w:val="auto"/>
              </w:rPr>
            </w:pPr>
            <w:r>
              <w:rPr>
                <w:rFonts w:ascii="Arial" w:cs="Arial" w:eastAsia="Arial" w:hAnsi="Arial"/>
                <w:sz w:val="14"/>
                <w:szCs w:val="14"/>
                <w:color w:val="auto"/>
              </w:rPr>
              <w:t>77,555(2)</w:t>
            </w:r>
          </w:p>
        </w:tc>
        <w:tc>
          <w:tcPr>
            <w:tcW w:w="880" w:type="dxa"/>
            <w:vAlign w:val="bottom"/>
            <w:tcBorders>
              <w:bottom w:val="single" w:sz="8" w:color="999999"/>
            </w:tcBorders>
          </w:tcPr>
          <w:p>
            <w:pPr>
              <w:jc w:val="right"/>
              <w:ind w:right="48"/>
              <w:spacing w:after="0" w:line="155" w:lineRule="exact"/>
              <w:rPr>
                <w:sz w:val="20"/>
                <w:szCs w:val="20"/>
                <w:color w:val="auto"/>
              </w:rPr>
            </w:pPr>
            <w:r>
              <w:rPr>
                <w:rFonts w:ascii="Arial" w:cs="Arial" w:eastAsia="Arial" w:hAnsi="Arial"/>
                <w:sz w:val="14"/>
                <w:szCs w:val="14"/>
                <w:color w:val="auto"/>
              </w:rPr>
              <w:t>57.25</w:t>
            </w:r>
          </w:p>
        </w:tc>
        <w:tc>
          <w:tcPr>
            <w:tcW w:w="940" w:type="dxa"/>
            <w:vAlign w:val="bottom"/>
            <w:tcBorders>
              <w:bottom w:val="single" w:sz="8" w:color="999999"/>
            </w:tcBorders>
            <w:gridSpan w:val="2"/>
          </w:tcPr>
          <w:p>
            <w:pPr>
              <w:jc w:val="right"/>
              <w:ind w:right="120"/>
              <w:spacing w:after="0" w:line="155" w:lineRule="exact"/>
              <w:rPr>
                <w:sz w:val="20"/>
                <w:szCs w:val="20"/>
                <w:color w:val="auto"/>
              </w:rPr>
            </w:pPr>
            <w:r>
              <w:rPr>
                <w:rFonts w:ascii="Arial" w:cs="Arial" w:eastAsia="Arial" w:hAnsi="Arial"/>
                <w:sz w:val="14"/>
                <w:szCs w:val="14"/>
                <w:color w:val="auto"/>
              </w:rPr>
              <w:t>2/11/2026</w:t>
            </w:r>
          </w:p>
        </w:tc>
        <w:tc>
          <w:tcPr>
            <w:tcW w:w="1020" w:type="dxa"/>
            <w:vAlign w:val="bottom"/>
            <w:tcBorders>
              <w:bottom w:val="single" w:sz="8" w:color="999999"/>
            </w:tcBorders>
          </w:tcPr>
          <w:p>
            <w:pPr>
              <w:spacing w:after="0"/>
              <w:rPr>
                <w:sz w:val="13"/>
                <w:szCs w:val="13"/>
                <w:color w:val="auto"/>
              </w:rPr>
            </w:pPr>
          </w:p>
        </w:tc>
        <w:tc>
          <w:tcPr>
            <w:tcW w:w="1060" w:type="dxa"/>
            <w:vAlign w:val="bottom"/>
            <w:tcBorders>
              <w:bottom w:val="single" w:sz="8" w:color="999999"/>
            </w:tcBorders>
          </w:tcPr>
          <w:p>
            <w:pPr>
              <w:spacing w:after="0"/>
              <w:rPr>
                <w:sz w:val="13"/>
                <w:szCs w:val="13"/>
                <w:color w:val="auto"/>
              </w:rPr>
            </w:pPr>
          </w:p>
        </w:tc>
        <w:tc>
          <w:tcPr>
            <w:tcW w:w="1240" w:type="dxa"/>
            <w:vAlign w:val="bottom"/>
            <w:tcBorders>
              <w:bottom w:val="single" w:sz="8" w:color="999999"/>
            </w:tcBorders>
          </w:tcPr>
          <w:p>
            <w:pPr>
              <w:spacing w:after="0"/>
              <w:rPr>
                <w:sz w:val="13"/>
                <w:szCs w:val="13"/>
                <w:color w:val="auto"/>
              </w:rPr>
            </w:pPr>
          </w:p>
        </w:tc>
        <w:tc>
          <w:tcPr>
            <w:tcW w:w="960" w:type="dxa"/>
            <w:vAlign w:val="bottom"/>
            <w:tcBorders>
              <w:bottom w:val="single" w:sz="8" w:color="999999"/>
            </w:tcBorders>
          </w:tcPr>
          <w:p>
            <w:pPr>
              <w:spacing w:after="0"/>
              <w:rPr>
                <w:sz w:val="13"/>
                <w:szCs w:val="13"/>
                <w:color w:val="auto"/>
              </w:rPr>
            </w:pPr>
          </w:p>
        </w:tc>
        <w:tc>
          <w:tcPr>
            <w:tcW w:w="320" w:type="dxa"/>
            <w:vAlign w:val="bottom"/>
            <w:tcBorders>
              <w:bottom w:val="single" w:sz="8" w:color="999999"/>
            </w:tcBorders>
          </w:tcPr>
          <w:p>
            <w:pPr>
              <w:spacing w:after="0"/>
              <w:rPr>
                <w:sz w:val="13"/>
                <w:szCs w:val="13"/>
                <w:color w:val="auto"/>
              </w:rPr>
            </w:pPr>
          </w:p>
        </w:tc>
      </w:tr>
      <w:tr>
        <w:trPr>
          <w:trHeight w:val="155"/>
        </w:trPr>
        <w:tc>
          <w:tcPr>
            <w:tcW w:w="2060" w:type="dxa"/>
            <w:vAlign w:val="bottom"/>
          </w:tcPr>
          <w:p>
            <w:pPr>
              <w:spacing w:after="0"/>
              <w:rPr>
                <w:sz w:val="13"/>
                <w:szCs w:val="13"/>
                <w:color w:val="auto"/>
              </w:rPr>
            </w:pPr>
          </w:p>
        </w:tc>
        <w:tc>
          <w:tcPr>
            <w:tcW w:w="240" w:type="dxa"/>
            <w:vAlign w:val="bottom"/>
            <w:tcBorders>
              <w:bottom w:val="single" w:sz="8" w:color="999999"/>
            </w:tcBorders>
          </w:tcPr>
          <w:p>
            <w:pPr>
              <w:spacing w:after="0"/>
              <w:rPr>
                <w:sz w:val="13"/>
                <w:szCs w:val="13"/>
                <w:color w:val="auto"/>
              </w:rPr>
            </w:pPr>
          </w:p>
        </w:tc>
        <w:tc>
          <w:tcPr>
            <w:tcW w:w="1020" w:type="dxa"/>
            <w:vAlign w:val="bottom"/>
            <w:tcBorders>
              <w:bottom w:val="single" w:sz="8" w:color="999999"/>
            </w:tcBorders>
          </w:tcPr>
          <w:p>
            <w:pPr>
              <w:spacing w:after="0"/>
              <w:rPr>
                <w:sz w:val="13"/>
                <w:szCs w:val="13"/>
                <w:color w:val="auto"/>
              </w:rPr>
            </w:pPr>
          </w:p>
        </w:tc>
        <w:tc>
          <w:tcPr>
            <w:tcW w:w="1260" w:type="dxa"/>
            <w:vAlign w:val="bottom"/>
            <w:tcBorders>
              <w:bottom w:val="single" w:sz="8" w:color="999999"/>
            </w:tcBorders>
          </w:tcPr>
          <w:p>
            <w:pPr>
              <w:jc w:val="right"/>
              <w:spacing w:after="0" w:line="155" w:lineRule="exact"/>
              <w:rPr>
                <w:sz w:val="20"/>
                <w:szCs w:val="20"/>
                <w:color w:val="auto"/>
              </w:rPr>
            </w:pPr>
            <w:r>
              <w:rPr>
                <w:rFonts w:ascii="Arial" w:cs="Arial" w:eastAsia="Arial" w:hAnsi="Arial"/>
                <w:sz w:val="14"/>
                <w:szCs w:val="14"/>
                <w:color w:val="auto"/>
              </w:rPr>
              <w:t>60,590(3)</w:t>
            </w:r>
          </w:p>
        </w:tc>
        <w:tc>
          <w:tcPr>
            <w:tcW w:w="880" w:type="dxa"/>
            <w:vAlign w:val="bottom"/>
            <w:tcBorders>
              <w:bottom w:val="single" w:sz="8" w:color="999999"/>
            </w:tcBorders>
          </w:tcPr>
          <w:p>
            <w:pPr>
              <w:jc w:val="right"/>
              <w:ind w:right="48"/>
              <w:spacing w:after="0" w:line="155" w:lineRule="exact"/>
              <w:rPr>
                <w:sz w:val="20"/>
                <w:szCs w:val="20"/>
                <w:color w:val="auto"/>
              </w:rPr>
            </w:pPr>
            <w:r>
              <w:rPr>
                <w:rFonts w:ascii="Arial" w:cs="Arial" w:eastAsia="Arial" w:hAnsi="Arial"/>
                <w:sz w:val="14"/>
                <w:szCs w:val="14"/>
                <w:color w:val="auto"/>
              </w:rPr>
              <w:t>73.28</w:t>
            </w:r>
          </w:p>
        </w:tc>
        <w:tc>
          <w:tcPr>
            <w:tcW w:w="940" w:type="dxa"/>
            <w:vAlign w:val="bottom"/>
            <w:tcBorders>
              <w:bottom w:val="single" w:sz="8" w:color="999999"/>
            </w:tcBorders>
            <w:gridSpan w:val="2"/>
          </w:tcPr>
          <w:p>
            <w:pPr>
              <w:jc w:val="right"/>
              <w:ind w:right="120"/>
              <w:spacing w:after="0" w:line="155" w:lineRule="exact"/>
              <w:rPr>
                <w:sz w:val="20"/>
                <w:szCs w:val="20"/>
                <w:color w:val="auto"/>
              </w:rPr>
            </w:pPr>
            <w:r>
              <w:rPr>
                <w:rFonts w:ascii="Arial" w:cs="Arial" w:eastAsia="Arial" w:hAnsi="Arial"/>
                <w:sz w:val="14"/>
                <w:szCs w:val="14"/>
                <w:color w:val="auto"/>
              </w:rPr>
              <w:t>2/12/2025</w:t>
            </w:r>
          </w:p>
        </w:tc>
        <w:tc>
          <w:tcPr>
            <w:tcW w:w="1020" w:type="dxa"/>
            <w:vAlign w:val="bottom"/>
            <w:tcBorders>
              <w:bottom w:val="single" w:sz="8" w:color="999999"/>
            </w:tcBorders>
          </w:tcPr>
          <w:p>
            <w:pPr>
              <w:spacing w:after="0"/>
              <w:rPr>
                <w:sz w:val="13"/>
                <w:szCs w:val="13"/>
                <w:color w:val="auto"/>
              </w:rPr>
            </w:pPr>
          </w:p>
        </w:tc>
        <w:tc>
          <w:tcPr>
            <w:tcW w:w="1060" w:type="dxa"/>
            <w:vAlign w:val="bottom"/>
            <w:tcBorders>
              <w:bottom w:val="single" w:sz="8" w:color="999999"/>
            </w:tcBorders>
          </w:tcPr>
          <w:p>
            <w:pPr>
              <w:spacing w:after="0"/>
              <w:rPr>
                <w:sz w:val="13"/>
                <w:szCs w:val="13"/>
                <w:color w:val="auto"/>
              </w:rPr>
            </w:pPr>
          </w:p>
        </w:tc>
        <w:tc>
          <w:tcPr>
            <w:tcW w:w="1240" w:type="dxa"/>
            <w:vAlign w:val="bottom"/>
            <w:tcBorders>
              <w:bottom w:val="single" w:sz="8" w:color="999999"/>
            </w:tcBorders>
          </w:tcPr>
          <w:p>
            <w:pPr>
              <w:spacing w:after="0"/>
              <w:rPr>
                <w:sz w:val="13"/>
                <w:szCs w:val="13"/>
                <w:color w:val="auto"/>
              </w:rPr>
            </w:pPr>
          </w:p>
        </w:tc>
        <w:tc>
          <w:tcPr>
            <w:tcW w:w="960" w:type="dxa"/>
            <w:vAlign w:val="bottom"/>
            <w:tcBorders>
              <w:bottom w:val="single" w:sz="8" w:color="999999"/>
            </w:tcBorders>
          </w:tcPr>
          <w:p>
            <w:pPr>
              <w:spacing w:after="0"/>
              <w:rPr>
                <w:sz w:val="13"/>
                <w:szCs w:val="13"/>
                <w:color w:val="auto"/>
              </w:rPr>
            </w:pPr>
          </w:p>
        </w:tc>
        <w:tc>
          <w:tcPr>
            <w:tcW w:w="320" w:type="dxa"/>
            <w:vAlign w:val="bottom"/>
            <w:tcBorders>
              <w:bottom w:val="single" w:sz="8" w:color="999999"/>
            </w:tcBorders>
          </w:tcPr>
          <w:p>
            <w:pPr>
              <w:spacing w:after="0"/>
              <w:rPr>
                <w:sz w:val="13"/>
                <w:szCs w:val="13"/>
                <w:color w:val="auto"/>
              </w:rPr>
            </w:pPr>
          </w:p>
        </w:tc>
      </w:tr>
      <w:tr>
        <w:trPr>
          <w:trHeight w:val="155"/>
        </w:trPr>
        <w:tc>
          <w:tcPr>
            <w:tcW w:w="2060" w:type="dxa"/>
            <w:vAlign w:val="bottom"/>
          </w:tcPr>
          <w:p>
            <w:pPr>
              <w:spacing w:after="0"/>
              <w:rPr>
                <w:sz w:val="13"/>
                <w:szCs w:val="13"/>
                <w:color w:val="auto"/>
              </w:rPr>
            </w:pPr>
          </w:p>
        </w:tc>
        <w:tc>
          <w:tcPr>
            <w:tcW w:w="1260" w:type="dxa"/>
            <w:vAlign w:val="bottom"/>
            <w:tcBorders>
              <w:bottom w:val="single" w:sz="8" w:color="999999"/>
            </w:tcBorders>
            <w:gridSpan w:val="2"/>
          </w:tcPr>
          <w:p>
            <w:pPr>
              <w:jc w:val="right"/>
              <w:spacing w:after="0" w:line="155" w:lineRule="exact"/>
              <w:rPr>
                <w:sz w:val="20"/>
                <w:szCs w:val="20"/>
                <w:color w:val="auto"/>
              </w:rPr>
            </w:pPr>
            <w:r>
              <w:rPr>
                <w:rFonts w:ascii="Arial" w:cs="Arial" w:eastAsia="Arial" w:hAnsi="Arial"/>
                <w:sz w:val="14"/>
                <w:szCs w:val="14"/>
                <w:color w:val="auto"/>
              </w:rPr>
              <w:t>50,903(4)</w:t>
            </w:r>
          </w:p>
        </w:tc>
        <w:tc>
          <w:tcPr>
            <w:tcW w:w="1260" w:type="dxa"/>
            <w:vAlign w:val="bottom"/>
            <w:tcBorders>
              <w:bottom w:val="single" w:sz="8" w:color="999999"/>
            </w:tcBorders>
          </w:tcPr>
          <w:p>
            <w:pPr>
              <w:spacing w:after="0"/>
              <w:rPr>
                <w:sz w:val="13"/>
                <w:szCs w:val="13"/>
                <w:color w:val="auto"/>
              </w:rPr>
            </w:pPr>
          </w:p>
        </w:tc>
        <w:tc>
          <w:tcPr>
            <w:tcW w:w="880" w:type="dxa"/>
            <w:vAlign w:val="bottom"/>
            <w:tcBorders>
              <w:bottom w:val="single" w:sz="8" w:color="999999"/>
            </w:tcBorders>
          </w:tcPr>
          <w:p>
            <w:pPr>
              <w:jc w:val="right"/>
              <w:ind w:right="48"/>
              <w:spacing w:after="0" w:line="155" w:lineRule="exact"/>
              <w:rPr>
                <w:sz w:val="20"/>
                <w:szCs w:val="20"/>
                <w:color w:val="auto"/>
              </w:rPr>
            </w:pPr>
            <w:r>
              <w:rPr>
                <w:rFonts w:ascii="Arial" w:cs="Arial" w:eastAsia="Arial" w:hAnsi="Arial"/>
                <w:sz w:val="14"/>
                <w:szCs w:val="14"/>
                <w:color w:val="auto"/>
              </w:rPr>
              <w:t>82.51</w:t>
            </w:r>
          </w:p>
        </w:tc>
        <w:tc>
          <w:tcPr>
            <w:tcW w:w="940" w:type="dxa"/>
            <w:vAlign w:val="bottom"/>
            <w:tcBorders>
              <w:bottom w:val="single" w:sz="8" w:color="999999"/>
            </w:tcBorders>
            <w:gridSpan w:val="2"/>
          </w:tcPr>
          <w:p>
            <w:pPr>
              <w:jc w:val="right"/>
              <w:ind w:right="120"/>
              <w:spacing w:after="0" w:line="155" w:lineRule="exact"/>
              <w:rPr>
                <w:sz w:val="20"/>
                <w:szCs w:val="20"/>
                <w:color w:val="auto"/>
              </w:rPr>
            </w:pPr>
            <w:r>
              <w:rPr>
                <w:rFonts w:ascii="Arial" w:cs="Arial" w:eastAsia="Arial" w:hAnsi="Arial"/>
                <w:sz w:val="14"/>
                <w:szCs w:val="14"/>
                <w:color w:val="auto"/>
              </w:rPr>
              <w:t>3/10/2024</w:t>
            </w:r>
          </w:p>
        </w:tc>
        <w:tc>
          <w:tcPr>
            <w:tcW w:w="1020" w:type="dxa"/>
            <w:vAlign w:val="bottom"/>
            <w:tcBorders>
              <w:bottom w:val="single" w:sz="8" w:color="999999"/>
            </w:tcBorders>
          </w:tcPr>
          <w:p>
            <w:pPr>
              <w:spacing w:after="0"/>
              <w:rPr>
                <w:sz w:val="13"/>
                <w:szCs w:val="13"/>
                <w:color w:val="auto"/>
              </w:rPr>
            </w:pPr>
          </w:p>
        </w:tc>
        <w:tc>
          <w:tcPr>
            <w:tcW w:w="1060" w:type="dxa"/>
            <w:vAlign w:val="bottom"/>
            <w:tcBorders>
              <w:bottom w:val="single" w:sz="8" w:color="999999"/>
            </w:tcBorders>
          </w:tcPr>
          <w:p>
            <w:pPr>
              <w:spacing w:after="0"/>
              <w:rPr>
                <w:sz w:val="13"/>
                <w:szCs w:val="13"/>
                <w:color w:val="auto"/>
              </w:rPr>
            </w:pPr>
          </w:p>
        </w:tc>
        <w:tc>
          <w:tcPr>
            <w:tcW w:w="1240" w:type="dxa"/>
            <w:vAlign w:val="bottom"/>
            <w:tcBorders>
              <w:bottom w:val="single" w:sz="8" w:color="999999"/>
            </w:tcBorders>
          </w:tcPr>
          <w:p>
            <w:pPr>
              <w:spacing w:after="0"/>
              <w:rPr>
                <w:sz w:val="13"/>
                <w:szCs w:val="13"/>
                <w:color w:val="auto"/>
              </w:rPr>
            </w:pPr>
          </w:p>
        </w:tc>
        <w:tc>
          <w:tcPr>
            <w:tcW w:w="960" w:type="dxa"/>
            <w:vAlign w:val="bottom"/>
            <w:tcBorders>
              <w:bottom w:val="single" w:sz="8" w:color="999999"/>
            </w:tcBorders>
          </w:tcPr>
          <w:p>
            <w:pPr>
              <w:spacing w:after="0"/>
              <w:rPr>
                <w:sz w:val="13"/>
                <w:szCs w:val="13"/>
                <w:color w:val="auto"/>
              </w:rPr>
            </w:pPr>
          </w:p>
        </w:tc>
        <w:tc>
          <w:tcPr>
            <w:tcW w:w="320" w:type="dxa"/>
            <w:vAlign w:val="bottom"/>
            <w:tcBorders>
              <w:bottom w:val="single" w:sz="8" w:color="999999"/>
            </w:tcBorders>
          </w:tcPr>
          <w:p>
            <w:pPr>
              <w:spacing w:after="0"/>
              <w:rPr>
                <w:sz w:val="13"/>
                <w:szCs w:val="13"/>
                <w:color w:val="auto"/>
              </w:rPr>
            </w:pPr>
          </w:p>
        </w:tc>
      </w:tr>
      <w:tr>
        <w:trPr>
          <w:trHeight w:val="155"/>
        </w:trPr>
        <w:tc>
          <w:tcPr>
            <w:tcW w:w="2060" w:type="dxa"/>
            <w:vAlign w:val="bottom"/>
          </w:tcPr>
          <w:p>
            <w:pPr>
              <w:spacing w:after="0"/>
              <w:rPr>
                <w:sz w:val="13"/>
                <w:szCs w:val="13"/>
                <w:color w:val="auto"/>
              </w:rPr>
            </w:pPr>
          </w:p>
        </w:tc>
        <w:tc>
          <w:tcPr>
            <w:tcW w:w="1260" w:type="dxa"/>
            <w:vAlign w:val="bottom"/>
            <w:tcBorders>
              <w:bottom w:val="single" w:sz="8" w:color="999999"/>
            </w:tcBorders>
            <w:gridSpan w:val="2"/>
          </w:tcPr>
          <w:p>
            <w:pPr>
              <w:jc w:val="right"/>
              <w:spacing w:after="0" w:line="155" w:lineRule="exact"/>
              <w:rPr>
                <w:sz w:val="20"/>
                <w:szCs w:val="20"/>
                <w:color w:val="auto"/>
              </w:rPr>
            </w:pPr>
            <w:r>
              <w:rPr>
                <w:rFonts w:ascii="Arial" w:cs="Arial" w:eastAsia="Arial" w:hAnsi="Arial"/>
                <w:sz w:val="14"/>
                <w:szCs w:val="14"/>
                <w:color w:val="auto"/>
              </w:rPr>
              <w:t>79,032(5)</w:t>
            </w:r>
          </w:p>
        </w:tc>
        <w:tc>
          <w:tcPr>
            <w:tcW w:w="1260" w:type="dxa"/>
            <w:vAlign w:val="bottom"/>
            <w:tcBorders>
              <w:bottom w:val="single" w:sz="8" w:color="999999"/>
            </w:tcBorders>
          </w:tcPr>
          <w:p>
            <w:pPr>
              <w:spacing w:after="0"/>
              <w:rPr>
                <w:sz w:val="13"/>
                <w:szCs w:val="13"/>
                <w:color w:val="auto"/>
              </w:rPr>
            </w:pPr>
          </w:p>
        </w:tc>
        <w:tc>
          <w:tcPr>
            <w:tcW w:w="880" w:type="dxa"/>
            <w:vAlign w:val="bottom"/>
            <w:tcBorders>
              <w:bottom w:val="single" w:sz="8" w:color="999999"/>
            </w:tcBorders>
          </w:tcPr>
          <w:p>
            <w:pPr>
              <w:jc w:val="right"/>
              <w:ind w:right="48"/>
              <w:spacing w:after="0" w:line="155" w:lineRule="exact"/>
              <w:rPr>
                <w:sz w:val="20"/>
                <w:szCs w:val="20"/>
                <w:color w:val="auto"/>
              </w:rPr>
            </w:pPr>
            <w:r>
              <w:rPr>
                <w:rFonts w:ascii="Arial" w:cs="Arial" w:eastAsia="Arial" w:hAnsi="Arial"/>
                <w:sz w:val="14"/>
                <w:szCs w:val="14"/>
                <w:color w:val="auto"/>
              </w:rPr>
              <w:t>63.33</w:t>
            </w:r>
          </w:p>
        </w:tc>
        <w:tc>
          <w:tcPr>
            <w:tcW w:w="940" w:type="dxa"/>
            <w:vAlign w:val="bottom"/>
            <w:tcBorders>
              <w:bottom w:val="single" w:sz="8" w:color="999999"/>
            </w:tcBorders>
            <w:gridSpan w:val="2"/>
          </w:tcPr>
          <w:p>
            <w:pPr>
              <w:jc w:val="right"/>
              <w:ind w:right="120"/>
              <w:spacing w:after="0" w:line="155" w:lineRule="exact"/>
              <w:rPr>
                <w:sz w:val="20"/>
                <w:szCs w:val="20"/>
                <w:color w:val="auto"/>
              </w:rPr>
            </w:pPr>
            <w:r>
              <w:rPr>
                <w:rFonts w:ascii="Arial" w:cs="Arial" w:eastAsia="Arial" w:hAnsi="Arial"/>
                <w:sz w:val="14"/>
                <w:szCs w:val="14"/>
                <w:color w:val="auto"/>
              </w:rPr>
              <w:t>2/14/2023</w:t>
            </w:r>
          </w:p>
        </w:tc>
        <w:tc>
          <w:tcPr>
            <w:tcW w:w="1020" w:type="dxa"/>
            <w:vAlign w:val="bottom"/>
            <w:tcBorders>
              <w:bottom w:val="single" w:sz="8" w:color="999999"/>
            </w:tcBorders>
          </w:tcPr>
          <w:p>
            <w:pPr>
              <w:spacing w:after="0"/>
              <w:rPr>
                <w:sz w:val="13"/>
                <w:szCs w:val="13"/>
                <w:color w:val="auto"/>
              </w:rPr>
            </w:pPr>
          </w:p>
        </w:tc>
        <w:tc>
          <w:tcPr>
            <w:tcW w:w="1060" w:type="dxa"/>
            <w:vAlign w:val="bottom"/>
            <w:tcBorders>
              <w:bottom w:val="single" w:sz="8" w:color="999999"/>
            </w:tcBorders>
          </w:tcPr>
          <w:p>
            <w:pPr>
              <w:spacing w:after="0"/>
              <w:rPr>
                <w:sz w:val="13"/>
                <w:szCs w:val="13"/>
                <w:color w:val="auto"/>
              </w:rPr>
            </w:pPr>
          </w:p>
        </w:tc>
        <w:tc>
          <w:tcPr>
            <w:tcW w:w="1240" w:type="dxa"/>
            <w:vAlign w:val="bottom"/>
            <w:tcBorders>
              <w:bottom w:val="single" w:sz="8" w:color="999999"/>
            </w:tcBorders>
          </w:tcPr>
          <w:p>
            <w:pPr>
              <w:spacing w:after="0"/>
              <w:rPr>
                <w:sz w:val="13"/>
                <w:szCs w:val="13"/>
                <w:color w:val="auto"/>
              </w:rPr>
            </w:pPr>
          </w:p>
        </w:tc>
        <w:tc>
          <w:tcPr>
            <w:tcW w:w="960" w:type="dxa"/>
            <w:vAlign w:val="bottom"/>
            <w:tcBorders>
              <w:bottom w:val="single" w:sz="8" w:color="999999"/>
            </w:tcBorders>
          </w:tcPr>
          <w:p>
            <w:pPr>
              <w:spacing w:after="0"/>
              <w:rPr>
                <w:sz w:val="13"/>
                <w:szCs w:val="13"/>
                <w:color w:val="auto"/>
              </w:rPr>
            </w:pPr>
          </w:p>
        </w:tc>
        <w:tc>
          <w:tcPr>
            <w:tcW w:w="320" w:type="dxa"/>
            <w:vAlign w:val="bottom"/>
            <w:tcBorders>
              <w:bottom w:val="single" w:sz="8" w:color="999999"/>
            </w:tcBorders>
          </w:tcPr>
          <w:p>
            <w:pPr>
              <w:spacing w:after="0"/>
              <w:rPr>
                <w:sz w:val="13"/>
                <w:szCs w:val="13"/>
                <w:color w:val="auto"/>
              </w:rPr>
            </w:pPr>
          </w:p>
        </w:tc>
      </w:tr>
      <w:tr>
        <w:trPr>
          <w:trHeight w:val="155"/>
        </w:trPr>
        <w:tc>
          <w:tcPr>
            <w:tcW w:w="2060" w:type="dxa"/>
            <w:vAlign w:val="bottom"/>
          </w:tcPr>
          <w:p>
            <w:pPr>
              <w:spacing w:after="0"/>
              <w:rPr>
                <w:sz w:val="13"/>
                <w:szCs w:val="13"/>
                <w:color w:val="auto"/>
              </w:rPr>
            </w:pPr>
          </w:p>
        </w:tc>
        <w:tc>
          <w:tcPr>
            <w:tcW w:w="1260" w:type="dxa"/>
            <w:vAlign w:val="bottom"/>
            <w:tcBorders>
              <w:bottom w:val="single" w:sz="8" w:color="999999"/>
            </w:tcBorders>
            <w:gridSpan w:val="2"/>
          </w:tcPr>
          <w:p>
            <w:pPr>
              <w:jc w:val="right"/>
              <w:spacing w:after="0" w:line="155" w:lineRule="exact"/>
              <w:rPr>
                <w:sz w:val="20"/>
                <w:szCs w:val="20"/>
                <w:color w:val="auto"/>
              </w:rPr>
            </w:pPr>
            <w:r>
              <w:rPr>
                <w:rFonts w:ascii="Arial" w:cs="Arial" w:eastAsia="Arial" w:hAnsi="Arial"/>
                <w:sz w:val="14"/>
                <w:szCs w:val="14"/>
                <w:color w:val="auto"/>
              </w:rPr>
              <w:t>47,728(6)</w:t>
            </w:r>
          </w:p>
        </w:tc>
        <w:tc>
          <w:tcPr>
            <w:tcW w:w="1260" w:type="dxa"/>
            <w:vAlign w:val="bottom"/>
            <w:tcBorders>
              <w:bottom w:val="single" w:sz="8" w:color="999999"/>
            </w:tcBorders>
          </w:tcPr>
          <w:p>
            <w:pPr>
              <w:spacing w:after="0"/>
              <w:rPr>
                <w:sz w:val="13"/>
                <w:szCs w:val="13"/>
                <w:color w:val="auto"/>
              </w:rPr>
            </w:pPr>
          </w:p>
        </w:tc>
        <w:tc>
          <w:tcPr>
            <w:tcW w:w="880" w:type="dxa"/>
            <w:vAlign w:val="bottom"/>
            <w:tcBorders>
              <w:bottom w:val="single" w:sz="8" w:color="999999"/>
            </w:tcBorders>
          </w:tcPr>
          <w:p>
            <w:pPr>
              <w:jc w:val="right"/>
              <w:ind w:right="48"/>
              <w:spacing w:after="0" w:line="155" w:lineRule="exact"/>
              <w:rPr>
                <w:sz w:val="20"/>
                <w:szCs w:val="20"/>
                <w:color w:val="auto"/>
              </w:rPr>
            </w:pPr>
            <w:r>
              <w:rPr>
                <w:rFonts w:ascii="Arial" w:cs="Arial" w:eastAsia="Arial" w:hAnsi="Arial"/>
                <w:sz w:val="14"/>
                <w:szCs w:val="14"/>
                <w:color w:val="auto"/>
              </w:rPr>
              <w:t>57.62</w:t>
            </w:r>
          </w:p>
        </w:tc>
        <w:tc>
          <w:tcPr>
            <w:tcW w:w="940" w:type="dxa"/>
            <w:vAlign w:val="bottom"/>
            <w:tcBorders>
              <w:bottom w:val="single" w:sz="8" w:color="999999"/>
            </w:tcBorders>
            <w:gridSpan w:val="2"/>
          </w:tcPr>
          <w:p>
            <w:pPr>
              <w:jc w:val="right"/>
              <w:ind w:right="120"/>
              <w:spacing w:after="0" w:line="155" w:lineRule="exact"/>
              <w:rPr>
                <w:sz w:val="20"/>
                <w:szCs w:val="20"/>
                <w:color w:val="auto"/>
              </w:rPr>
            </w:pPr>
            <w:r>
              <w:rPr>
                <w:rFonts w:ascii="Arial" w:cs="Arial" w:eastAsia="Arial" w:hAnsi="Arial"/>
                <w:sz w:val="14"/>
                <w:szCs w:val="14"/>
                <w:color w:val="auto"/>
              </w:rPr>
              <w:t>2/9/2022</w:t>
            </w:r>
          </w:p>
        </w:tc>
        <w:tc>
          <w:tcPr>
            <w:tcW w:w="1020" w:type="dxa"/>
            <w:vAlign w:val="bottom"/>
            <w:tcBorders>
              <w:bottom w:val="single" w:sz="8" w:color="999999"/>
            </w:tcBorders>
          </w:tcPr>
          <w:p>
            <w:pPr>
              <w:spacing w:after="0"/>
              <w:rPr>
                <w:sz w:val="13"/>
                <w:szCs w:val="13"/>
                <w:color w:val="auto"/>
              </w:rPr>
            </w:pPr>
          </w:p>
        </w:tc>
        <w:tc>
          <w:tcPr>
            <w:tcW w:w="1060" w:type="dxa"/>
            <w:vAlign w:val="bottom"/>
            <w:tcBorders>
              <w:bottom w:val="single" w:sz="8" w:color="999999"/>
            </w:tcBorders>
          </w:tcPr>
          <w:p>
            <w:pPr>
              <w:spacing w:after="0"/>
              <w:rPr>
                <w:sz w:val="13"/>
                <w:szCs w:val="13"/>
                <w:color w:val="auto"/>
              </w:rPr>
            </w:pPr>
          </w:p>
        </w:tc>
        <w:tc>
          <w:tcPr>
            <w:tcW w:w="1240" w:type="dxa"/>
            <w:vAlign w:val="bottom"/>
            <w:tcBorders>
              <w:bottom w:val="single" w:sz="8" w:color="999999"/>
            </w:tcBorders>
          </w:tcPr>
          <w:p>
            <w:pPr>
              <w:spacing w:after="0"/>
              <w:rPr>
                <w:sz w:val="13"/>
                <w:szCs w:val="13"/>
                <w:color w:val="auto"/>
              </w:rPr>
            </w:pPr>
          </w:p>
        </w:tc>
        <w:tc>
          <w:tcPr>
            <w:tcW w:w="960" w:type="dxa"/>
            <w:vAlign w:val="bottom"/>
            <w:tcBorders>
              <w:bottom w:val="single" w:sz="8" w:color="999999"/>
            </w:tcBorders>
          </w:tcPr>
          <w:p>
            <w:pPr>
              <w:spacing w:after="0"/>
              <w:rPr>
                <w:sz w:val="13"/>
                <w:szCs w:val="13"/>
                <w:color w:val="auto"/>
              </w:rPr>
            </w:pPr>
          </w:p>
        </w:tc>
        <w:tc>
          <w:tcPr>
            <w:tcW w:w="320" w:type="dxa"/>
            <w:vAlign w:val="bottom"/>
            <w:tcBorders>
              <w:bottom w:val="single" w:sz="8" w:color="999999"/>
            </w:tcBorders>
          </w:tcPr>
          <w:p>
            <w:pPr>
              <w:spacing w:after="0"/>
              <w:rPr>
                <w:sz w:val="13"/>
                <w:szCs w:val="13"/>
                <w:color w:val="auto"/>
              </w:rPr>
            </w:pPr>
          </w:p>
        </w:tc>
      </w:tr>
      <w:tr>
        <w:trPr>
          <w:trHeight w:val="155"/>
        </w:trPr>
        <w:tc>
          <w:tcPr>
            <w:tcW w:w="2060" w:type="dxa"/>
            <w:vAlign w:val="bottom"/>
          </w:tcPr>
          <w:p>
            <w:pPr>
              <w:spacing w:after="0"/>
              <w:rPr>
                <w:sz w:val="13"/>
                <w:szCs w:val="13"/>
                <w:color w:val="auto"/>
              </w:rPr>
            </w:pPr>
          </w:p>
        </w:tc>
        <w:tc>
          <w:tcPr>
            <w:tcW w:w="1260" w:type="dxa"/>
            <w:vAlign w:val="bottom"/>
            <w:tcBorders>
              <w:bottom w:val="single" w:sz="8" w:color="999999"/>
            </w:tcBorders>
            <w:gridSpan w:val="2"/>
          </w:tcPr>
          <w:p>
            <w:pPr>
              <w:jc w:val="right"/>
              <w:spacing w:after="0" w:line="155" w:lineRule="exact"/>
              <w:rPr>
                <w:sz w:val="20"/>
                <w:szCs w:val="20"/>
                <w:color w:val="auto"/>
              </w:rPr>
            </w:pPr>
            <w:r>
              <w:rPr>
                <w:rFonts w:ascii="Arial" w:cs="Arial" w:eastAsia="Arial" w:hAnsi="Arial"/>
                <w:sz w:val="14"/>
                <w:szCs w:val="14"/>
                <w:color w:val="auto"/>
              </w:rPr>
              <w:t>37,489(7)</w:t>
            </w:r>
          </w:p>
        </w:tc>
        <w:tc>
          <w:tcPr>
            <w:tcW w:w="1260" w:type="dxa"/>
            <w:vAlign w:val="bottom"/>
            <w:tcBorders>
              <w:bottom w:val="single" w:sz="8" w:color="999999"/>
            </w:tcBorders>
          </w:tcPr>
          <w:p>
            <w:pPr>
              <w:spacing w:after="0"/>
              <w:rPr>
                <w:sz w:val="13"/>
                <w:szCs w:val="13"/>
                <w:color w:val="auto"/>
              </w:rPr>
            </w:pPr>
          </w:p>
        </w:tc>
        <w:tc>
          <w:tcPr>
            <w:tcW w:w="880" w:type="dxa"/>
            <w:vAlign w:val="bottom"/>
            <w:tcBorders>
              <w:bottom w:val="single" w:sz="8" w:color="999999"/>
            </w:tcBorders>
          </w:tcPr>
          <w:p>
            <w:pPr>
              <w:jc w:val="right"/>
              <w:ind w:right="48"/>
              <w:spacing w:after="0" w:line="155" w:lineRule="exact"/>
              <w:rPr>
                <w:sz w:val="20"/>
                <w:szCs w:val="20"/>
                <w:color w:val="auto"/>
              </w:rPr>
            </w:pPr>
            <w:r>
              <w:rPr>
                <w:rFonts w:ascii="Arial" w:cs="Arial" w:eastAsia="Arial" w:hAnsi="Arial"/>
                <w:sz w:val="14"/>
                <w:szCs w:val="14"/>
                <w:color w:val="auto"/>
              </w:rPr>
              <w:t>58.69</w:t>
            </w:r>
          </w:p>
        </w:tc>
        <w:tc>
          <w:tcPr>
            <w:tcW w:w="940" w:type="dxa"/>
            <w:vAlign w:val="bottom"/>
            <w:tcBorders>
              <w:bottom w:val="single" w:sz="8" w:color="999999"/>
            </w:tcBorders>
            <w:gridSpan w:val="2"/>
          </w:tcPr>
          <w:p>
            <w:pPr>
              <w:jc w:val="right"/>
              <w:ind w:right="120"/>
              <w:spacing w:after="0" w:line="155" w:lineRule="exact"/>
              <w:rPr>
                <w:sz w:val="20"/>
                <w:szCs w:val="20"/>
                <w:color w:val="auto"/>
              </w:rPr>
            </w:pPr>
            <w:r>
              <w:rPr>
                <w:rFonts w:ascii="Arial" w:cs="Arial" w:eastAsia="Arial" w:hAnsi="Arial"/>
                <w:sz w:val="14"/>
                <w:szCs w:val="14"/>
                <w:color w:val="auto"/>
              </w:rPr>
              <w:t>2/10/2021</w:t>
            </w:r>
          </w:p>
        </w:tc>
        <w:tc>
          <w:tcPr>
            <w:tcW w:w="1020" w:type="dxa"/>
            <w:vAlign w:val="bottom"/>
            <w:tcBorders>
              <w:bottom w:val="single" w:sz="8" w:color="999999"/>
            </w:tcBorders>
          </w:tcPr>
          <w:p>
            <w:pPr>
              <w:spacing w:after="0"/>
              <w:rPr>
                <w:sz w:val="13"/>
                <w:szCs w:val="13"/>
                <w:color w:val="auto"/>
              </w:rPr>
            </w:pPr>
          </w:p>
        </w:tc>
        <w:tc>
          <w:tcPr>
            <w:tcW w:w="1060" w:type="dxa"/>
            <w:vAlign w:val="bottom"/>
            <w:tcBorders>
              <w:bottom w:val="single" w:sz="8" w:color="999999"/>
            </w:tcBorders>
          </w:tcPr>
          <w:p>
            <w:pPr>
              <w:spacing w:after="0"/>
              <w:rPr>
                <w:sz w:val="13"/>
                <w:szCs w:val="13"/>
                <w:color w:val="auto"/>
              </w:rPr>
            </w:pPr>
          </w:p>
        </w:tc>
        <w:tc>
          <w:tcPr>
            <w:tcW w:w="1240" w:type="dxa"/>
            <w:vAlign w:val="bottom"/>
            <w:tcBorders>
              <w:bottom w:val="single" w:sz="8" w:color="999999"/>
            </w:tcBorders>
          </w:tcPr>
          <w:p>
            <w:pPr>
              <w:spacing w:after="0"/>
              <w:rPr>
                <w:sz w:val="13"/>
                <w:szCs w:val="13"/>
                <w:color w:val="auto"/>
              </w:rPr>
            </w:pPr>
          </w:p>
        </w:tc>
        <w:tc>
          <w:tcPr>
            <w:tcW w:w="960" w:type="dxa"/>
            <w:vAlign w:val="bottom"/>
            <w:tcBorders>
              <w:bottom w:val="single" w:sz="8" w:color="999999"/>
            </w:tcBorders>
          </w:tcPr>
          <w:p>
            <w:pPr>
              <w:spacing w:after="0"/>
              <w:rPr>
                <w:sz w:val="13"/>
                <w:szCs w:val="13"/>
                <w:color w:val="auto"/>
              </w:rPr>
            </w:pPr>
          </w:p>
        </w:tc>
        <w:tc>
          <w:tcPr>
            <w:tcW w:w="320" w:type="dxa"/>
            <w:vAlign w:val="bottom"/>
            <w:tcBorders>
              <w:bottom w:val="single" w:sz="8" w:color="999999"/>
            </w:tcBorders>
          </w:tcPr>
          <w:p>
            <w:pPr>
              <w:spacing w:after="0"/>
              <w:rPr>
                <w:sz w:val="13"/>
                <w:szCs w:val="13"/>
                <w:color w:val="auto"/>
              </w:rPr>
            </w:pPr>
          </w:p>
        </w:tc>
      </w:tr>
      <w:tr>
        <w:trPr>
          <w:trHeight w:val="155"/>
        </w:trPr>
        <w:tc>
          <w:tcPr>
            <w:tcW w:w="2060" w:type="dxa"/>
            <w:vAlign w:val="bottom"/>
          </w:tcPr>
          <w:p>
            <w:pPr>
              <w:spacing w:after="0"/>
              <w:rPr>
                <w:sz w:val="13"/>
                <w:szCs w:val="13"/>
                <w:color w:val="auto"/>
              </w:rPr>
            </w:pPr>
          </w:p>
        </w:tc>
        <w:tc>
          <w:tcPr>
            <w:tcW w:w="1260" w:type="dxa"/>
            <w:vAlign w:val="bottom"/>
            <w:tcBorders>
              <w:bottom w:val="single" w:sz="8" w:color="999999"/>
            </w:tcBorders>
            <w:gridSpan w:val="2"/>
          </w:tcPr>
          <w:p>
            <w:pPr>
              <w:jc w:val="right"/>
              <w:spacing w:after="0" w:line="155" w:lineRule="exact"/>
              <w:rPr>
                <w:sz w:val="20"/>
                <w:szCs w:val="20"/>
                <w:color w:val="auto"/>
              </w:rPr>
            </w:pPr>
            <w:r>
              <w:rPr>
                <w:rFonts w:ascii="Arial" w:cs="Arial" w:eastAsia="Arial" w:hAnsi="Arial"/>
                <w:sz w:val="14"/>
                <w:szCs w:val="14"/>
                <w:color w:val="auto"/>
              </w:rPr>
              <w:t>58,218(8)</w:t>
            </w:r>
          </w:p>
        </w:tc>
        <w:tc>
          <w:tcPr>
            <w:tcW w:w="1260" w:type="dxa"/>
            <w:vAlign w:val="bottom"/>
            <w:tcBorders>
              <w:bottom w:val="single" w:sz="8" w:color="999999"/>
            </w:tcBorders>
          </w:tcPr>
          <w:p>
            <w:pPr>
              <w:spacing w:after="0"/>
              <w:rPr>
                <w:sz w:val="13"/>
                <w:szCs w:val="13"/>
                <w:color w:val="auto"/>
              </w:rPr>
            </w:pPr>
          </w:p>
        </w:tc>
        <w:tc>
          <w:tcPr>
            <w:tcW w:w="880" w:type="dxa"/>
            <w:vAlign w:val="bottom"/>
            <w:tcBorders>
              <w:bottom w:val="single" w:sz="8" w:color="999999"/>
            </w:tcBorders>
          </w:tcPr>
          <w:p>
            <w:pPr>
              <w:jc w:val="right"/>
              <w:ind w:right="48"/>
              <w:spacing w:after="0" w:line="155" w:lineRule="exact"/>
              <w:rPr>
                <w:sz w:val="20"/>
                <w:szCs w:val="20"/>
                <w:color w:val="auto"/>
              </w:rPr>
            </w:pPr>
            <w:r>
              <w:rPr>
                <w:rFonts w:ascii="Arial" w:cs="Arial" w:eastAsia="Arial" w:hAnsi="Arial"/>
                <w:sz w:val="14"/>
                <w:szCs w:val="14"/>
                <w:color w:val="auto"/>
              </w:rPr>
              <w:t>37.79</w:t>
            </w:r>
          </w:p>
        </w:tc>
        <w:tc>
          <w:tcPr>
            <w:tcW w:w="940" w:type="dxa"/>
            <w:vAlign w:val="bottom"/>
            <w:tcBorders>
              <w:bottom w:val="single" w:sz="8" w:color="999999"/>
            </w:tcBorders>
            <w:gridSpan w:val="2"/>
          </w:tcPr>
          <w:p>
            <w:pPr>
              <w:jc w:val="right"/>
              <w:ind w:right="120"/>
              <w:spacing w:after="0" w:line="155" w:lineRule="exact"/>
              <w:rPr>
                <w:sz w:val="20"/>
                <w:szCs w:val="20"/>
                <w:color w:val="auto"/>
              </w:rPr>
            </w:pPr>
            <w:r>
              <w:rPr>
                <w:rFonts w:ascii="Arial" w:cs="Arial" w:eastAsia="Arial" w:hAnsi="Arial"/>
                <w:sz w:val="14"/>
                <w:szCs w:val="14"/>
                <w:color w:val="auto"/>
              </w:rPr>
              <w:t>2/11/2020</w:t>
            </w:r>
          </w:p>
        </w:tc>
        <w:tc>
          <w:tcPr>
            <w:tcW w:w="1020" w:type="dxa"/>
            <w:vAlign w:val="bottom"/>
            <w:tcBorders>
              <w:bottom w:val="single" w:sz="8" w:color="999999"/>
            </w:tcBorders>
          </w:tcPr>
          <w:p>
            <w:pPr>
              <w:spacing w:after="0"/>
              <w:rPr>
                <w:sz w:val="13"/>
                <w:szCs w:val="13"/>
                <w:color w:val="auto"/>
              </w:rPr>
            </w:pPr>
          </w:p>
        </w:tc>
        <w:tc>
          <w:tcPr>
            <w:tcW w:w="1060" w:type="dxa"/>
            <w:vAlign w:val="bottom"/>
            <w:tcBorders>
              <w:bottom w:val="single" w:sz="8" w:color="999999"/>
            </w:tcBorders>
          </w:tcPr>
          <w:p>
            <w:pPr>
              <w:spacing w:after="0"/>
              <w:rPr>
                <w:sz w:val="13"/>
                <w:szCs w:val="13"/>
                <w:color w:val="auto"/>
              </w:rPr>
            </w:pPr>
          </w:p>
        </w:tc>
        <w:tc>
          <w:tcPr>
            <w:tcW w:w="1240" w:type="dxa"/>
            <w:vAlign w:val="bottom"/>
            <w:tcBorders>
              <w:bottom w:val="single" w:sz="8" w:color="999999"/>
            </w:tcBorders>
          </w:tcPr>
          <w:p>
            <w:pPr>
              <w:spacing w:after="0"/>
              <w:rPr>
                <w:sz w:val="13"/>
                <w:szCs w:val="13"/>
                <w:color w:val="auto"/>
              </w:rPr>
            </w:pPr>
          </w:p>
        </w:tc>
        <w:tc>
          <w:tcPr>
            <w:tcW w:w="960" w:type="dxa"/>
            <w:vAlign w:val="bottom"/>
            <w:tcBorders>
              <w:bottom w:val="single" w:sz="8" w:color="999999"/>
            </w:tcBorders>
          </w:tcPr>
          <w:p>
            <w:pPr>
              <w:spacing w:after="0"/>
              <w:rPr>
                <w:sz w:val="13"/>
                <w:szCs w:val="13"/>
                <w:color w:val="auto"/>
              </w:rPr>
            </w:pPr>
          </w:p>
        </w:tc>
        <w:tc>
          <w:tcPr>
            <w:tcW w:w="320" w:type="dxa"/>
            <w:vAlign w:val="bottom"/>
            <w:tcBorders>
              <w:bottom w:val="single" w:sz="8" w:color="999999"/>
            </w:tcBorders>
          </w:tcPr>
          <w:p>
            <w:pPr>
              <w:spacing w:after="0"/>
              <w:rPr>
                <w:sz w:val="13"/>
                <w:szCs w:val="13"/>
                <w:color w:val="auto"/>
              </w:rPr>
            </w:pPr>
          </w:p>
        </w:tc>
      </w:tr>
      <w:tr>
        <w:trPr>
          <w:trHeight w:val="155"/>
        </w:trPr>
        <w:tc>
          <w:tcPr>
            <w:tcW w:w="2060" w:type="dxa"/>
            <w:vAlign w:val="bottom"/>
          </w:tcPr>
          <w:p>
            <w:pPr>
              <w:spacing w:after="0"/>
              <w:rPr>
                <w:sz w:val="13"/>
                <w:szCs w:val="13"/>
                <w:color w:val="auto"/>
              </w:rPr>
            </w:pPr>
          </w:p>
        </w:tc>
        <w:tc>
          <w:tcPr>
            <w:tcW w:w="240" w:type="dxa"/>
            <w:vAlign w:val="bottom"/>
            <w:tcBorders>
              <w:bottom w:val="single" w:sz="8" w:color="999999"/>
            </w:tcBorders>
          </w:tcPr>
          <w:p>
            <w:pPr>
              <w:spacing w:after="0"/>
              <w:rPr>
                <w:sz w:val="13"/>
                <w:szCs w:val="13"/>
                <w:color w:val="auto"/>
              </w:rPr>
            </w:pPr>
          </w:p>
        </w:tc>
        <w:tc>
          <w:tcPr>
            <w:tcW w:w="1020" w:type="dxa"/>
            <w:vAlign w:val="bottom"/>
            <w:tcBorders>
              <w:bottom w:val="single" w:sz="8" w:color="999999"/>
            </w:tcBorders>
          </w:tcPr>
          <w:p>
            <w:pPr>
              <w:spacing w:after="0"/>
              <w:rPr>
                <w:sz w:val="13"/>
                <w:szCs w:val="13"/>
                <w:color w:val="auto"/>
              </w:rPr>
            </w:pPr>
          </w:p>
        </w:tc>
        <w:tc>
          <w:tcPr>
            <w:tcW w:w="1260" w:type="dxa"/>
            <w:vAlign w:val="bottom"/>
            <w:tcBorders>
              <w:bottom w:val="single" w:sz="8" w:color="999999"/>
            </w:tcBorders>
          </w:tcPr>
          <w:p>
            <w:pPr>
              <w:spacing w:after="0"/>
              <w:rPr>
                <w:sz w:val="13"/>
                <w:szCs w:val="13"/>
                <w:color w:val="auto"/>
              </w:rPr>
            </w:pPr>
          </w:p>
        </w:tc>
        <w:tc>
          <w:tcPr>
            <w:tcW w:w="880" w:type="dxa"/>
            <w:vAlign w:val="bottom"/>
            <w:tcBorders>
              <w:bottom w:val="single" w:sz="8" w:color="999999"/>
            </w:tcBorders>
          </w:tcPr>
          <w:p>
            <w:pPr>
              <w:spacing w:after="0"/>
              <w:rPr>
                <w:sz w:val="13"/>
                <w:szCs w:val="13"/>
                <w:color w:val="auto"/>
              </w:rPr>
            </w:pPr>
          </w:p>
        </w:tc>
        <w:tc>
          <w:tcPr>
            <w:tcW w:w="820" w:type="dxa"/>
            <w:vAlign w:val="bottom"/>
            <w:tcBorders>
              <w:bottom w:val="single" w:sz="8" w:color="999999"/>
            </w:tcBorders>
          </w:tcPr>
          <w:p>
            <w:pPr>
              <w:spacing w:after="0"/>
              <w:rPr>
                <w:sz w:val="13"/>
                <w:szCs w:val="13"/>
                <w:color w:val="auto"/>
              </w:rPr>
            </w:pPr>
          </w:p>
        </w:tc>
        <w:tc>
          <w:tcPr>
            <w:tcW w:w="120" w:type="dxa"/>
            <w:vAlign w:val="bottom"/>
            <w:tcBorders>
              <w:bottom w:val="single" w:sz="8" w:color="999999"/>
            </w:tcBorders>
          </w:tcPr>
          <w:p>
            <w:pPr>
              <w:spacing w:after="0"/>
              <w:rPr>
                <w:sz w:val="13"/>
                <w:szCs w:val="13"/>
                <w:color w:val="auto"/>
              </w:rPr>
            </w:pPr>
          </w:p>
        </w:tc>
        <w:tc>
          <w:tcPr>
            <w:tcW w:w="1020" w:type="dxa"/>
            <w:vAlign w:val="bottom"/>
            <w:tcBorders>
              <w:bottom w:val="single" w:sz="8" w:color="999999"/>
            </w:tcBorders>
          </w:tcPr>
          <w:p>
            <w:pPr>
              <w:jc w:val="right"/>
              <w:spacing w:after="0" w:line="155" w:lineRule="exact"/>
              <w:rPr>
                <w:sz w:val="20"/>
                <w:szCs w:val="20"/>
                <w:color w:val="auto"/>
              </w:rPr>
            </w:pPr>
            <w:r>
              <w:rPr>
                <w:rFonts w:ascii="Arial" w:cs="Arial" w:eastAsia="Arial" w:hAnsi="Arial"/>
                <w:sz w:val="14"/>
                <w:szCs w:val="14"/>
                <w:color w:val="auto"/>
              </w:rPr>
              <w:t>5,045(10)</w:t>
            </w:r>
          </w:p>
        </w:tc>
        <w:tc>
          <w:tcPr>
            <w:tcW w:w="1060" w:type="dxa"/>
            <w:vAlign w:val="bottom"/>
            <w:tcBorders>
              <w:bottom w:val="single" w:sz="8" w:color="999999"/>
            </w:tcBorders>
          </w:tcPr>
          <w:p>
            <w:pPr>
              <w:jc w:val="right"/>
              <w:ind w:right="8"/>
              <w:spacing w:after="0" w:line="155" w:lineRule="exact"/>
              <w:rPr>
                <w:sz w:val="20"/>
                <w:szCs w:val="20"/>
                <w:color w:val="auto"/>
              </w:rPr>
            </w:pPr>
            <w:r>
              <w:rPr>
                <w:rFonts w:ascii="Arial" w:cs="Arial" w:eastAsia="Arial" w:hAnsi="Arial"/>
                <w:sz w:val="14"/>
                <w:szCs w:val="14"/>
                <w:color w:val="auto"/>
              </w:rPr>
              <w:t>509,495(13)</w:t>
            </w:r>
          </w:p>
        </w:tc>
        <w:tc>
          <w:tcPr>
            <w:tcW w:w="1240" w:type="dxa"/>
            <w:vAlign w:val="bottom"/>
            <w:tcBorders>
              <w:bottom w:val="single" w:sz="8" w:color="999999"/>
            </w:tcBorders>
          </w:tcPr>
          <w:p>
            <w:pPr>
              <w:ind w:left="500"/>
              <w:spacing w:after="0" w:line="155" w:lineRule="exact"/>
              <w:rPr>
                <w:sz w:val="20"/>
                <w:szCs w:val="20"/>
                <w:color w:val="auto"/>
              </w:rPr>
            </w:pPr>
            <w:r>
              <w:rPr>
                <w:rFonts w:ascii="Arial" w:cs="Arial" w:eastAsia="Arial" w:hAnsi="Arial"/>
                <w:sz w:val="14"/>
                <w:szCs w:val="14"/>
                <w:color w:val="auto"/>
              </w:rPr>
              <w:t>20,180(14)</w:t>
            </w:r>
          </w:p>
        </w:tc>
        <w:tc>
          <w:tcPr>
            <w:tcW w:w="1280" w:type="dxa"/>
            <w:vAlign w:val="bottom"/>
            <w:tcBorders>
              <w:bottom w:val="single" w:sz="8" w:color="999999"/>
            </w:tcBorders>
            <w:gridSpan w:val="2"/>
          </w:tcPr>
          <w:p>
            <w:pPr>
              <w:ind w:left="320"/>
              <w:spacing w:after="0" w:line="155" w:lineRule="exact"/>
              <w:rPr>
                <w:sz w:val="20"/>
                <w:szCs w:val="20"/>
                <w:color w:val="auto"/>
              </w:rPr>
            </w:pPr>
            <w:r>
              <w:rPr>
                <w:rFonts w:ascii="Arial" w:cs="Arial" w:eastAsia="Arial" w:hAnsi="Arial"/>
                <w:sz w:val="14"/>
                <w:szCs w:val="14"/>
                <w:color w:val="auto"/>
              </w:rPr>
              <w:t>2,037,978(16)</w:t>
            </w:r>
          </w:p>
        </w:tc>
      </w:tr>
      <w:tr>
        <w:trPr>
          <w:trHeight w:val="155"/>
        </w:trPr>
        <w:tc>
          <w:tcPr>
            <w:tcW w:w="2060" w:type="dxa"/>
            <w:vAlign w:val="bottom"/>
          </w:tcPr>
          <w:p>
            <w:pPr>
              <w:spacing w:after="0"/>
              <w:rPr>
                <w:sz w:val="13"/>
                <w:szCs w:val="13"/>
                <w:color w:val="auto"/>
              </w:rPr>
            </w:pPr>
          </w:p>
        </w:tc>
        <w:tc>
          <w:tcPr>
            <w:tcW w:w="240" w:type="dxa"/>
            <w:vAlign w:val="bottom"/>
            <w:tcBorders>
              <w:bottom w:val="single" w:sz="8" w:color="999999"/>
            </w:tcBorders>
          </w:tcPr>
          <w:p>
            <w:pPr>
              <w:spacing w:after="0"/>
              <w:rPr>
                <w:sz w:val="13"/>
                <w:szCs w:val="13"/>
                <w:color w:val="auto"/>
              </w:rPr>
            </w:pPr>
          </w:p>
        </w:tc>
        <w:tc>
          <w:tcPr>
            <w:tcW w:w="1020" w:type="dxa"/>
            <w:vAlign w:val="bottom"/>
            <w:tcBorders>
              <w:bottom w:val="single" w:sz="8" w:color="999999"/>
            </w:tcBorders>
          </w:tcPr>
          <w:p>
            <w:pPr>
              <w:spacing w:after="0"/>
              <w:rPr>
                <w:sz w:val="13"/>
                <w:szCs w:val="13"/>
                <w:color w:val="auto"/>
              </w:rPr>
            </w:pPr>
          </w:p>
        </w:tc>
        <w:tc>
          <w:tcPr>
            <w:tcW w:w="1260" w:type="dxa"/>
            <w:vAlign w:val="bottom"/>
            <w:tcBorders>
              <w:bottom w:val="single" w:sz="8" w:color="999999"/>
            </w:tcBorders>
          </w:tcPr>
          <w:p>
            <w:pPr>
              <w:spacing w:after="0"/>
              <w:rPr>
                <w:sz w:val="13"/>
                <w:szCs w:val="13"/>
                <w:color w:val="auto"/>
              </w:rPr>
            </w:pPr>
          </w:p>
        </w:tc>
        <w:tc>
          <w:tcPr>
            <w:tcW w:w="880" w:type="dxa"/>
            <w:vAlign w:val="bottom"/>
            <w:tcBorders>
              <w:bottom w:val="single" w:sz="8" w:color="999999"/>
            </w:tcBorders>
          </w:tcPr>
          <w:p>
            <w:pPr>
              <w:spacing w:after="0"/>
              <w:rPr>
                <w:sz w:val="13"/>
                <w:szCs w:val="13"/>
                <w:color w:val="auto"/>
              </w:rPr>
            </w:pPr>
          </w:p>
        </w:tc>
        <w:tc>
          <w:tcPr>
            <w:tcW w:w="820" w:type="dxa"/>
            <w:vAlign w:val="bottom"/>
            <w:tcBorders>
              <w:bottom w:val="single" w:sz="8" w:color="999999"/>
            </w:tcBorders>
          </w:tcPr>
          <w:p>
            <w:pPr>
              <w:spacing w:after="0"/>
              <w:rPr>
                <w:sz w:val="13"/>
                <w:szCs w:val="13"/>
                <w:color w:val="auto"/>
              </w:rPr>
            </w:pPr>
          </w:p>
        </w:tc>
        <w:tc>
          <w:tcPr>
            <w:tcW w:w="120" w:type="dxa"/>
            <w:vAlign w:val="bottom"/>
            <w:tcBorders>
              <w:bottom w:val="single" w:sz="8" w:color="999999"/>
            </w:tcBorders>
          </w:tcPr>
          <w:p>
            <w:pPr>
              <w:spacing w:after="0"/>
              <w:rPr>
                <w:sz w:val="13"/>
                <w:szCs w:val="13"/>
                <w:color w:val="auto"/>
              </w:rPr>
            </w:pPr>
          </w:p>
        </w:tc>
        <w:tc>
          <w:tcPr>
            <w:tcW w:w="1020" w:type="dxa"/>
            <w:vAlign w:val="bottom"/>
            <w:tcBorders>
              <w:bottom w:val="single" w:sz="8" w:color="999999"/>
            </w:tcBorders>
          </w:tcPr>
          <w:p>
            <w:pPr>
              <w:jc w:val="right"/>
              <w:spacing w:after="0" w:line="155" w:lineRule="exact"/>
              <w:rPr>
                <w:sz w:val="20"/>
                <w:szCs w:val="20"/>
                <w:color w:val="auto"/>
              </w:rPr>
            </w:pPr>
            <w:r>
              <w:rPr>
                <w:rFonts w:ascii="Arial" w:cs="Arial" w:eastAsia="Arial" w:hAnsi="Arial"/>
                <w:sz w:val="14"/>
                <w:szCs w:val="14"/>
                <w:color w:val="auto"/>
              </w:rPr>
              <w:t>4,309(11)</w:t>
            </w:r>
          </w:p>
        </w:tc>
        <w:tc>
          <w:tcPr>
            <w:tcW w:w="1060" w:type="dxa"/>
            <w:vAlign w:val="bottom"/>
            <w:tcBorders>
              <w:bottom w:val="single" w:sz="8" w:color="999999"/>
            </w:tcBorders>
          </w:tcPr>
          <w:p>
            <w:pPr>
              <w:jc w:val="right"/>
              <w:ind w:right="8"/>
              <w:spacing w:after="0" w:line="155" w:lineRule="exact"/>
              <w:rPr>
                <w:sz w:val="20"/>
                <w:szCs w:val="20"/>
                <w:color w:val="auto"/>
              </w:rPr>
            </w:pPr>
            <w:r>
              <w:rPr>
                <w:rFonts w:ascii="Arial" w:cs="Arial" w:eastAsia="Arial" w:hAnsi="Arial"/>
                <w:sz w:val="14"/>
                <w:szCs w:val="14"/>
                <w:color w:val="auto"/>
              </w:rPr>
              <w:t>435,166(13)</w:t>
            </w:r>
          </w:p>
        </w:tc>
        <w:tc>
          <w:tcPr>
            <w:tcW w:w="1240" w:type="dxa"/>
            <w:vAlign w:val="bottom"/>
            <w:tcBorders>
              <w:bottom w:val="single" w:sz="8" w:color="999999"/>
            </w:tcBorders>
          </w:tcPr>
          <w:p>
            <w:pPr>
              <w:ind w:left="500"/>
              <w:spacing w:after="0" w:line="155" w:lineRule="exact"/>
              <w:rPr>
                <w:sz w:val="20"/>
                <w:szCs w:val="20"/>
                <w:color w:val="auto"/>
              </w:rPr>
            </w:pPr>
            <w:r>
              <w:rPr>
                <w:rFonts w:ascii="Arial" w:cs="Arial" w:eastAsia="Arial" w:hAnsi="Arial"/>
                <w:sz w:val="14"/>
                <w:szCs w:val="14"/>
                <w:color w:val="auto"/>
              </w:rPr>
              <w:t>25,852(15)</w:t>
            </w:r>
          </w:p>
        </w:tc>
        <w:tc>
          <w:tcPr>
            <w:tcW w:w="1280" w:type="dxa"/>
            <w:vAlign w:val="bottom"/>
            <w:tcBorders>
              <w:bottom w:val="single" w:sz="8" w:color="999999"/>
            </w:tcBorders>
            <w:gridSpan w:val="2"/>
          </w:tcPr>
          <w:p>
            <w:pPr>
              <w:ind w:left="320"/>
              <w:spacing w:after="0" w:line="155" w:lineRule="exact"/>
              <w:rPr>
                <w:sz w:val="20"/>
                <w:szCs w:val="20"/>
                <w:color w:val="auto"/>
              </w:rPr>
            </w:pPr>
            <w:r>
              <w:rPr>
                <w:rFonts w:ascii="Arial" w:cs="Arial" w:eastAsia="Arial" w:hAnsi="Arial"/>
                <w:sz w:val="14"/>
                <w:szCs w:val="14"/>
                <w:color w:val="auto"/>
              </w:rPr>
              <w:t>2,610,793(16)</w:t>
            </w:r>
          </w:p>
        </w:tc>
      </w:tr>
      <w:tr>
        <w:trPr>
          <w:trHeight w:val="155"/>
        </w:trPr>
        <w:tc>
          <w:tcPr>
            <w:tcW w:w="2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right"/>
              <w:spacing w:after="0" w:line="155" w:lineRule="exact"/>
              <w:rPr>
                <w:sz w:val="20"/>
                <w:szCs w:val="20"/>
                <w:color w:val="auto"/>
              </w:rPr>
            </w:pPr>
            <w:r>
              <w:rPr>
                <w:rFonts w:ascii="Arial" w:cs="Arial" w:eastAsia="Arial" w:hAnsi="Arial"/>
                <w:sz w:val="14"/>
                <w:szCs w:val="14"/>
                <w:color w:val="auto"/>
              </w:rPr>
              <w:t>1,683(12)</w:t>
            </w:r>
          </w:p>
        </w:tc>
        <w:tc>
          <w:tcPr>
            <w:tcW w:w="1060" w:type="dxa"/>
            <w:vAlign w:val="bottom"/>
          </w:tcPr>
          <w:p>
            <w:pPr>
              <w:jc w:val="right"/>
              <w:ind w:right="8"/>
              <w:spacing w:after="0" w:line="155" w:lineRule="exact"/>
              <w:rPr>
                <w:sz w:val="20"/>
                <w:szCs w:val="20"/>
                <w:color w:val="auto"/>
              </w:rPr>
            </w:pPr>
            <w:r>
              <w:rPr>
                <w:rFonts w:ascii="Arial" w:cs="Arial" w:eastAsia="Arial" w:hAnsi="Arial"/>
                <w:sz w:val="14"/>
                <w:szCs w:val="14"/>
                <w:color w:val="auto"/>
              </w:rPr>
              <w:t>169,966(13)</w:t>
            </w:r>
          </w:p>
        </w:tc>
        <w:tc>
          <w:tcPr>
            <w:tcW w:w="1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20" w:type="dxa"/>
            <w:vAlign w:val="bottom"/>
          </w:tcPr>
          <w:p>
            <w:pPr>
              <w:spacing w:after="0"/>
              <w:rPr>
                <w:sz w:val="13"/>
                <w:szCs w:val="13"/>
                <w:color w:val="auto"/>
              </w:rPr>
            </w:pPr>
          </w:p>
        </w:tc>
      </w:tr>
      <w:tr>
        <w:trPr>
          <w:trHeight w:val="162"/>
        </w:trPr>
        <w:tc>
          <w:tcPr>
            <w:tcW w:w="2060" w:type="dxa"/>
            <w:vAlign w:val="bottom"/>
            <w:shd w:val="clear" w:color="auto" w:fill="D8D8D8"/>
          </w:tcPr>
          <w:p>
            <w:pPr>
              <w:spacing w:after="0"/>
              <w:rPr>
                <w:sz w:val="20"/>
                <w:szCs w:val="20"/>
                <w:color w:val="auto"/>
              </w:rPr>
            </w:pPr>
            <w:r>
              <w:rPr>
                <w:rFonts w:ascii="Arial" w:cs="Arial" w:eastAsia="Arial" w:hAnsi="Arial"/>
                <w:sz w:val="14"/>
                <w:szCs w:val="14"/>
                <w:color w:val="auto"/>
              </w:rPr>
              <w:t>C. Anderson Fincher</w:t>
            </w:r>
          </w:p>
        </w:tc>
        <w:tc>
          <w:tcPr>
            <w:tcW w:w="240" w:type="dxa"/>
            <w:vAlign w:val="bottom"/>
            <w:tcBorders>
              <w:right w:val="single" w:sz="8" w:color="D8D8D8"/>
            </w:tcBorders>
            <w:shd w:val="clear" w:color="auto" w:fill="D8D8D8"/>
          </w:tcPr>
          <w:p>
            <w:pPr>
              <w:spacing w:after="0"/>
              <w:rPr>
                <w:sz w:val="14"/>
                <w:szCs w:val="14"/>
                <w:color w:val="auto"/>
              </w:rPr>
            </w:pPr>
          </w:p>
        </w:tc>
        <w:tc>
          <w:tcPr>
            <w:tcW w:w="1020" w:type="dxa"/>
            <w:vAlign w:val="bottom"/>
            <w:shd w:val="clear" w:color="auto" w:fill="D8D8D8"/>
          </w:tcPr>
          <w:p>
            <w:pPr>
              <w:spacing w:after="0"/>
              <w:rPr>
                <w:sz w:val="14"/>
                <w:szCs w:val="14"/>
                <w:color w:val="auto"/>
              </w:rPr>
            </w:pPr>
          </w:p>
        </w:tc>
        <w:tc>
          <w:tcPr>
            <w:tcW w:w="1260" w:type="dxa"/>
            <w:vAlign w:val="bottom"/>
            <w:shd w:val="clear" w:color="auto" w:fill="D8D8D8"/>
          </w:tcPr>
          <w:p>
            <w:pPr>
              <w:jc w:val="right"/>
              <w:spacing w:after="0"/>
              <w:rPr>
                <w:sz w:val="20"/>
                <w:szCs w:val="20"/>
                <w:color w:val="auto"/>
              </w:rPr>
            </w:pPr>
            <w:r>
              <w:rPr>
                <w:rFonts w:ascii="Arial" w:cs="Arial" w:eastAsia="Arial" w:hAnsi="Arial"/>
                <w:sz w:val="14"/>
                <w:szCs w:val="14"/>
                <w:color w:val="auto"/>
              </w:rPr>
              <w:t>27,750(1)</w:t>
            </w:r>
          </w:p>
        </w:tc>
        <w:tc>
          <w:tcPr>
            <w:tcW w:w="880" w:type="dxa"/>
            <w:vAlign w:val="bottom"/>
            <w:shd w:val="clear" w:color="auto" w:fill="D8D8D8"/>
          </w:tcPr>
          <w:p>
            <w:pPr>
              <w:jc w:val="right"/>
              <w:ind w:right="48"/>
              <w:spacing w:after="0"/>
              <w:rPr>
                <w:sz w:val="20"/>
                <w:szCs w:val="20"/>
                <w:color w:val="auto"/>
              </w:rPr>
            </w:pPr>
            <w:r>
              <w:rPr>
                <w:rFonts w:ascii="Arial" w:cs="Arial" w:eastAsia="Arial" w:hAnsi="Arial"/>
                <w:sz w:val="14"/>
                <w:szCs w:val="14"/>
                <w:color w:val="auto"/>
              </w:rPr>
              <w:t>79.28</w:t>
            </w:r>
          </w:p>
        </w:tc>
        <w:tc>
          <w:tcPr>
            <w:tcW w:w="940" w:type="dxa"/>
            <w:vAlign w:val="bottom"/>
            <w:gridSpan w:val="2"/>
            <w:shd w:val="clear" w:color="auto" w:fill="D8D8D8"/>
          </w:tcPr>
          <w:p>
            <w:pPr>
              <w:jc w:val="right"/>
              <w:ind w:right="120"/>
              <w:spacing w:after="0"/>
              <w:rPr>
                <w:sz w:val="20"/>
                <w:szCs w:val="20"/>
                <w:color w:val="auto"/>
              </w:rPr>
            </w:pPr>
            <w:r>
              <w:rPr>
                <w:rFonts w:ascii="Arial" w:cs="Arial" w:eastAsia="Arial" w:hAnsi="Arial"/>
                <w:sz w:val="14"/>
                <w:szCs w:val="14"/>
                <w:color w:val="auto"/>
              </w:rPr>
              <w:t>2/10/2027</w:t>
            </w:r>
          </w:p>
        </w:tc>
        <w:tc>
          <w:tcPr>
            <w:tcW w:w="1020" w:type="dxa"/>
            <w:vAlign w:val="bottom"/>
            <w:shd w:val="clear" w:color="auto" w:fill="D8D8D8"/>
          </w:tcPr>
          <w:p>
            <w:pPr>
              <w:spacing w:after="0"/>
              <w:rPr>
                <w:sz w:val="14"/>
                <w:szCs w:val="14"/>
                <w:color w:val="auto"/>
              </w:rPr>
            </w:pPr>
          </w:p>
        </w:tc>
        <w:tc>
          <w:tcPr>
            <w:tcW w:w="1060" w:type="dxa"/>
            <w:vAlign w:val="bottom"/>
            <w:shd w:val="clear" w:color="auto" w:fill="D8D8D8"/>
          </w:tcPr>
          <w:p>
            <w:pPr>
              <w:spacing w:after="0"/>
              <w:rPr>
                <w:sz w:val="14"/>
                <w:szCs w:val="14"/>
                <w:color w:val="auto"/>
              </w:rPr>
            </w:pPr>
          </w:p>
        </w:tc>
        <w:tc>
          <w:tcPr>
            <w:tcW w:w="1240" w:type="dxa"/>
            <w:vAlign w:val="bottom"/>
            <w:shd w:val="clear" w:color="auto" w:fill="D8D8D8"/>
          </w:tcPr>
          <w:p>
            <w:pPr>
              <w:spacing w:after="0"/>
              <w:rPr>
                <w:sz w:val="14"/>
                <w:szCs w:val="14"/>
                <w:color w:val="auto"/>
              </w:rPr>
            </w:pPr>
          </w:p>
        </w:tc>
        <w:tc>
          <w:tcPr>
            <w:tcW w:w="960" w:type="dxa"/>
            <w:vAlign w:val="bottom"/>
            <w:shd w:val="clear" w:color="auto" w:fill="D8D8D8"/>
          </w:tcPr>
          <w:p>
            <w:pPr>
              <w:spacing w:after="0"/>
              <w:rPr>
                <w:sz w:val="14"/>
                <w:szCs w:val="14"/>
                <w:color w:val="auto"/>
              </w:rPr>
            </w:pPr>
          </w:p>
        </w:tc>
        <w:tc>
          <w:tcPr>
            <w:tcW w:w="320" w:type="dxa"/>
            <w:vAlign w:val="bottom"/>
            <w:shd w:val="clear" w:color="auto" w:fill="D8D8D8"/>
          </w:tcPr>
          <w:p>
            <w:pPr>
              <w:spacing w:after="0"/>
              <w:rPr>
                <w:sz w:val="14"/>
                <w:szCs w:val="14"/>
                <w:color w:val="auto"/>
              </w:rPr>
            </w:pPr>
          </w:p>
        </w:tc>
      </w:tr>
      <w:tr>
        <w:trPr>
          <w:trHeight w:val="175"/>
        </w:trPr>
        <w:tc>
          <w:tcPr>
            <w:tcW w:w="2060" w:type="dxa"/>
            <w:vAlign w:val="bottom"/>
            <w:shd w:val="clear" w:color="auto" w:fill="D8D8D8"/>
          </w:tcPr>
          <w:p>
            <w:pPr>
              <w:spacing w:after="0"/>
              <w:rPr>
                <w:sz w:val="15"/>
                <w:szCs w:val="15"/>
                <w:color w:val="auto"/>
              </w:rPr>
            </w:pPr>
          </w:p>
        </w:tc>
        <w:tc>
          <w:tcPr>
            <w:tcW w:w="240" w:type="dxa"/>
            <w:vAlign w:val="bottom"/>
            <w:tcBorders>
              <w:right w:val="single" w:sz="8" w:color="D8D8D8"/>
            </w:tcBorders>
            <w:shd w:val="clear" w:color="auto" w:fill="D8D8D8"/>
          </w:tcPr>
          <w:p>
            <w:pPr>
              <w:spacing w:after="0"/>
              <w:rPr>
                <w:sz w:val="15"/>
                <w:szCs w:val="15"/>
                <w:color w:val="auto"/>
              </w:rPr>
            </w:pPr>
          </w:p>
        </w:tc>
        <w:tc>
          <w:tcPr>
            <w:tcW w:w="1020" w:type="dxa"/>
            <w:vAlign w:val="bottom"/>
            <w:shd w:val="clear" w:color="auto" w:fill="D8D8D8"/>
          </w:tcPr>
          <w:p>
            <w:pPr>
              <w:spacing w:after="0"/>
              <w:rPr>
                <w:sz w:val="15"/>
                <w:szCs w:val="15"/>
                <w:color w:val="auto"/>
              </w:rPr>
            </w:pPr>
          </w:p>
        </w:tc>
        <w:tc>
          <w:tcPr>
            <w:tcW w:w="1260" w:type="dxa"/>
            <w:vAlign w:val="bottom"/>
            <w:shd w:val="clear" w:color="auto" w:fill="D8D8D8"/>
          </w:tcPr>
          <w:p>
            <w:pPr>
              <w:jc w:val="right"/>
              <w:spacing w:after="0"/>
              <w:rPr>
                <w:sz w:val="20"/>
                <w:szCs w:val="20"/>
                <w:color w:val="auto"/>
              </w:rPr>
            </w:pPr>
            <w:r>
              <w:rPr>
                <w:rFonts w:ascii="Arial" w:cs="Arial" w:eastAsia="Arial" w:hAnsi="Arial"/>
                <w:sz w:val="14"/>
                <w:szCs w:val="14"/>
                <w:color w:val="auto"/>
              </w:rPr>
              <w:t>38,428(2)</w:t>
            </w:r>
          </w:p>
        </w:tc>
        <w:tc>
          <w:tcPr>
            <w:tcW w:w="880" w:type="dxa"/>
            <w:vAlign w:val="bottom"/>
            <w:shd w:val="clear" w:color="auto" w:fill="D8D8D8"/>
          </w:tcPr>
          <w:p>
            <w:pPr>
              <w:jc w:val="right"/>
              <w:ind w:right="48"/>
              <w:spacing w:after="0"/>
              <w:rPr>
                <w:sz w:val="20"/>
                <w:szCs w:val="20"/>
                <w:color w:val="auto"/>
              </w:rPr>
            </w:pPr>
            <w:r>
              <w:rPr>
                <w:rFonts w:ascii="Arial" w:cs="Arial" w:eastAsia="Arial" w:hAnsi="Arial"/>
                <w:sz w:val="14"/>
                <w:szCs w:val="14"/>
                <w:color w:val="auto"/>
              </w:rPr>
              <w:t>57.25</w:t>
            </w:r>
          </w:p>
        </w:tc>
        <w:tc>
          <w:tcPr>
            <w:tcW w:w="940" w:type="dxa"/>
            <w:vAlign w:val="bottom"/>
            <w:gridSpan w:val="2"/>
            <w:shd w:val="clear" w:color="auto" w:fill="D8D8D8"/>
          </w:tcPr>
          <w:p>
            <w:pPr>
              <w:jc w:val="right"/>
              <w:ind w:right="120"/>
              <w:spacing w:after="0"/>
              <w:rPr>
                <w:sz w:val="20"/>
                <w:szCs w:val="20"/>
                <w:color w:val="auto"/>
              </w:rPr>
            </w:pPr>
            <w:r>
              <w:rPr>
                <w:rFonts w:ascii="Arial" w:cs="Arial" w:eastAsia="Arial" w:hAnsi="Arial"/>
                <w:sz w:val="14"/>
                <w:szCs w:val="14"/>
                <w:color w:val="auto"/>
              </w:rPr>
              <w:t>2/11/2026</w:t>
            </w:r>
          </w:p>
        </w:tc>
        <w:tc>
          <w:tcPr>
            <w:tcW w:w="1020" w:type="dxa"/>
            <w:vAlign w:val="bottom"/>
            <w:shd w:val="clear" w:color="auto" w:fill="D8D8D8"/>
          </w:tcPr>
          <w:p>
            <w:pPr>
              <w:spacing w:after="0"/>
              <w:rPr>
                <w:sz w:val="15"/>
                <w:szCs w:val="15"/>
                <w:color w:val="auto"/>
              </w:rPr>
            </w:pPr>
          </w:p>
        </w:tc>
        <w:tc>
          <w:tcPr>
            <w:tcW w:w="1060" w:type="dxa"/>
            <w:vAlign w:val="bottom"/>
            <w:shd w:val="clear" w:color="auto" w:fill="D8D8D8"/>
          </w:tcPr>
          <w:p>
            <w:pPr>
              <w:spacing w:after="0"/>
              <w:rPr>
                <w:sz w:val="15"/>
                <w:szCs w:val="15"/>
                <w:color w:val="auto"/>
              </w:rPr>
            </w:pPr>
          </w:p>
        </w:tc>
        <w:tc>
          <w:tcPr>
            <w:tcW w:w="1240" w:type="dxa"/>
            <w:vAlign w:val="bottom"/>
            <w:shd w:val="clear" w:color="auto" w:fill="D8D8D8"/>
          </w:tcPr>
          <w:p>
            <w:pPr>
              <w:spacing w:after="0"/>
              <w:rPr>
                <w:sz w:val="15"/>
                <w:szCs w:val="15"/>
                <w:color w:val="auto"/>
              </w:rPr>
            </w:pPr>
          </w:p>
        </w:tc>
        <w:tc>
          <w:tcPr>
            <w:tcW w:w="960" w:type="dxa"/>
            <w:vAlign w:val="bottom"/>
            <w:shd w:val="clear" w:color="auto" w:fill="D8D8D8"/>
          </w:tcPr>
          <w:p>
            <w:pPr>
              <w:spacing w:after="0"/>
              <w:rPr>
                <w:sz w:val="15"/>
                <w:szCs w:val="15"/>
                <w:color w:val="auto"/>
              </w:rPr>
            </w:pPr>
          </w:p>
        </w:tc>
        <w:tc>
          <w:tcPr>
            <w:tcW w:w="320" w:type="dxa"/>
            <w:vAlign w:val="bottom"/>
            <w:shd w:val="clear" w:color="auto" w:fill="D8D8D8"/>
          </w:tcPr>
          <w:p>
            <w:pPr>
              <w:spacing w:after="0"/>
              <w:rPr>
                <w:sz w:val="15"/>
                <w:szCs w:val="15"/>
                <w:color w:val="auto"/>
              </w:rPr>
            </w:pPr>
          </w:p>
        </w:tc>
      </w:tr>
      <w:tr>
        <w:trPr>
          <w:trHeight w:val="175"/>
        </w:trPr>
        <w:tc>
          <w:tcPr>
            <w:tcW w:w="2060" w:type="dxa"/>
            <w:vAlign w:val="bottom"/>
            <w:shd w:val="clear" w:color="auto" w:fill="D8D8D8"/>
          </w:tcPr>
          <w:p>
            <w:pPr>
              <w:spacing w:after="0"/>
              <w:rPr>
                <w:sz w:val="15"/>
                <w:szCs w:val="15"/>
                <w:color w:val="auto"/>
              </w:rPr>
            </w:pPr>
          </w:p>
        </w:tc>
        <w:tc>
          <w:tcPr>
            <w:tcW w:w="240" w:type="dxa"/>
            <w:vAlign w:val="bottom"/>
            <w:tcBorders>
              <w:right w:val="single" w:sz="8" w:color="D8D8D8"/>
            </w:tcBorders>
            <w:shd w:val="clear" w:color="auto" w:fill="D8D8D8"/>
          </w:tcPr>
          <w:p>
            <w:pPr>
              <w:spacing w:after="0"/>
              <w:rPr>
                <w:sz w:val="15"/>
                <w:szCs w:val="15"/>
                <w:color w:val="auto"/>
              </w:rPr>
            </w:pPr>
          </w:p>
        </w:tc>
        <w:tc>
          <w:tcPr>
            <w:tcW w:w="1020" w:type="dxa"/>
            <w:vAlign w:val="bottom"/>
            <w:shd w:val="clear" w:color="auto" w:fill="D8D8D8"/>
          </w:tcPr>
          <w:p>
            <w:pPr>
              <w:spacing w:after="0"/>
              <w:rPr>
                <w:sz w:val="15"/>
                <w:szCs w:val="15"/>
                <w:color w:val="auto"/>
              </w:rPr>
            </w:pPr>
          </w:p>
        </w:tc>
        <w:tc>
          <w:tcPr>
            <w:tcW w:w="1260" w:type="dxa"/>
            <w:vAlign w:val="bottom"/>
            <w:shd w:val="clear" w:color="auto" w:fill="D8D8D8"/>
          </w:tcPr>
          <w:p>
            <w:pPr>
              <w:jc w:val="right"/>
              <w:spacing w:after="0"/>
              <w:rPr>
                <w:sz w:val="20"/>
                <w:szCs w:val="20"/>
                <w:color w:val="auto"/>
              </w:rPr>
            </w:pPr>
            <w:r>
              <w:rPr>
                <w:rFonts w:ascii="Arial" w:cs="Arial" w:eastAsia="Arial" w:hAnsi="Arial"/>
                <w:sz w:val="14"/>
                <w:szCs w:val="14"/>
                <w:color w:val="auto"/>
              </w:rPr>
              <w:t>30,022(3)</w:t>
            </w:r>
          </w:p>
        </w:tc>
        <w:tc>
          <w:tcPr>
            <w:tcW w:w="880" w:type="dxa"/>
            <w:vAlign w:val="bottom"/>
            <w:shd w:val="clear" w:color="auto" w:fill="D8D8D8"/>
          </w:tcPr>
          <w:p>
            <w:pPr>
              <w:jc w:val="right"/>
              <w:ind w:right="48"/>
              <w:spacing w:after="0"/>
              <w:rPr>
                <w:sz w:val="20"/>
                <w:szCs w:val="20"/>
                <w:color w:val="auto"/>
              </w:rPr>
            </w:pPr>
            <w:r>
              <w:rPr>
                <w:rFonts w:ascii="Arial" w:cs="Arial" w:eastAsia="Arial" w:hAnsi="Arial"/>
                <w:sz w:val="14"/>
                <w:szCs w:val="14"/>
                <w:color w:val="auto"/>
              </w:rPr>
              <w:t>73.28</w:t>
            </w:r>
          </w:p>
        </w:tc>
        <w:tc>
          <w:tcPr>
            <w:tcW w:w="940" w:type="dxa"/>
            <w:vAlign w:val="bottom"/>
            <w:gridSpan w:val="2"/>
            <w:shd w:val="clear" w:color="auto" w:fill="D8D8D8"/>
          </w:tcPr>
          <w:p>
            <w:pPr>
              <w:jc w:val="right"/>
              <w:ind w:right="120"/>
              <w:spacing w:after="0"/>
              <w:rPr>
                <w:sz w:val="20"/>
                <w:szCs w:val="20"/>
                <w:color w:val="auto"/>
              </w:rPr>
            </w:pPr>
            <w:r>
              <w:rPr>
                <w:rFonts w:ascii="Arial" w:cs="Arial" w:eastAsia="Arial" w:hAnsi="Arial"/>
                <w:sz w:val="14"/>
                <w:szCs w:val="14"/>
                <w:color w:val="auto"/>
              </w:rPr>
              <w:t>2/12/2025</w:t>
            </w:r>
          </w:p>
        </w:tc>
        <w:tc>
          <w:tcPr>
            <w:tcW w:w="1020" w:type="dxa"/>
            <w:vAlign w:val="bottom"/>
            <w:shd w:val="clear" w:color="auto" w:fill="D8D8D8"/>
          </w:tcPr>
          <w:p>
            <w:pPr>
              <w:spacing w:after="0"/>
              <w:rPr>
                <w:sz w:val="15"/>
                <w:szCs w:val="15"/>
                <w:color w:val="auto"/>
              </w:rPr>
            </w:pPr>
          </w:p>
        </w:tc>
        <w:tc>
          <w:tcPr>
            <w:tcW w:w="1060" w:type="dxa"/>
            <w:vAlign w:val="bottom"/>
            <w:shd w:val="clear" w:color="auto" w:fill="D8D8D8"/>
          </w:tcPr>
          <w:p>
            <w:pPr>
              <w:spacing w:after="0"/>
              <w:rPr>
                <w:sz w:val="15"/>
                <w:szCs w:val="15"/>
                <w:color w:val="auto"/>
              </w:rPr>
            </w:pPr>
          </w:p>
        </w:tc>
        <w:tc>
          <w:tcPr>
            <w:tcW w:w="1240" w:type="dxa"/>
            <w:vAlign w:val="bottom"/>
            <w:shd w:val="clear" w:color="auto" w:fill="D8D8D8"/>
          </w:tcPr>
          <w:p>
            <w:pPr>
              <w:spacing w:after="0"/>
              <w:rPr>
                <w:sz w:val="15"/>
                <w:szCs w:val="15"/>
                <w:color w:val="auto"/>
              </w:rPr>
            </w:pPr>
          </w:p>
        </w:tc>
        <w:tc>
          <w:tcPr>
            <w:tcW w:w="960" w:type="dxa"/>
            <w:vAlign w:val="bottom"/>
            <w:shd w:val="clear" w:color="auto" w:fill="D8D8D8"/>
          </w:tcPr>
          <w:p>
            <w:pPr>
              <w:spacing w:after="0"/>
              <w:rPr>
                <w:sz w:val="15"/>
                <w:szCs w:val="15"/>
                <w:color w:val="auto"/>
              </w:rPr>
            </w:pPr>
          </w:p>
        </w:tc>
        <w:tc>
          <w:tcPr>
            <w:tcW w:w="320" w:type="dxa"/>
            <w:vAlign w:val="bottom"/>
            <w:shd w:val="clear" w:color="auto" w:fill="D8D8D8"/>
          </w:tcPr>
          <w:p>
            <w:pPr>
              <w:spacing w:after="0"/>
              <w:rPr>
                <w:sz w:val="15"/>
                <w:szCs w:val="15"/>
                <w:color w:val="auto"/>
              </w:rPr>
            </w:pPr>
          </w:p>
        </w:tc>
      </w:tr>
      <w:tr>
        <w:trPr>
          <w:trHeight w:val="175"/>
        </w:trPr>
        <w:tc>
          <w:tcPr>
            <w:tcW w:w="2060" w:type="dxa"/>
            <w:vAlign w:val="bottom"/>
            <w:shd w:val="clear" w:color="auto" w:fill="D8D8D8"/>
          </w:tcPr>
          <w:p>
            <w:pPr>
              <w:spacing w:after="0"/>
              <w:rPr>
                <w:sz w:val="15"/>
                <w:szCs w:val="15"/>
                <w:color w:val="auto"/>
              </w:rPr>
            </w:pPr>
          </w:p>
        </w:tc>
        <w:tc>
          <w:tcPr>
            <w:tcW w:w="240" w:type="dxa"/>
            <w:vAlign w:val="bottom"/>
            <w:tcBorders>
              <w:right w:val="single" w:sz="8" w:color="D8D8D8"/>
            </w:tcBorders>
            <w:shd w:val="clear" w:color="auto" w:fill="D8D8D8"/>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24,239(4)</w:t>
            </w:r>
          </w:p>
        </w:tc>
        <w:tc>
          <w:tcPr>
            <w:tcW w:w="1260" w:type="dxa"/>
            <w:vAlign w:val="bottom"/>
          </w:tcPr>
          <w:p>
            <w:pPr>
              <w:spacing w:after="0"/>
              <w:rPr>
                <w:sz w:val="15"/>
                <w:szCs w:val="15"/>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82.51</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3/10/2024</w:t>
            </w:r>
          </w:p>
        </w:tc>
        <w:tc>
          <w:tcPr>
            <w:tcW w:w="10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75"/>
        </w:trPr>
        <w:tc>
          <w:tcPr>
            <w:tcW w:w="2060" w:type="dxa"/>
            <w:vAlign w:val="bottom"/>
            <w:shd w:val="clear" w:color="auto" w:fill="D8D8D8"/>
          </w:tcPr>
          <w:p>
            <w:pPr>
              <w:spacing w:after="0"/>
              <w:rPr>
                <w:sz w:val="15"/>
                <w:szCs w:val="15"/>
                <w:color w:val="auto"/>
              </w:rPr>
            </w:pPr>
          </w:p>
        </w:tc>
        <w:tc>
          <w:tcPr>
            <w:tcW w:w="240" w:type="dxa"/>
            <w:vAlign w:val="bottom"/>
            <w:tcBorders>
              <w:right w:val="single" w:sz="8" w:color="D8D8D8"/>
            </w:tcBorders>
            <w:shd w:val="clear" w:color="auto" w:fill="D8D8D8"/>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14,211(5)</w:t>
            </w:r>
          </w:p>
        </w:tc>
        <w:tc>
          <w:tcPr>
            <w:tcW w:w="1260" w:type="dxa"/>
            <w:vAlign w:val="bottom"/>
            <w:shd w:val="clear" w:color="auto" w:fill="D8D8D8"/>
          </w:tcPr>
          <w:p>
            <w:pPr>
              <w:spacing w:after="0"/>
              <w:rPr>
                <w:sz w:val="15"/>
                <w:szCs w:val="15"/>
                <w:color w:val="auto"/>
              </w:rPr>
            </w:pPr>
          </w:p>
        </w:tc>
        <w:tc>
          <w:tcPr>
            <w:tcW w:w="880" w:type="dxa"/>
            <w:vAlign w:val="bottom"/>
            <w:shd w:val="clear" w:color="auto" w:fill="D8D8D8"/>
          </w:tcPr>
          <w:p>
            <w:pPr>
              <w:jc w:val="right"/>
              <w:ind w:right="48"/>
              <w:spacing w:after="0"/>
              <w:rPr>
                <w:sz w:val="20"/>
                <w:szCs w:val="20"/>
                <w:color w:val="auto"/>
              </w:rPr>
            </w:pPr>
            <w:r>
              <w:rPr>
                <w:rFonts w:ascii="Arial" w:cs="Arial" w:eastAsia="Arial" w:hAnsi="Arial"/>
                <w:sz w:val="14"/>
                <w:szCs w:val="14"/>
                <w:color w:val="auto"/>
              </w:rPr>
              <w:t>63.33</w:t>
            </w:r>
          </w:p>
        </w:tc>
        <w:tc>
          <w:tcPr>
            <w:tcW w:w="940" w:type="dxa"/>
            <w:vAlign w:val="bottom"/>
            <w:gridSpan w:val="2"/>
            <w:shd w:val="clear" w:color="auto" w:fill="D8D8D8"/>
          </w:tcPr>
          <w:p>
            <w:pPr>
              <w:jc w:val="right"/>
              <w:ind w:right="120"/>
              <w:spacing w:after="0"/>
              <w:rPr>
                <w:sz w:val="20"/>
                <w:szCs w:val="20"/>
                <w:color w:val="auto"/>
              </w:rPr>
            </w:pPr>
            <w:r>
              <w:rPr>
                <w:rFonts w:ascii="Arial" w:cs="Arial" w:eastAsia="Arial" w:hAnsi="Arial"/>
                <w:sz w:val="14"/>
                <w:szCs w:val="14"/>
                <w:color w:val="auto"/>
              </w:rPr>
              <w:t>2/14/2023</w:t>
            </w:r>
          </w:p>
        </w:tc>
        <w:tc>
          <w:tcPr>
            <w:tcW w:w="1020" w:type="dxa"/>
            <w:vAlign w:val="bottom"/>
            <w:shd w:val="clear" w:color="auto" w:fill="D8D8D8"/>
          </w:tcPr>
          <w:p>
            <w:pPr>
              <w:spacing w:after="0"/>
              <w:rPr>
                <w:sz w:val="15"/>
                <w:szCs w:val="15"/>
                <w:color w:val="auto"/>
              </w:rPr>
            </w:pPr>
          </w:p>
        </w:tc>
        <w:tc>
          <w:tcPr>
            <w:tcW w:w="1060" w:type="dxa"/>
            <w:vAlign w:val="bottom"/>
            <w:shd w:val="clear" w:color="auto" w:fill="D8D8D8"/>
          </w:tcPr>
          <w:p>
            <w:pPr>
              <w:spacing w:after="0"/>
              <w:rPr>
                <w:sz w:val="15"/>
                <w:szCs w:val="15"/>
                <w:color w:val="auto"/>
              </w:rPr>
            </w:pPr>
          </w:p>
        </w:tc>
        <w:tc>
          <w:tcPr>
            <w:tcW w:w="1240" w:type="dxa"/>
            <w:vAlign w:val="bottom"/>
            <w:shd w:val="clear" w:color="auto" w:fill="D8D8D8"/>
          </w:tcPr>
          <w:p>
            <w:pPr>
              <w:spacing w:after="0"/>
              <w:rPr>
                <w:sz w:val="15"/>
                <w:szCs w:val="15"/>
                <w:color w:val="auto"/>
              </w:rPr>
            </w:pPr>
          </w:p>
        </w:tc>
        <w:tc>
          <w:tcPr>
            <w:tcW w:w="960" w:type="dxa"/>
            <w:vAlign w:val="bottom"/>
            <w:shd w:val="clear" w:color="auto" w:fill="D8D8D8"/>
          </w:tcPr>
          <w:p>
            <w:pPr>
              <w:spacing w:after="0"/>
              <w:rPr>
                <w:sz w:val="15"/>
                <w:szCs w:val="15"/>
                <w:color w:val="auto"/>
              </w:rPr>
            </w:pPr>
          </w:p>
        </w:tc>
        <w:tc>
          <w:tcPr>
            <w:tcW w:w="320" w:type="dxa"/>
            <w:vAlign w:val="bottom"/>
            <w:shd w:val="clear" w:color="auto" w:fill="D8D8D8"/>
          </w:tcPr>
          <w:p>
            <w:pPr>
              <w:spacing w:after="0"/>
              <w:rPr>
                <w:sz w:val="15"/>
                <w:szCs w:val="15"/>
                <w:color w:val="auto"/>
              </w:rPr>
            </w:pPr>
          </w:p>
        </w:tc>
      </w:tr>
      <w:tr>
        <w:trPr>
          <w:trHeight w:val="175"/>
        </w:trPr>
        <w:tc>
          <w:tcPr>
            <w:tcW w:w="2060" w:type="dxa"/>
            <w:vAlign w:val="bottom"/>
            <w:shd w:val="clear" w:color="auto" w:fill="D8D8D8"/>
          </w:tcPr>
          <w:p>
            <w:pPr>
              <w:spacing w:after="0"/>
              <w:rPr>
                <w:sz w:val="15"/>
                <w:szCs w:val="15"/>
                <w:color w:val="auto"/>
              </w:rPr>
            </w:pPr>
          </w:p>
        </w:tc>
        <w:tc>
          <w:tcPr>
            <w:tcW w:w="240" w:type="dxa"/>
            <w:vAlign w:val="bottom"/>
            <w:tcBorders>
              <w:right w:val="single" w:sz="8" w:color="D8D8D8"/>
            </w:tcBorders>
            <w:shd w:val="clear" w:color="auto" w:fill="D8D8D8"/>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15,620(6)</w:t>
            </w:r>
          </w:p>
        </w:tc>
        <w:tc>
          <w:tcPr>
            <w:tcW w:w="1260" w:type="dxa"/>
            <w:vAlign w:val="bottom"/>
            <w:shd w:val="clear" w:color="auto" w:fill="D8D8D8"/>
          </w:tcPr>
          <w:p>
            <w:pPr>
              <w:spacing w:after="0"/>
              <w:rPr>
                <w:sz w:val="15"/>
                <w:szCs w:val="15"/>
                <w:color w:val="auto"/>
              </w:rPr>
            </w:pPr>
          </w:p>
        </w:tc>
        <w:tc>
          <w:tcPr>
            <w:tcW w:w="880" w:type="dxa"/>
            <w:vAlign w:val="bottom"/>
            <w:shd w:val="clear" w:color="auto" w:fill="D8D8D8"/>
          </w:tcPr>
          <w:p>
            <w:pPr>
              <w:jc w:val="right"/>
              <w:ind w:right="48"/>
              <w:spacing w:after="0"/>
              <w:rPr>
                <w:sz w:val="20"/>
                <w:szCs w:val="20"/>
                <w:color w:val="auto"/>
              </w:rPr>
            </w:pPr>
            <w:r>
              <w:rPr>
                <w:rFonts w:ascii="Arial" w:cs="Arial" w:eastAsia="Arial" w:hAnsi="Arial"/>
                <w:sz w:val="14"/>
                <w:szCs w:val="14"/>
                <w:color w:val="auto"/>
              </w:rPr>
              <w:t>57.62</w:t>
            </w:r>
          </w:p>
        </w:tc>
        <w:tc>
          <w:tcPr>
            <w:tcW w:w="940" w:type="dxa"/>
            <w:vAlign w:val="bottom"/>
            <w:gridSpan w:val="2"/>
            <w:shd w:val="clear" w:color="auto" w:fill="D8D8D8"/>
          </w:tcPr>
          <w:p>
            <w:pPr>
              <w:jc w:val="right"/>
              <w:ind w:right="120"/>
              <w:spacing w:after="0"/>
              <w:rPr>
                <w:sz w:val="20"/>
                <w:szCs w:val="20"/>
                <w:color w:val="auto"/>
              </w:rPr>
            </w:pPr>
            <w:r>
              <w:rPr>
                <w:rFonts w:ascii="Arial" w:cs="Arial" w:eastAsia="Arial" w:hAnsi="Arial"/>
                <w:sz w:val="14"/>
                <w:szCs w:val="14"/>
                <w:color w:val="auto"/>
              </w:rPr>
              <w:t>2/9/2022</w:t>
            </w:r>
          </w:p>
        </w:tc>
        <w:tc>
          <w:tcPr>
            <w:tcW w:w="1020" w:type="dxa"/>
            <w:vAlign w:val="bottom"/>
            <w:shd w:val="clear" w:color="auto" w:fill="D8D8D8"/>
          </w:tcPr>
          <w:p>
            <w:pPr>
              <w:spacing w:after="0"/>
              <w:rPr>
                <w:sz w:val="15"/>
                <w:szCs w:val="15"/>
                <w:color w:val="auto"/>
              </w:rPr>
            </w:pPr>
          </w:p>
        </w:tc>
        <w:tc>
          <w:tcPr>
            <w:tcW w:w="1060" w:type="dxa"/>
            <w:vAlign w:val="bottom"/>
            <w:shd w:val="clear" w:color="auto" w:fill="D8D8D8"/>
          </w:tcPr>
          <w:p>
            <w:pPr>
              <w:spacing w:after="0"/>
              <w:rPr>
                <w:sz w:val="15"/>
                <w:szCs w:val="15"/>
                <w:color w:val="auto"/>
              </w:rPr>
            </w:pPr>
          </w:p>
        </w:tc>
        <w:tc>
          <w:tcPr>
            <w:tcW w:w="1240" w:type="dxa"/>
            <w:vAlign w:val="bottom"/>
            <w:shd w:val="clear" w:color="auto" w:fill="D8D8D8"/>
          </w:tcPr>
          <w:p>
            <w:pPr>
              <w:spacing w:after="0"/>
              <w:rPr>
                <w:sz w:val="15"/>
                <w:szCs w:val="15"/>
                <w:color w:val="auto"/>
              </w:rPr>
            </w:pPr>
          </w:p>
        </w:tc>
        <w:tc>
          <w:tcPr>
            <w:tcW w:w="960" w:type="dxa"/>
            <w:vAlign w:val="bottom"/>
            <w:shd w:val="clear" w:color="auto" w:fill="D8D8D8"/>
          </w:tcPr>
          <w:p>
            <w:pPr>
              <w:spacing w:after="0"/>
              <w:rPr>
                <w:sz w:val="15"/>
                <w:szCs w:val="15"/>
                <w:color w:val="auto"/>
              </w:rPr>
            </w:pPr>
          </w:p>
        </w:tc>
        <w:tc>
          <w:tcPr>
            <w:tcW w:w="320" w:type="dxa"/>
            <w:vAlign w:val="bottom"/>
            <w:shd w:val="clear" w:color="auto" w:fill="D8D8D8"/>
          </w:tcPr>
          <w:p>
            <w:pPr>
              <w:spacing w:after="0"/>
              <w:rPr>
                <w:sz w:val="15"/>
                <w:szCs w:val="15"/>
                <w:color w:val="auto"/>
              </w:rPr>
            </w:pPr>
          </w:p>
        </w:tc>
      </w:tr>
      <w:tr>
        <w:trPr>
          <w:trHeight w:val="175"/>
        </w:trPr>
        <w:tc>
          <w:tcPr>
            <w:tcW w:w="2060" w:type="dxa"/>
            <w:vAlign w:val="bottom"/>
            <w:shd w:val="clear" w:color="auto" w:fill="D8D8D8"/>
          </w:tcPr>
          <w:p>
            <w:pPr>
              <w:spacing w:after="0"/>
              <w:rPr>
                <w:sz w:val="15"/>
                <w:szCs w:val="15"/>
                <w:color w:val="auto"/>
              </w:rPr>
            </w:pPr>
          </w:p>
        </w:tc>
        <w:tc>
          <w:tcPr>
            <w:tcW w:w="240" w:type="dxa"/>
            <w:vAlign w:val="bottom"/>
            <w:tcBorders>
              <w:right w:val="single" w:sz="8" w:color="D8D8D8"/>
            </w:tcBorders>
            <w:shd w:val="clear" w:color="auto" w:fill="D8D8D8"/>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15,336(7)</w:t>
            </w:r>
          </w:p>
        </w:tc>
        <w:tc>
          <w:tcPr>
            <w:tcW w:w="1260" w:type="dxa"/>
            <w:vAlign w:val="bottom"/>
            <w:shd w:val="clear" w:color="auto" w:fill="D8D8D8"/>
          </w:tcPr>
          <w:p>
            <w:pPr>
              <w:spacing w:after="0"/>
              <w:rPr>
                <w:sz w:val="15"/>
                <w:szCs w:val="15"/>
                <w:color w:val="auto"/>
              </w:rPr>
            </w:pPr>
          </w:p>
        </w:tc>
        <w:tc>
          <w:tcPr>
            <w:tcW w:w="880" w:type="dxa"/>
            <w:vAlign w:val="bottom"/>
            <w:shd w:val="clear" w:color="auto" w:fill="D8D8D8"/>
          </w:tcPr>
          <w:p>
            <w:pPr>
              <w:jc w:val="right"/>
              <w:ind w:right="48"/>
              <w:spacing w:after="0"/>
              <w:rPr>
                <w:sz w:val="20"/>
                <w:szCs w:val="20"/>
                <w:color w:val="auto"/>
              </w:rPr>
            </w:pPr>
            <w:r>
              <w:rPr>
                <w:rFonts w:ascii="Arial" w:cs="Arial" w:eastAsia="Arial" w:hAnsi="Arial"/>
                <w:sz w:val="14"/>
                <w:szCs w:val="14"/>
                <w:color w:val="auto"/>
              </w:rPr>
              <w:t>58.69</w:t>
            </w:r>
          </w:p>
        </w:tc>
        <w:tc>
          <w:tcPr>
            <w:tcW w:w="940" w:type="dxa"/>
            <w:vAlign w:val="bottom"/>
            <w:gridSpan w:val="2"/>
            <w:shd w:val="clear" w:color="auto" w:fill="D8D8D8"/>
          </w:tcPr>
          <w:p>
            <w:pPr>
              <w:jc w:val="right"/>
              <w:ind w:right="120"/>
              <w:spacing w:after="0"/>
              <w:rPr>
                <w:sz w:val="20"/>
                <w:szCs w:val="20"/>
                <w:color w:val="auto"/>
              </w:rPr>
            </w:pPr>
            <w:r>
              <w:rPr>
                <w:rFonts w:ascii="Arial" w:cs="Arial" w:eastAsia="Arial" w:hAnsi="Arial"/>
                <w:sz w:val="14"/>
                <w:szCs w:val="14"/>
                <w:color w:val="auto"/>
              </w:rPr>
              <w:t>2/10/2021</w:t>
            </w:r>
          </w:p>
        </w:tc>
        <w:tc>
          <w:tcPr>
            <w:tcW w:w="1020" w:type="dxa"/>
            <w:vAlign w:val="bottom"/>
            <w:shd w:val="clear" w:color="auto" w:fill="D8D8D8"/>
          </w:tcPr>
          <w:p>
            <w:pPr>
              <w:spacing w:after="0"/>
              <w:rPr>
                <w:sz w:val="15"/>
                <w:szCs w:val="15"/>
                <w:color w:val="auto"/>
              </w:rPr>
            </w:pPr>
          </w:p>
        </w:tc>
        <w:tc>
          <w:tcPr>
            <w:tcW w:w="1060" w:type="dxa"/>
            <w:vAlign w:val="bottom"/>
            <w:shd w:val="clear" w:color="auto" w:fill="D8D8D8"/>
          </w:tcPr>
          <w:p>
            <w:pPr>
              <w:spacing w:after="0"/>
              <w:rPr>
                <w:sz w:val="15"/>
                <w:szCs w:val="15"/>
                <w:color w:val="auto"/>
              </w:rPr>
            </w:pPr>
          </w:p>
        </w:tc>
        <w:tc>
          <w:tcPr>
            <w:tcW w:w="1240" w:type="dxa"/>
            <w:vAlign w:val="bottom"/>
            <w:shd w:val="clear" w:color="auto" w:fill="D8D8D8"/>
          </w:tcPr>
          <w:p>
            <w:pPr>
              <w:spacing w:after="0"/>
              <w:rPr>
                <w:sz w:val="15"/>
                <w:szCs w:val="15"/>
                <w:color w:val="auto"/>
              </w:rPr>
            </w:pPr>
          </w:p>
        </w:tc>
        <w:tc>
          <w:tcPr>
            <w:tcW w:w="960" w:type="dxa"/>
            <w:vAlign w:val="bottom"/>
            <w:shd w:val="clear" w:color="auto" w:fill="D8D8D8"/>
          </w:tcPr>
          <w:p>
            <w:pPr>
              <w:spacing w:after="0"/>
              <w:rPr>
                <w:sz w:val="15"/>
                <w:szCs w:val="15"/>
                <w:color w:val="auto"/>
              </w:rPr>
            </w:pPr>
          </w:p>
        </w:tc>
        <w:tc>
          <w:tcPr>
            <w:tcW w:w="320" w:type="dxa"/>
            <w:vAlign w:val="bottom"/>
            <w:shd w:val="clear" w:color="auto" w:fill="D8D8D8"/>
          </w:tcPr>
          <w:p>
            <w:pPr>
              <w:spacing w:after="0"/>
              <w:rPr>
                <w:sz w:val="15"/>
                <w:szCs w:val="15"/>
                <w:color w:val="auto"/>
              </w:rPr>
            </w:pPr>
          </w:p>
        </w:tc>
      </w:tr>
      <w:tr>
        <w:trPr>
          <w:trHeight w:val="175"/>
        </w:trPr>
        <w:tc>
          <w:tcPr>
            <w:tcW w:w="2060" w:type="dxa"/>
            <w:vAlign w:val="bottom"/>
            <w:shd w:val="clear" w:color="auto" w:fill="D8D8D8"/>
          </w:tcPr>
          <w:p>
            <w:pPr>
              <w:spacing w:after="0"/>
              <w:rPr>
                <w:sz w:val="15"/>
                <w:szCs w:val="15"/>
                <w:color w:val="auto"/>
              </w:rPr>
            </w:pPr>
          </w:p>
        </w:tc>
        <w:tc>
          <w:tcPr>
            <w:tcW w:w="240" w:type="dxa"/>
            <w:vAlign w:val="bottom"/>
            <w:tcBorders>
              <w:right w:val="single" w:sz="8" w:color="D8D8D8"/>
            </w:tcBorders>
            <w:shd w:val="clear" w:color="auto" w:fill="D8D8D8"/>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23,816(8)</w:t>
            </w:r>
          </w:p>
        </w:tc>
        <w:tc>
          <w:tcPr>
            <w:tcW w:w="1260" w:type="dxa"/>
            <w:vAlign w:val="bottom"/>
            <w:shd w:val="clear" w:color="auto" w:fill="D8D8D8"/>
          </w:tcPr>
          <w:p>
            <w:pPr>
              <w:spacing w:after="0"/>
              <w:rPr>
                <w:sz w:val="15"/>
                <w:szCs w:val="15"/>
                <w:color w:val="auto"/>
              </w:rPr>
            </w:pPr>
          </w:p>
        </w:tc>
        <w:tc>
          <w:tcPr>
            <w:tcW w:w="880" w:type="dxa"/>
            <w:vAlign w:val="bottom"/>
            <w:shd w:val="clear" w:color="auto" w:fill="D8D8D8"/>
          </w:tcPr>
          <w:p>
            <w:pPr>
              <w:jc w:val="right"/>
              <w:ind w:right="48"/>
              <w:spacing w:after="0"/>
              <w:rPr>
                <w:sz w:val="20"/>
                <w:szCs w:val="20"/>
                <w:color w:val="auto"/>
              </w:rPr>
            </w:pPr>
            <w:r>
              <w:rPr>
                <w:rFonts w:ascii="Arial" w:cs="Arial" w:eastAsia="Arial" w:hAnsi="Arial"/>
                <w:sz w:val="14"/>
                <w:szCs w:val="14"/>
                <w:color w:val="auto"/>
              </w:rPr>
              <w:t>37.79</w:t>
            </w:r>
          </w:p>
        </w:tc>
        <w:tc>
          <w:tcPr>
            <w:tcW w:w="940" w:type="dxa"/>
            <w:vAlign w:val="bottom"/>
            <w:gridSpan w:val="2"/>
            <w:shd w:val="clear" w:color="auto" w:fill="D8D8D8"/>
          </w:tcPr>
          <w:p>
            <w:pPr>
              <w:jc w:val="right"/>
              <w:ind w:right="120"/>
              <w:spacing w:after="0"/>
              <w:rPr>
                <w:sz w:val="20"/>
                <w:szCs w:val="20"/>
                <w:color w:val="auto"/>
              </w:rPr>
            </w:pPr>
            <w:r>
              <w:rPr>
                <w:rFonts w:ascii="Arial" w:cs="Arial" w:eastAsia="Arial" w:hAnsi="Arial"/>
                <w:sz w:val="14"/>
                <w:szCs w:val="14"/>
                <w:color w:val="auto"/>
              </w:rPr>
              <w:t>2/11/2020</w:t>
            </w:r>
          </w:p>
        </w:tc>
        <w:tc>
          <w:tcPr>
            <w:tcW w:w="1020" w:type="dxa"/>
            <w:vAlign w:val="bottom"/>
            <w:shd w:val="clear" w:color="auto" w:fill="D8D8D8"/>
          </w:tcPr>
          <w:p>
            <w:pPr>
              <w:spacing w:after="0"/>
              <w:rPr>
                <w:sz w:val="15"/>
                <w:szCs w:val="15"/>
                <w:color w:val="auto"/>
              </w:rPr>
            </w:pPr>
          </w:p>
        </w:tc>
        <w:tc>
          <w:tcPr>
            <w:tcW w:w="1060" w:type="dxa"/>
            <w:vAlign w:val="bottom"/>
            <w:shd w:val="clear" w:color="auto" w:fill="D8D8D8"/>
          </w:tcPr>
          <w:p>
            <w:pPr>
              <w:spacing w:after="0"/>
              <w:rPr>
                <w:sz w:val="15"/>
                <w:szCs w:val="15"/>
                <w:color w:val="auto"/>
              </w:rPr>
            </w:pPr>
          </w:p>
        </w:tc>
        <w:tc>
          <w:tcPr>
            <w:tcW w:w="1240" w:type="dxa"/>
            <w:vAlign w:val="bottom"/>
            <w:shd w:val="clear" w:color="auto" w:fill="D8D8D8"/>
          </w:tcPr>
          <w:p>
            <w:pPr>
              <w:spacing w:after="0"/>
              <w:rPr>
                <w:sz w:val="15"/>
                <w:szCs w:val="15"/>
                <w:color w:val="auto"/>
              </w:rPr>
            </w:pPr>
          </w:p>
        </w:tc>
        <w:tc>
          <w:tcPr>
            <w:tcW w:w="960" w:type="dxa"/>
            <w:vAlign w:val="bottom"/>
            <w:shd w:val="clear" w:color="auto" w:fill="D8D8D8"/>
          </w:tcPr>
          <w:p>
            <w:pPr>
              <w:spacing w:after="0"/>
              <w:rPr>
                <w:sz w:val="15"/>
                <w:szCs w:val="15"/>
                <w:color w:val="auto"/>
              </w:rPr>
            </w:pPr>
          </w:p>
        </w:tc>
        <w:tc>
          <w:tcPr>
            <w:tcW w:w="320" w:type="dxa"/>
            <w:vAlign w:val="bottom"/>
            <w:shd w:val="clear" w:color="auto" w:fill="D8D8D8"/>
          </w:tcPr>
          <w:p>
            <w:pPr>
              <w:spacing w:after="0"/>
              <w:rPr>
                <w:sz w:val="15"/>
                <w:szCs w:val="15"/>
                <w:color w:val="auto"/>
              </w:rPr>
            </w:pPr>
          </w:p>
        </w:tc>
      </w:tr>
      <w:tr>
        <w:trPr>
          <w:trHeight w:val="175"/>
        </w:trPr>
        <w:tc>
          <w:tcPr>
            <w:tcW w:w="2060" w:type="dxa"/>
            <w:vAlign w:val="bottom"/>
            <w:shd w:val="clear" w:color="auto" w:fill="D8D8D8"/>
          </w:tcPr>
          <w:p>
            <w:pPr>
              <w:spacing w:after="0"/>
              <w:rPr>
                <w:sz w:val="15"/>
                <w:szCs w:val="15"/>
                <w:color w:val="auto"/>
              </w:rPr>
            </w:pPr>
          </w:p>
        </w:tc>
        <w:tc>
          <w:tcPr>
            <w:tcW w:w="240" w:type="dxa"/>
            <w:vAlign w:val="bottom"/>
            <w:tcBorders>
              <w:right w:val="single" w:sz="8" w:color="D8D8D8"/>
            </w:tcBorders>
            <w:shd w:val="clear" w:color="auto" w:fill="D8D8D8"/>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shd w:val="clear" w:color="auto" w:fill="D8D8D8"/>
          </w:tcPr>
          <w:p>
            <w:pPr>
              <w:spacing w:after="0"/>
              <w:rPr>
                <w:sz w:val="15"/>
                <w:szCs w:val="15"/>
                <w:color w:val="auto"/>
              </w:rPr>
            </w:pPr>
          </w:p>
        </w:tc>
        <w:tc>
          <w:tcPr>
            <w:tcW w:w="880" w:type="dxa"/>
            <w:vAlign w:val="bottom"/>
            <w:shd w:val="clear" w:color="auto" w:fill="D8D8D8"/>
          </w:tcPr>
          <w:p>
            <w:pPr>
              <w:spacing w:after="0"/>
              <w:rPr>
                <w:sz w:val="15"/>
                <w:szCs w:val="15"/>
                <w:color w:val="auto"/>
              </w:rPr>
            </w:pPr>
          </w:p>
        </w:tc>
        <w:tc>
          <w:tcPr>
            <w:tcW w:w="820" w:type="dxa"/>
            <w:vAlign w:val="bottom"/>
            <w:shd w:val="clear" w:color="auto" w:fill="D8D8D8"/>
          </w:tcPr>
          <w:p>
            <w:pPr>
              <w:spacing w:after="0"/>
              <w:rPr>
                <w:sz w:val="15"/>
                <w:szCs w:val="15"/>
                <w:color w:val="auto"/>
              </w:rPr>
            </w:pPr>
          </w:p>
        </w:tc>
        <w:tc>
          <w:tcPr>
            <w:tcW w:w="120" w:type="dxa"/>
            <w:vAlign w:val="bottom"/>
            <w:shd w:val="clear" w:color="auto" w:fill="D8D8D8"/>
          </w:tcPr>
          <w:p>
            <w:pPr>
              <w:spacing w:after="0"/>
              <w:rPr>
                <w:sz w:val="15"/>
                <w:szCs w:val="15"/>
                <w:color w:val="auto"/>
              </w:rPr>
            </w:pPr>
          </w:p>
        </w:tc>
        <w:tc>
          <w:tcPr>
            <w:tcW w:w="1020" w:type="dxa"/>
            <w:vAlign w:val="bottom"/>
            <w:shd w:val="clear" w:color="auto" w:fill="D8D8D8"/>
          </w:tcPr>
          <w:p>
            <w:pPr>
              <w:jc w:val="right"/>
              <w:spacing w:after="0"/>
              <w:rPr>
                <w:sz w:val="20"/>
                <w:szCs w:val="20"/>
                <w:color w:val="auto"/>
              </w:rPr>
            </w:pPr>
            <w:r>
              <w:rPr>
                <w:rFonts w:ascii="Arial" w:cs="Arial" w:eastAsia="Arial" w:hAnsi="Arial"/>
                <w:sz w:val="14"/>
                <w:szCs w:val="14"/>
                <w:color w:val="auto"/>
              </w:rPr>
              <w:t>2,775(10)</w:t>
            </w:r>
          </w:p>
        </w:tc>
        <w:tc>
          <w:tcPr>
            <w:tcW w:w="1060" w:type="dxa"/>
            <w:vAlign w:val="bottom"/>
            <w:shd w:val="clear" w:color="auto" w:fill="D8D8D8"/>
          </w:tcPr>
          <w:p>
            <w:pPr>
              <w:jc w:val="right"/>
              <w:ind w:right="8"/>
              <w:spacing w:after="0"/>
              <w:rPr>
                <w:sz w:val="20"/>
                <w:szCs w:val="20"/>
                <w:color w:val="auto"/>
              </w:rPr>
            </w:pPr>
            <w:r>
              <w:rPr>
                <w:rFonts w:ascii="Arial" w:cs="Arial" w:eastAsia="Arial" w:hAnsi="Arial"/>
                <w:sz w:val="14"/>
                <w:szCs w:val="14"/>
                <w:color w:val="auto"/>
              </w:rPr>
              <w:t>280,247(13)</w:t>
            </w:r>
          </w:p>
        </w:tc>
        <w:tc>
          <w:tcPr>
            <w:tcW w:w="1240" w:type="dxa"/>
            <w:vAlign w:val="bottom"/>
            <w:shd w:val="clear" w:color="auto" w:fill="D8D8D8"/>
          </w:tcPr>
          <w:p>
            <w:pPr>
              <w:ind w:left="500"/>
              <w:spacing w:after="0"/>
              <w:rPr>
                <w:sz w:val="20"/>
                <w:szCs w:val="20"/>
                <w:color w:val="auto"/>
              </w:rPr>
            </w:pPr>
            <w:r>
              <w:rPr>
                <w:rFonts w:ascii="Arial" w:cs="Arial" w:eastAsia="Arial" w:hAnsi="Arial"/>
                <w:sz w:val="14"/>
                <w:szCs w:val="14"/>
                <w:color w:val="auto"/>
              </w:rPr>
              <w:t>16,648(14)</w:t>
            </w:r>
          </w:p>
        </w:tc>
        <w:tc>
          <w:tcPr>
            <w:tcW w:w="1280" w:type="dxa"/>
            <w:vAlign w:val="bottom"/>
            <w:gridSpan w:val="2"/>
            <w:shd w:val="clear" w:color="auto" w:fill="D8D8D8"/>
          </w:tcPr>
          <w:p>
            <w:pPr>
              <w:ind w:left="320"/>
              <w:spacing w:after="0"/>
              <w:rPr>
                <w:sz w:val="20"/>
                <w:szCs w:val="20"/>
                <w:color w:val="auto"/>
              </w:rPr>
            </w:pPr>
            <w:r>
              <w:rPr>
                <w:rFonts w:ascii="Arial" w:cs="Arial" w:eastAsia="Arial" w:hAnsi="Arial"/>
                <w:sz w:val="14"/>
                <w:szCs w:val="14"/>
                <w:color w:val="auto"/>
              </w:rPr>
              <w:t>1,681,282(16)</w:t>
            </w:r>
          </w:p>
        </w:tc>
      </w:tr>
      <w:tr>
        <w:trPr>
          <w:trHeight w:val="175"/>
        </w:trPr>
        <w:tc>
          <w:tcPr>
            <w:tcW w:w="2060" w:type="dxa"/>
            <w:vAlign w:val="bottom"/>
            <w:shd w:val="clear" w:color="auto" w:fill="D8D8D8"/>
          </w:tcPr>
          <w:p>
            <w:pPr>
              <w:spacing w:after="0"/>
              <w:rPr>
                <w:sz w:val="15"/>
                <w:szCs w:val="15"/>
                <w:color w:val="auto"/>
              </w:rPr>
            </w:pPr>
          </w:p>
        </w:tc>
        <w:tc>
          <w:tcPr>
            <w:tcW w:w="240" w:type="dxa"/>
            <w:vAlign w:val="bottom"/>
            <w:tcBorders>
              <w:right w:val="single" w:sz="8" w:color="D8D8D8"/>
            </w:tcBorders>
            <w:shd w:val="clear" w:color="auto" w:fill="D8D8D8"/>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shd w:val="clear" w:color="auto" w:fill="D8D8D8"/>
          </w:tcPr>
          <w:p>
            <w:pPr>
              <w:spacing w:after="0"/>
              <w:rPr>
                <w:sz w:val="15"/>
                <w:szCs w:val="15"/>
                <w:color w:val="auto"/>
              </w:rPr>
            </w:pPr>
          </w:p>
        </w:tc>
        <w:tc>
          <w:tcPr>
            <w:tcW w:w="880" w:type="dxa"/>
            <w:vAlign w:val="bottom"/>
            <w:shd w:val="clear" w:color="auto" w:fill="D8D8D8"/>
          </w:tcPr>
          <w:p>
            <w:pPr>
              <w:spacing w:after="0"/>
              <w:rPr>
                <w:sz w:val="15"/>
                <w:szCs w:val="15"/>
                <w:color w:val="auto"/>
              </w:rPr>
            </w:pPr>
          </w:p>
        </w:tc>
        <w:tc>
          <w:tcPr>
            <w:tcW w:w="820" w:type="dxa"/>
            <w:vAlign w:val="bottom"/>
            <w:shd w:val="clear" w:color="auto" w:fill="D8D8D8"/>
          </w:tcPr>
          <w:p>
            <w:pPr>
              <w:spacing w:after="0"/>
              <w:rPr>
                <w:sz w:val="15"/>
                <w:szCs w:val="15"/>
                <w:color w:val="auto"/>
              </w:rPr>
            </w:pPr>
          </w:p>
        </w:tc>
        <w:tc>
          <w:tcPr>
            <w:tcW w:w="120" w:type="dxa"/>
            <w:vAlign w:val="bottom"/>
            <w:shd w:val="clear" w:color="auto" w:fill="D8D8D8"/>
          </w:tcPr>
          <w:p>
            <w:pPr>
              <w:spacing w:after="0"/>
              <w:rPr>
                <w:sz w:val="15"/>
                <w:szCs w:val="15"/>
                <w:color w:val="auto"/>
              </w:rPr>
            </w:pPr>
          </w:p>
        </w:tc>
        <w:tc>
          <w:tcPr>
            <w:tcW w:w="1020" w:type="dxa"/>
            <w:vAlign w:val="bottom"/>
            <w:shd w:val="clear" w:color="auto" w:fill="D8D8D8"/>
          </w:tcPr>
          <w:p>
            <w:pPr>
              <w:jc w:val="right"/>
              <w:spacing w:after="0"/>
              <w:rPr>
                <w:sz w:val="20"/>
                <w:szCs w:val="20"/>
                <w:color w:val="auto"/>
              </w:rPr>
            </w:pPr>
            <w:r>
              <w:rPr>
                <w:rFonts w:ascii="Arial" w:cs="Arial" w:eastAsia="Arial" w:hAnsi="Arial"/>
                <w:sz w:val="14"/>
                <w:szCs w:val="14"/>
                <w:color w:val="auto"/>
              </w:rPr>
              <w:t>2,562(11)</w:t>
            </w:r>
          </w:p>
        </w:tc>
        <w:tc>
          <w:tcPr>
            <w:tcW w:w="1060" w:type="dxa"/>
            <w:vAlign w:val="bottom"/>
            <w:shd w:val="clear" w:color="auto" w:fill="D8D8D8"/>
          </w:tcPr>
          <w:p>
            <w:pPr>
              <w:jc w:val="right"/>
              <w:ind w:right="8"/>
              <w:spacing w:after="0"/>
              <w:rPr>
                <w:sz w:val="20"/>
                <w:szCs w:val="20"/>
                <w:color w:val="auto"/>
              </w:rPr>
            </w:pPr>
            <w:r>
              <w:rPr>
                <w:rFonts w:ascii="Arial" w:cs="Arial" w:eastAsia="Arial" w:hAnsi="Arial"/>
                <w:sz w:val="14"/>
                <w:szCs w:val="14"/>
                <w:color w:val="auto"/>
              </w:rPr>
              <w:t>258,736(13)</w:t>
            </w:r>
          </w:p>
        </w:tc>
        <w:tc>
          <w:tcPr>
            <w:tcW w:w="1240" w:type="dxa"/>
            <w:vAlign w:val="bottom"/>
            <w:shd w:val="clear" w:color="auto" w:fill="D8D8D8"/>
          </w:tcPr>
          <w:p>
            <w:pPr>
              <w:ind w:left="500"/>
              <w:spacing w:after="0"/>
              <w:rPr>
                <w:sz w:val="20"/>
                <w:szCs w:val="20"/>
                <w:color w:val="auto"/>
              </w:rPr>
            </w:pPr>
            <w:r>
              <w:rPr>
                <w:rFonts w:ascii="Arial" w:cs="Arial" w:eastAsia="Arial" w:hAnsi="Arial"/>
                <w:sz w:val="14"/>
                <w:szCs w:val="14"/>
                <w:color w:val="auto"/>
              </w:rPr>
              <w:t>23,056(15)</w:t>
            </w:r>
          </w:p>
        </w:tc>
        <w:tc>
          <w:tcPr>
            <w:tcW w:w="1280" w:type="dxa"/>
            <w:vAlign w:val="bottom"/>
            <w:gridSpan w:val="2"/>
            <w:shd w:val="clear" w:color="auto" w:fill="D8D8D8"/>
          </w:tcPr>
          <w:p>
            <w:pPr>
              <w:ind w:left="320"/>
              <w:spacing w:after="0"/>
              <w:rPr>
                <w:sz w:val="20"/>
                <w:szCs w:val="20"/>
                <w:color w:val="auto"/>
              </w:rPr>
            </w:pPr>
            <w:r>
              <w:rPr>
                <w:rFonts w:ascii="Arial" w:cs="Arial" w:eastAsia="Arial" w:hAnsi="Arial"/>
                <w:sz w:val="14"/>
                <w:szCs w:val="14"/>
                <w:color w:val="auto"/>
              </w:rPr>
              <w:t>2,328,425(16)</w:t>
            </w:r>
          </w:p>
        </w:tc>
      </w:tr>
      <w:tr>
        <w:trPr>
          <w:trHeight w:val="175"/>
        </w:trPr>
        <w:tc>
          <w:tcPr>
            <w:tcW w:w="2060" w:type="dxa"/>
            <w:vAlign w:val="bottom"/>
            <w:tcBorders>
              <w:bottom w:val="single" w:sz="8" w:color="auto"/>
            </w:tcBorders>
            <w:shd w:val="clear" w:color="auto" w:fill="D8D8D8"/>
          </w:tcPr>
          <w:p>
            <w:pPr>
              <w:spacing w:after="0"/>
              <w:rPr>
                <w:sz w:val="15"/>
                <w:szCs w:val="15"/>
                <w:color w:val="auto"/>
              </w:rPr>
            </w:pPr>
          </w:p>
        </w:tc>
        <w:tc>
          <w:tcPr>
            <w:tcW w:w="240" w:type="dxa"/>
            <w:vAlign w:val="bottom"/>
            <w:tcBorders>
              <w:bottom w:val="single" w:sz="8" w:color="auto"/>
              <w:right w:val="single" w:sz="8" w:color="D8D8D8"/>
            </w:tcBorders>
            <w:shd w:val="clear" w:color="auto" w:fill="D8D8D8"/>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shd w:val="clear" w:color="auto" w:fill="D8D8D8"/>
          </w:tcPr>
          <w:p>
            <w:pPr>
              <w:spacing w:after="0"/>
              <w:rPr>
                <w:sz w:val="15"/>
                <w:szCs w:val="15"/>
                <w:color w:val="auto"/>
              </w:rPr>
            </w:pPr>
          </w:p>
        </w:tc>
        <w:tc>
          <w:tcPr>
            <w:tcW w:w="880" w:type="dxa"/>
            <w:vAlign w:val="bottom"/>
            <w:tcBorders>
              <w:bottom w:val="single" w:sz="8" w:color="auto"/>
            </w:tcBorders>
            <w:shd w:val="clear" w:color="auto" w:fill="D8D8D8"/>
          </w:tcPr>
          <w:p>
            <w:pPr>
              <w:spacing w:after="0"/>
              <w:rPr>
                <w:sz w:val="15"/>
                <w:szCs w:val="15"/>
                <w:color w:val="auto"/>
              </w:rPr>
            </w:pPr>
          </w:p>
        </w:tc>
        <w:tc>
          <w:tcPr>
            <w:tcW w:w="820" w:type="dxa"/>
            <w:vAlign w:val="bottom"/>
            <w:tcBorders>
              <w:bottom w:val="single" w:sz="8" w:color="auto"/>
            </w:tcBorders>
            <w:shd w:val="clear" w:color="auto" w:fill="D8D8D8"/>
          </w:tcPr>
          <w:p>
            <w:pPr>
              <w:spacing w:after="0"/>
              <w:rPr>
                <w:sz w:val="15"/>
                <w:szCs w:val="15"/>
                <w:color w:val="auto"/>
              </w:rPr>
            </w:pPr>
          </w:p>
        </w:tc>
        <w:tc>
          <w:tcPr>
            <w:tcW w:w="120" w:type="dxa"/>
            <w:vAlign w:val="bottom"/>
            <w:tcBorders>
              <w:bottom w:val="single" w:sz="8" w:color="auto"/>
            </w:tcBorders>
            <w:shd w:val="clear" w:color="auto" w:fill="D8D8D8"/>
          </w:tcPr>
          <w:p>
            <w:pPr>
              <w:spacing w:after="0"/>
              <w:rPr>
                <w:sz w:val="15"/>
                <w:szCs w:val="15"/>
                <w:color w:val="auto"/>
              </w:rPr>
            </w:pPr>
          </w:p>
        </w:tc>
        <w:tc>
          <w:tcPr>
            <w:tcW w:w="102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4"/>
                <w:szCs w:val="14"/>
                <w:color w:val="auto"/>
              </w:rPr>
              <w:t>1,001(12)</w:t>
            </w:r>
          </w:p>
        </w:tc>
        <w:tc>
          <w:tcPr>
            <w:tcW w:w="1060" w:type="dxa"/>
            <w:vAlign w:val="bottom"/>
            <w:tcBorders>
              <w:bottom w:val="single" w:sz="8" w:color="auto"/>
            </w:tcBorders>
            <w:shd w:val="clear" w:color="auto" w:fill="D8D8D8"/>
          </w:tcPr>
          <w:p>
            <w:pPr>
              <w:jc w:val="right"/>
              <w:ind w:right="8"/>
              <w:spacing w:after="0"/>
              <w:rPr>
                <w:sz w:val="20"/>
                <w:szCs w:val="20"/>
                <w:color w:val="auto"/>
              </w:rPr>
            </w:pPr>
            <w:r>
              <w:rPr>
                <w:rFonts w:ascii="Arial" w:cs="Arial" w:eastAsia="Arial" w:hAnsi="Arial"/>
                <w:sz w:val="14"/>
                <w:szCs w:val="14"/>
                <w:color w:val="auto"/>
              </w:rPr>
              <w:t>101,091(13)</w:t>
            </w:r>
          </w:p>
        </w:tc>
        <w:tc>
          <w:tcPr>
            <w:tcW w:w="1240" w:type="dxa"/>
            <w:vAlign w:val="bottom"/>
            <w:tcBorders>
              <w:bottom w:val="single" w:sz="8" w:color="auto"/>
            </w:tcBorders>
            <w:shd w:val="clear" w:color="auto" w:fill="D8D8D8"/>
          </w:tcPr>
          <w:p>
            <w:pPr>
              <w:spacing w:after="0"/>
              <w:rPr>
                <w:sz w:val="15"/>
                <w:szCs w:val="15"/>
                <w:color w:val="auto"/>
              </w:rPr>
            </w:pPr>
          </w:p>
        </w:tc>
        <w:tc>
          <w:tcPr>
            <w:tcW w:w="960" w:type="dxa"/>
            <w:vAlign w:val="bottom"/>
            <w:tcBorders>
              <w:bottom w:val="single" w:sz="8" w:color="auto"/>
            </w:tcBorders>
            <w:shd w:val="clear" w:color="auto" w:fill="D8D8D8"/>
          </w:tcPr>
          <w:p>
            <w:pPr>
              <w:spacing w:after="0"/>
              <w:rPr>
                <w:sz w:val="15"/>
                <w:szCs w:val="15"/>
                <w:color w:val="auto"/>
              </w:rPr>
            </w:pPr>
          </w:p>
        </w:tc>
        <w:tc>
          <w:tcPr>
            <w:tcW w:w="320" w:type="dxa"/>
            <w:vAlign w:val="bottom"/>
            <w:tcBorders>
              <w:bottom w:val="single" w:sz="8" w:color="auto"/>
            </w:tcBorders>
            <w:shd w:val="clear" w:color="auto" w:fill="D8D8D8"/>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1452880</wp:posOffset>
            </wp:positionH>
            <wp:positionV relativeFrom="paragraph">
              <wp:posOffset>-1010285</wp:posOffset>
            </wp:positionV>
            <wp:extent cx="5670550" cy="100203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670550" cy="1002030"/>
                    </a:xfrm>
                    <a:prstGeom prst="rect">
                      <a:avLst/>
                    </a:prstGeom>
                    <a:noFill/>
                  </pic:spPr>
                </pic:pic>
              </a:graphicData>
            </a:graphic>
          </wp:anchor>
        </w:drawing>
        <w:drawing>
          <wp:anchor simplePos="0" relativeHeight="251657728" behindDoc="1" locked="0" layoutInCell="0" allowOverlap="1">
            <wp:simplePos x="0" y="0"/>
            <wp:positionH relativeFrom="column">
              <wp:posOffset>1452880</wp:posOffset>
            </wp:positionH>
            <wp:positionV relativeFrom="paragraph">
              <wp:posOffset>-1121410</wp:posOffset>
            </wp:positionV>
            <wp:extent cx="567055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670550" cy="8255"/>
                    </a:xfrm>
                    <a:prstGeom prst="rect">
                      <a:avLst/>
                    </a:prstGeom>
                    <a:noFill/>
                  </pic:spPr>
                </pic:pic>
              </a:graphicData>
            </a:graphic>
          </wp:anchor>
        </w:drawing>
        <w:drawing>
          <wp:anchor simplePos="0" relativeHeight="251657728" behindDoc="1" locked="0" layoutInCell="0" allowOverlap="1">
            <wp:simplePos x="0" y="0"/>
            <wp:positionH relativeFrom="column">
              <wp:posOffset>1452880</wp:posOffset>
            </wp:positionH>
            <wp:positionV relativeFrom="paragraph">
              <wp:posOffset>-3665855</wp:posOffset>
            </wp:positionV>
            <wp:extent cx="5670550" cy="12249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670550" cy="1224915"/>
                    </a:xfrm>
                    <a:prstGeom prst="rect">
                      <a:avLst/>
                    </a:prstGeom>
                    <a:noFill/>
                  </pic:spPr>
                </pic:pic>
              </a:graphicData>
            </a:graphic>
          </wp:anchor>
        </w:drawing>
      </w:r>
    </w:p>
    <w:p>
      <w:pPr>
        <w:spacing w:after="0" w:line="110" w:lineRule="exact"/>
        <w:rPr>
          <w:sz w:val="20"/>
          <w:szCs w:val="20"/>
          <w:color w:val="auto"/>
        </w:rPr>
      </w:pPr>
    </w:p>
    <w:p>
      <w:pPr>
        <w:ind w:left="7380"/>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58</w:t>
      </w:r>
    </w:p>
    <w:p>
      <w:pPr>
        <w:sectPr>
          <w:pgSz w:w="11900" w:h="16838" w:orient="portrait"/>
          <w:cols w:equalWidth="0" w:num="1">
            <w:col w:w="11220"/>
          </w:cols>
          <w:pgMar w:left="240" w:top="459" w:right="4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EXECUTIVE COMPENSATION TABLES</w:t>
      </w:r>
    </w:p>
    <w:p>
      <w:pPr>
        <w:spacing w:after="0" w:line="151" w:lineRule="exact"/>
        <w:rPr>
          <w:sz w:val="20"/>
          <w:szCs w:val="20"/>
          <w:color w:val="auto"/>
        </w:rPr>
      </w:pPr>
    </w:p>
    <w:tbl>
      <w:tblPr>
        <w:tblLayout w:type="fixed"/>
        <w:tblInd w:w="220" w:type="dxa"/>
        <w:tblCellMar>
          <w:top w:w="0" w:type="dxa"/>
          <w:left w:w="0" w:type="dxa"/>
          <w:bottom w:w="0" w:type="dxa"/>
          <w:right w:w="0" w:type="dxa"/>
        </w:tblCellMar>
      </w:tblPr>
      <w:tr>
        <w:trPr>
          <w:trHeight w:val="175"/>
        </w:trPr>
        <w:tc>
          <w:tcPr>
            <w:tcW w:w="23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Option Awards</w:t>
            </w:r>
          </w:p>
        </w:tc>
        <w:tc>
          <w:tcPr>
            <w:tcW w:w="124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Stock Awards</w:t>
            </w:r>
          </w:p>
        </w:tc>
        <w:tc>
          <w:tcPr>
            <w:tcW w:w="10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r>
      <w:tr>
        <w:trPr>
          <w:trHeight w:val="142"/>
        </w:trPr>
        <w:tc>
          <w:tcPr>
            <w:tcW w:w="2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Equity</w:t>
            </w:r>
          </w:p>
        </w:tc>
        <w:tc>
          <w:tcPr>
            <w:tcW w:w="96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r>
      <w:tr>
        <w:trPr>
          <w:trHeight w:val="162"/>
        </w:trPr>
        <w:tc>
          <w:tcPr>
            <w:tcW w:w="2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40" w:type="dxa"/>
            <w:vAlign w:val="bottom"/>
          </w:tcPr>
          <w:p>
            <w:pPr>
              <w:ind w:left="60"/>
              <w:spacing w:after="0"/>
              <w:rPr>
                <w:sz w:val="20"/>
                <w:szCs w:val="20"/>
                <w:color w:val="auto"/>
              </w:rPr>
            </w:pPr>
            <w:r>
              <w:rPr>
                <w:rFonts w:ascii="Arial" w:cs="Arial" w:eastAsia="Arial" w:hAnsi="Arial"/>
                <w:sz w:val="14"/>
                <w:szCs w:val="14"/>
                <w:b w:val="1"/>
                <w:bCs w:val="1"/>
                <w:color w:val="auto"/>
              </w:rPr>
              <w:t>Incentive</w:t>
            </w:r>
          </w:p>
        </w:tc>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Equity</w:t>
            </w:r>
          </w:p>
        </w:tc>
      </w:tr>
      <w:tr>
        <w:trPr>
          <w:trHeight w:val="162"/>
        </w:trPr>
        <w:tc>
          <w:tcPr>
            <w:tcW w:w="2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40" w:type="dxa"/>
            <w:vAlign w:val="bottom"/>
          </w:tcPr>
          <w:p>
            <w:pPr>
              <w:ind w:left="60"/>
              <w:spacing w:after="0"/>
              <w:rPr>
                <w:sz w:val="20"/>
                <w:szCs w:val="20"/>
                <w:color w:val="auto"/>
              </w:rPr>
            </w:pPr>
            <w:r>
              <w:rPr>
                <w:rFonts w:ascii="Arial" w:cs="Arial" w:eastAsia="Arial" w:hAnsi="Arial"/>
                <w:sz w:val="14"/>
                <w:szCs w:val="14"/>
                <w:b w:val="1"/>
                <w:bCs w:val="1"/>
                <w:color w:val="auto"/>
              </w:rPr>
              <w:t>Plan</w:t>
            </w:r>
          </w:p>
        </w:tc>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Incentive</w:t>
            </w:r>
          </w:p>
        </w:tc>
      </w:tr>
      <w:tr>
        <w:trPr>
          <w:trHeight w:val="162"/>
        </w:trPr>
        <w:tc>
          <w:tcPr>
            <w:tcW w:w="2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40" w:type="dxa"/>
            <w:vAlign w:val="bottom"/>
          </w:tcPr>
          <w:p>
            <w:pPr>
              <w:ind w:left="60"/>
              <w:spacing w:after="0"/>
              <w:rPr>
                <w:sz w:val="20"/>
                <w:szCs w:val="20"/>
                <w:color w:val="auto"/>
              </w:rPr>
            </w:pPr>
            <w:r>
              <w:rPr>
                <w:rFonts w:ascii="Arial" w:cs="Arial" w:eastAsia="Arial" w:hAnsi="Arial"/>
                <w:sz w:val="14"/>
                <w:szCs w:val="14"/>
                <w:b w:val="1"/>
                <w:bCs w:val="1"/>
                <w:color w:val="auto"/>
              </w:rPr>
              <w:t>Awards:</w:t>
            </w:r>
          </w:p>
        </w:tc>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Plan Awards:</w:t>
            </w:r>
          </w:p>
        </w:tc>
      </w:tr>
      <w:tr>
        <w:trPr>
          <w:trHeight w:val="162"/>
        </w:trPr>
        <w:tc>
          <w:tcPr>
            <w:tcW w:w="2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ind w:left="40"/>
              <w:spacing w:after="0"/>
              <w:rPr>
                <w:sz w:val="20"/>
                <w:szCs w:val="20"/>
                <w:color w:val="auto"/>
              </w:rPr>
            </w:pPr>
            <w:r>
              <w:rPr>
                <w:rFonts w:ascii="Arial" w:cs="Arial" w:eastAsia="Arial" w:hAnsi="Arial"/>
                <w:sz w:val="14"/>
                <w:szCs w:val="14"/>
                <w:b w:val="1"/>
                <w:bCs w:val="1"/>
                <w:color w:val="auto"/>
              </w:rPr>
              <w:t>Market</w:t>
            </w:r>
          </w:p>
        </w:tc>
        <w:tc>
          <w:tcPr>
            <w:tcW w:w="1240" w:type="dxa"/>
            <w:vAlign w:val="bottom"/>
          </w:tcPr>
          <w:p>
            <w:pPr>
              <w:ind w:left="60"/>
              <w:spacing w:after="0"/>
              <w:rPr>
                <w:sz w:val="20"/>
                <w:szCs w:val="20"/>
                <w:color w:val="auto"/>
              </w:rPr>
            </w:pPr>
            <w:r>
              <w:rPr>
                <w:rFonts w:ascii="Arial" w:cs="Arial" w:eastAsia="Arial" w:hAnsi="Arial"/>
                <w:sz w:val="14"/>
                <w:szCs w:val="14"/>
                <w:b w:val="1"/>
                <w:bCs w:val="1"/>
                <w:color w:val="auto"/>
              </w:rPr>
              <w:t>Number of</w:t>
            </w:r>
          </w:p>
        </w:tc>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Market or</w:t>
            </w:r>
          </w:p>
        </w:tc>
      </w:tr>
      <w:tr>
        <w:trPr>
          <w:trHeight w:val="162"/>
        </w:trPr>
        <w:tc>
          <w:tcPr>
            <w:tcW w:w="2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Number of</w:t>
            </w:r>
          </w:p>
        </w:tc>
        <w:tc>
          <w:tcPr>
            <w:tcW w:w="1040" w:type="dxa"/>
            <w:vAlign w:val="bottom"/>
          </w:tcPr>
          <w:p>
            <w:pPr>
              <w:ind w:left="40"/>
              <w:spacing w:after="0"/>
              <w:rPr>
                <w:sz w:val="20"/>
                <w:szCs w:val="20"/>
                <w:color w:val="auto"/>
              </w:rPr>
            </w:pPr>
            <w:r>
              <w:rPr>
                <w:rFonts w:ascii="Arial" w:cs="Arial" w:eastAsia="Arial" w:hAnsi="Arial"/>
                <w:sz w:val="14"/>
                <w:szCs w:val="14"/>
                <w:b w:val="1"/>
                <w:bCs w:val="1"/>
                <w:color w:val="auto"/>
              </w:rPr>
              <w:t>Value of</w:t>
            </w:r>
          </w:p>
        </w:tc>
        <w:tc>
          <w:tcPr>
            <w:tcW w:w="1240" w:type="dxa"/>
            <w:vAlign w:val="bottom"/>
          </w:tcPr>
          <w:p>
            <w:pPr>
              <w:ind w:left="60"/>
              <w:spacing w:after="0"/>
              <w:rPr>
                <w:sz w:val="20"/>
                <w:szCs w:val="20"/>
                <w:color w:val="auto"/>
              </w:rPr>
            </w:pPr>
            <w:r>
              <w:rPr>
                <w:rFonts w:ascii="Arial" w:cs="Arial" w:eastAsia="Arial" w:hAnsi="Arial"/>
                <w:sz w:val="14"/>
                <w:szCs w:val="14"/>
                <w:b w:val="1"/>
                <w:bCs w:val="1"/>
                <w:color w:val="auto"/>
              </w:rPr>
              <w:t>Unearned</w:t>
            </w:r>
          </w:p>
        </w:tc>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Payout Value</w:t>
            </w:r>
          </w:p>
        </w:tc>
      </w:tr>
      <w:tr>
        <w:trPr>
          <w:trHeight w:val="162"/>
        </w:trPr>
        <w:tc>
          <w:tcPr>
            <w:tcW w:w="2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Number of</w:t>
            </w:r>
          </w:p>
        </w:tc>
        <w:tc>
          <w:tcPr>
            <w:tcW w:w="1240" w:type="dxa"/>
            <w:vAlign w:val="bottom"/>
          </w:tcPr>
          <w:p>
            <w:pPr>
              <w:ind w:left="120"/>
              <w:spacing w:after="0"/>
              <w:rPr>
                <w:sz w:val="20"/>
                <w:szCs w:val="20"/>
                <w:color w:val="auto"/>
              </w:rPr>
            </w:pPr>
            <w:r>
              <w:rPr>
                <w:rFonts w:ascii="Arial" w:cs="Arial" w:eastAsia="Arial" w:hAnsi="Arial"/>
                <w:sz w:val="14"/>
                <w:szCs w:val="14"/>
                <w:b w:val="1"/>
                <w:bCs w:val="1"/>
                <w:color w:val="auto"/>
              </w:rPr>
              <w:t>Number of</w:t>
            </w: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Shares or</w:t>
            </w:r>
          </w:p>
        </w:tc>
        <w:tc>
          <w:tcPr>
            <w:tcW w:w="1040" w:type="dxa"/>
            <w:vAlign w:val="bottom"/>
          </w:tcPr>
          <w:p>
            <w:pPr>
              <w:ind w:left="40"/>
              <w:spacing w:after="0"/>
              <w:rPr>
                <w:sz w:val="20"/>
                <w:szCs w:val="20"/>
                <w:color w:val="auto"/>
              </w:rPr>
            </w:pPr>
            <w:r>
              <w:rPr>
                <w:rFonts w:ascii="Arial" w:cs="Arial" w:eastAsia="Arial" w:hAnsi="Arial"/>
                <w:sz w:val="14"/>
                <w:szCs w:val="14"/>
                <w:b w:val="1"/>
                <w:bCs w:val="1"/>
                <w:color w:val="auto"/>
              </w:rPr>
              <w:t>Shares or</w:t>
            </w:r>
          </w:p>
        </w:tc>
        <w:tc>
          <w:tcPr>
            <w:tcW w:w="1240" w:type="dxa"/>
            <w:vAlign w:val="bottom"/>
          </w:tcPr>
          <w:p>
            <w:pPr>
              <w:ind w:left="60"/>
              <w:spacing w:after="0"/>
              <w:rPr>
                <w:sz w:val="20"/>
                <w:szCs w:val="20"/>
                <w:color w:val="auto"/>
              </w:rPr>
            </w:pPr>
            <w:r>
              <w:rPr>
                <w:rFonts w:ascii="Arial" w:cs="Arial" w:eastAsia="Arial" w:hAnsi="Arial"/>
                <w:sz w:val="14"/>
                <w:szCs w:val="14"/>
                <w:b w:val="1"/>
                <w:bCs w:val="1"/>
                <w:color w:val="auto"/>
              </w:rPr>
              <w:t>Shares,</w:t>
            </w:r>
          </w:p>
        </w:tc>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of Unearned</w:t>
            </w:r>
          </w:p>
        </w:tc>
      </w:tr>
      <w:tr>
        <w:trPr>
          <w:trHeight w:val="162"/>
        </w:trPr>
        <w:tc>
          <w:tcPr>
            <w:tcW w:w="2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Securities</w:t>
            </w:r>
          </w:p>
        </w:tc>
        <w:tc>
          <w:tcPr>
            <w:tcW w:w="1240" w:type="dxa"/>
            <w:vAlign w:val="bottom"/>
          </w:tcPr>
          <w:p>
            <w:pPr>
              <w:ind w:left="120"/>
              <w:spacing w:after="0"/>
              <w:rPr>
                <w:sz w:val="20"/>
                <w:szCs w:val="20"/>
                <w:color w:val="auto"/>
              </w:rPr>
            </w:pPr>
            <w:r>
              <w:rPr>
                <w:rFonts w:ascii="Arial" w:cs="Arial" w:eastAsia="Arial" w:hAnsi="Arial"/>
                <w:sz w:val="14"/>
                <w:szCs w:val="14"/>
                <w:b w:val="1"/>
                <w:bCs w:val="1"/>
                <w:color w:val="auto"/>
              </w:rPr>
              <w:t>Securities</w:t>
            </w: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Units</w:t>
            </w:r>
          </w:p>
        </w:tc>
        <w:tc>
          <w:tcPr>
            <w:tcW w:w="1040" w:type="dxa"/>
            <w:vAlign w:val="bottom"/>
          </w:tcPr>
          <w:p>
            <w:pPr>
              <w:ind w:left="40"/>
              <w:spacing w:after="0"/>
              <w:rPr>
                <w:sz w:val="20"/>
                <w:szCs w:val="20"/>
                <w:color w:val="auto"/>
              </w:rPr>
            </w:pPr>
            <w:r>
              <w:rPr>
                <w:rFonts w:ascii="Arial" w:cs="Arial" w:eastAsia="Arial" w:hAnsi="Arial"/>
                <w:sz w:val="14"/>
                <w:szCs w:val="14"/>
                <w:b w:val="1"/>
                <w:bCs w:val="1"/>
                <w:color w:val="auto"/>
              </w:rPr>
              <w:t>Units of</w:t>
            </w:r>
          </w:p>
        </w:tc>
        <w:tc>
          <w:tcPr>
            <w:tcW w:w="1240" w:type="dxa"/>
            <w:vAlign w:val="bottom"/>
          </w:tcPr>
          <w:p>
            <w:pPr>
              <w:ind w:left="60"/>
              <w:spacing w:after="0"/>
              <w:rPr>
                <w:sz w:val="20"/>
                <w:szCs w:val="20"/>
                <w:color w:val="auto"/>
              </w:rPr>
            </w:pPr>
            <w:r>
              <w:rPr>
                <w:rFonts w:ascii="Arial" w:cs="Arial" w:eastAsia="Arial" w:hAnsi="Arial"/>
                <w:sz w:val="14"/>
                <w:szCs w:val="14"/>
                <w:b w:val="1"/>
                <w:bCs w:val="1"/>
                <w:color w:val="auto"/>
              </w:rPr>
              <w:t>Units or</w:t>
            </w:r>
          </w:p>
        </w:tc>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Shares, Units</w:t>
            </w:r>
          </w:p>
        </w:tc>
      </w:tr>
      <w:tr>
        <w:trPr>
          <w:trHeight w:val="162"/>
        </w:trPr>
        <w:tc>
          <w:tcPr>
            <w:tcW w:w="2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Underlying</w:t>
            </w:r>
          </w:p>
        </w:tc>
        <w:tc>
          <w:tcPr>
            <w:tcW w:w="1240" w:type="dxa"/>
            <w:vAlign w:val="bottom"/>
          </w:tcPr>
          <w:p>
            <w:pPr>
              <w:ind w:left="120"/>
              <w:spacing w:after="0"/>
              <w:rPr>
                <w:sz w:val="20"/>
                <w:szCs w:val="20"/>
                <w:color w:val="auto"/>
              </w:rPr>
            </w:pPr>
            <w:r>
              <w:rPr>
                <w:rFonts w:ascii="Arial" w:cs="Arial" w:eastAsia="Arial" w:hAnsi="Arial"/>
                <w:sz w:val="14"/>
                <w:szCs w:val="14"/>
                <w:b w:val="1"/>
                <w:bCs w:val="1"/>
                <w:color w:val="auto"/>
              </w:rPr>
              <w:t>Underlying</w:t>
            </w: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of Stock</w:t>
            </w:r>
          </w:p>
        </w:tc>
        <w:tc>
          <w:tcPr>
            <w:tcW w:w="1040" w:type="dxa"/>
            <w:vAlign w:val="bottom"/>
          </w:tcPr>
          <w:p>
            <w:pPr>
              <w:ind w:left="40"/>
              <w:spacing w:after="0"/>
              <w:rPr>
                <w:sz w:val="20"/>
                <w:szCs w:val="20"/>
                <w:color w:val="auto"/>
              </w:rPr>
            </w:pPr>
            <w:r>
              <w:rPr>
                <w:rFonts w:ascii="Arial" w:cs="Arial" w:eastAsia="Arial" w:hAnsi="Arial"/>
                <w:sz w:val="14"/>
                <w:szCs w:val="14"/>
                <w:b w:val="1"/>
                <w:bCs w:val="1"/>
                <w:color w:val="auto"/>
              </w:rPr>
              <w:t>Stock</w:t>
            </w:r>
          </w:p>
        </w:tc>
        <w:tc>
          <w:tcPr>
            <w:tcW w:w="1240" w:type="dxa"/>
            <w:vAlign w:val="bottom"/>
          </w:tcPr>
          <w:p>
            <w:pPr>
              <w:ind w:left="60"/>
              <w:spacing w:after="0"/>
              <w:rPr>
                <w:sz w:val="20"/>
                <w:szCs w:val="20"/>
                <w:color w:val="auto"/>
              </w:rPr>
            </w:pPr>
            <w:r>
              <w:rPr>
                <w:rFonts w:ascii="Arial" w:cs="Arial" w:eastAsia="Arial" w:hAnsi="Arial"/>
                <w:sz w:val="14"/>
                <w:szCs w:val="14"/>
                <w:b w:val="1"/>
                <w:bCs w:val="1"/>
                <w:color w:val="auto"/>
              </w:rPr>
              <w:t>Other Rights</w:t>
            </w:r>
          </w:p>
        </w:tc>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or Other</w:t>
            </w:r>
          </w:p>
        </w:tc>
      </w:tr>
      <w:tr>
        <w:trPr>
          <w:trHeight w:val="162"/>
        </w:trPr>
        <w:tc>
          <w:tcPr>
            <w:tcW w:w="2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Unexercised</w:t>
            </w:r>
          </w:p>
        </w:tc>
        <w:tc>
          <w:tcPr>
            <w:tcW w:w="1240" w:type="dxa"/>
            <w:vAlign w:val="bottom"/>
          </w:tcPr>
          <w:p>
            <w:pPr>
              <w:ind w:left="120"/>
              <w:spacing w:after="0"/>
              <w:rPr>
                <w:sz w:val="20"/>
                <w:szCs w:val="20"/>
                <w:color w:val="auto"/>
              </w:rPr>
            </w:pPr>
            <w:r>
              <w:rPr>
                <w:rFonts w:ascii="Arial" w:cs="Arial" w:eastAsia="Arial" w:hAnsi="Arial"/>
                <w:sz w:val="14"/>
                <w:szCs w:val="14"/>
                <w:b w:val="1"/>
                <w:bCs w:val="1"/>
                <w:color w:val="auto"/>
              </w:rPr>
              <w:t>Unexercised</w:t>
            </w:r>
          </w:p>
        </w:tc>
        <w:tc>
          <w:tcPr>
            <w:tcW w:w="740" w:type="dxa"/>
            <w:vAlign w:val="bottom"/>
          </w:tcPr>
          <w:p>
            <w:pPr>
              <w:ind w:left="80"/>
              <w:spacing w:after="0"/>
              <w:rPr>
                <w:sz w:val="20"/>
                <w:szCs w:val="20"/>
                <w:color w:val="auto"/>
              </w:rPr>
            </w:pPr>
            <w:r>
              <w:rPr>
                <w:rFonts w:ascii="Arial" w:cs="Arial" w:eastAsia="Arial" w:hAnsi="Arial"/>
                <w:sz w:val="14"/>
                <w:szCs w:val="14"/>
                <w:b w:val="1"/>
                <w:bCs w:val="1"/>
                <w:color w:val="auto"/>
              </w:rPr>
              <w:t>Option</w:t>
            </w:r>
          </w:p>
        </w:tc>
        <w:tc>
          <w:tcPr>
            <w:tcW w:w="860" w:type="dxa"/>
            <w:vAlign w:val="bottom"/>
            <w:gridSpan w:val="2"/>
          </w:tcPr>
          <w:p>
            <w:pPr>
              <w:ind w:left="80"/>
              <w:spacing w:after="0"/>
              <w:rPr>
                <w:sz w:val="20"/>
                <w:szCs w:val="20"/>
                <w:color w:val="auto"/>
              </w:rPr>
            </w:pPr>
            <w:r>
              <w:rPr>
                <w:rFonts w:ascii="Arial" w:cs="Arial" w:eastAsia="Arial" w:hAnsi="Arial"/>
                <w:sz w:val="14"/>
                <w:szCs w:val="14"/>
                <w:b w:val="1"/>
                <w:bCs w:val="1"/>
                <w:color w:val="auto"/>
              </w:rPr>
              <w:t>Option</w:t>
            </w: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That Have</w:t>
            </w:r>
          </w:p>
        </w:tc>
        <w:tc>
          <w:tcPr>
            <w:tcW w:w="1040" w:type="dxa"/>
            <w:vAlign w:val="bottom"/>
          </w:tcPr>
          <w:p>
            <w:pPr>
              <w:ind w:left="40"/>
              <w:spacing w:after="0"/>
              <w:rPr>
                <w:sz w:val="20"/>
                <w:szCs w:val="20"/>
                <w:color w:val="auto"/>
              </w:rPr>
            </w:pPr>
            <w:r>
              <w:rPr>
                <w:rFonts w:ascii="Arial" w:cs="Arial" w:eastAsia="Arial" w:hAnsi="Arial"/>
                <w:sz w:val="14"/>
                <w:szCs w:val="14"/>
                <w:b w:val="1"/>
                <w:bCs w:val="1"/>
                <w:color w:val="auto"/>
              </w:rPr>
              <w:t>That</w:t>
            </w:r>
          </w:p>
        </w:tc>
        <w:tc>
          <w:tcPr>
            <w:tcW w:w="1240" w:type="dxa"/>
            <w:vAlign w:val="bottom"/>
          </w:tcPr>
          <w:p>
            <w:pPr>
              <w:ind w:left="60"/>
              <w:spacing w:after="0"/>
              <w:rPr>
                <w:sz w:val="20"/>
                <w:szCs w:val="20"/>
                <w:color w:val="auto"/>
              </w:rPr>
            </w:pPr>
            <w:r>
              <w:rPr>
                <w:rFonts w:ascii="Arial" w:cs="Arial" w:eastAsia="Arial" w:hAnsi="Arial"/>
                <w:sz w:val="14"/>
                <w:szCs w:val="14"/>
                <w:b w:val="1"/>
                <w:bCs w:val="1"/>
                <w:color w:val="auto"/>
              </w:rPr>
              <w:t>That Have</w:t>
            </w:r>
          </w:p>
        </w:tc>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Rights that</w:t>
            </w:r>
          </w:p>
        </w:tc>
      </w:tr>
      <w:tr>
        <w:trPr>
          <w:trHeight w:val="162"/>
        </w:trPr>
        <w:tc>
          <w:tcPr>
            <w:tcW w:w="2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Options (#)</w:t>
            </w:r>
          </w:p>
        </w:tc>
        <w:tc>
          <w:tcPr>
            <w:tcW w:w="1240" w:type="dxa"/>
            <w:vAlign w:val="bottom"/>
          </w:tcPr>
          <w:p>
            <w:pPr>
              <w:ind w:left="120"/>
              <w:spacing w:after="0"/>
              <w:rPr>
                <w:sz w:val="20"/>
                <w:szCs w:val="20"/>
                <w:color w:val="auto"/>
              </w:rPr>
            </w:pPr>
            <w:r>
              <w:rPr>
                <w:rFonts w:ascii="Arial" w:cs="Arial" w:eastAsia="Arial" w:hAnsi="Arial"/>
                <w:sz w:val="14"/>
                <w:szCs w:val="14"/>
                <w:b w:val="1"/>
                <w:bCs w:val="1"/>
                <w:color w:val="auto"/>
              </w:rPr>
              <w:t>Options (#)</w:t>
            </w:r>
          </w:p>
        </w:tc>
        <w:tc>
          <w:tcPr>
            <w:tcW w:w="740" w:type="dxa"/>
            <w:vAlign w:val="bottom"/>
          </w:tcPr>
          <w:p>
            <w:pPr>
              <w:jc w:val="right"/>
              <w:ind w:right="8"/>
              <w:spacing w:after="0"/>
              <w:rPr>
                <w:sz w:val="20"/>
                <w:szCs w:val="20"/>
                <w:color w:val="auto"/>
              </w:rPr>
            </w:pPr>
            <w:r>
              <w:rPr>
                <w:rFonts w:ascii="Arial" w:cs="Arial" w:eastAsia="Arial" w:hAnsi="Arial"/>
                <w:sz w:val="14"/>
                <w:szCs w:val="14"/>
                <w:b w:val="1"/>
                <w:bCs w:val="1"/>
                <w:color w:val="auto"/>
              </w:rPr>
              <w:t>Exercise</w:t>
            </w:r>
          </w:p>
        </w:tc>
        <w:tc>
          <w:tcPr>
            <w:tcW w:w="860" w:type="dxa"/>
            <w:vAlign w:val="bottom"/>
            <w:gridSpan w:val="2"/>
          </w:tcPr>
          <w:p>
            <w:pPr>
              <w:ind w:left="80"/>
              <w:spacing w:after="0"/>
              <w:rPr>
                <w:sz w:val="20"/>
                <w:szCs w:val="20"/>
                <w:color w:val="auto"/>
              </w:rPr>
            </w:pPr>
            <w:r>
              <w:rPr>
                <w:rFonts w:ascii="Arial" w:cs="Arial" w:eastAsia="Arial" w:hAnsi="Arial"/>
                <w:sz w:val="14"/>
                <w:szCs w:val="14"/>
                <w:b w:val="1"/>
                <w:bCs w:val="1"/>
                <w:color w:val="auto"/>
              </w:rPr>
              <w:t>Expiration</w:t>
            </w: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Not</w:t>
            </w:r>
          </w:p>
        </w:tc>
        <w:tc>
          <w:tcPr>
            <w:tcW w:w="1040" w:type="dxa"/>
            <w:vAlign w:val="bottom"/>
          </w:tcPr>
          <w:p>
            <w:pPr>
              <w:ind w:left="40"/>
              <w:spacing w:after="0"/>
              <w:rPr>
                <w:sz w:val="20"/>
                <w:szCs w:val="20"/>
                <w:color w:val="auto"/>
              </w:rPr>
            </w:pPr>
            <w:r>
              <w:rPr>
                <w:rFonts w:ascii="Arial" w:cs="Arial" w:eastAsia="Arial" w:hAnsi="Arial"/>
                <w:sz w:val="14"/>
                <w:szCs w:val="14"/>
                <w:b w:val="1"/>
                <w:bCs w:val="1"/>
                <w:color w:val="auto"/>
              </w:rPr>
              <w:t>Have Not</w:t>
            </w:r>
          </w:p>
        </w:tc>
        <w:tc>
          <w:tcPr>
            <w:tcW w:w="1240" w:type="dxa"/>
            <w:vAlign w:val="bottom"/>
          </w:tcPr>
          <w:p>
            <w:pPr>
              <w:ind w:left="60"/>
              <w:spacing w:after="0"/>
              <w:rPr>
                <w:sz w:val="20"/>
                <w:szCs w:val="20"/>
                <w:color w:val="auto"/>
              </w:rPr>
            </w:pPr>
            <w:r>
              <w:rPr>
                <w:rFonts w:ascii="Arial" w:cs="Arial" w:eastAsia="Arial" w:hAnsi="Arial"/>
                <w:sz w:val="14"/>
                <w:szCs w:val="14"/>
                <w:b w:val="1"/>
                <w:bCs w:val="1"/>
                <w:color w:val="auto"/>
              </w:rPr>
              <w:t>not</w:t>
            </w:r>
          </w:p>
        </w:tc>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Have not</w:t>
            </w:r>
          </w:p>
        </w:tc>
      </w:tr>
      <w:tr>
        <w:trPr>
          <w:trHeight w:val="189"/>
        </w:trPr>
        <w:tc>
          <w:tcPr>
            <w:tcW w:w="2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Exercisable</w:t>
            </w:r>
          </w:p>
        </w:tc>
        <w:tc>
          <w:tcPr>
            <w:tcW w:w="12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Unvested</w:t>
            </w:r>
          </w:p>
        </w:tc>
        <w:tc>
          <w:tcPr>
            <w:tcW w:w="7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Price ($)</w:t>
            </w:r>
          </w:p>
        </w:tc>
        <w:tc>
          <w:tcPr>
            <w:tcW w:w="8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Date</w:t>
            </w:r>
          </w:p>
        </w:tc>
        <w:tc>
          <w:tcPr>
            <w:tcW w:w="10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Vested (#)</w:t>
            </w:r>
          </w:p>
        </w:tc>
        <w:tc>
          <w:tcPr>
            <w:tcW w:w="1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Vested ($)</w:t>
            </w:r>
          </w:p>
        </w:tc>
        <w:tc>
          <w:tcPr>
            <w:tcW w:w="12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Vested (#)</w:t>
            </w:r>
          </w:p>
        </w:tc>
        <w:tc>
          <w:tcPr>
            <w:tcW w:w="12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Vested ($)</w:t>
            </w:r>
          </w:p>
        </w:tc>
      </w:tr>
      <w:tr>
        <w:trPr>
          <w:trHeight w:val="155"/>
        </w:trPr>
        <w:tc>
          <w:tcPr>
            <w:tcW w:w="2340" w:type="dxa"/>
            <w:vAlign w:val="bottom"/>
          </w:tcPr>
          <w:p>
            <w:pPr>
              <w:spacing w:after="0" w:line="155" w:lineRule="exact"/>
              <w:rPr>
                <w:sz w:val="20"/>
                <w:szCs w:val="20"/>
                <w:color w:val="auto"/>
              </w:rPr>
            </w:pPr>
            <w:r>
              <w:rPr>
                <w:rFonts w:ascii="Arial" w:cs="Arial" w:eastAsia="Arial" w:hAnsi="Arial"/>
                <w:sz w:val="14"/>
                <w:szCs w:val="14"/>
                <w:color w:val="auto"/>
              </w:rPr>
              <w:t>Sivasankaran Somasundaram</w:t>
            </w:r>
          </w:p>
        </w:tc>
        <w:tc>
          <w:tcPr>
            <w:tcW w:w="100" w:type="dxa"/>
            <w:vAlign w:val="bottom"/>
            <w:tcBorders>
              <w:bottom w:val="single" w:sz="8" w:color="999999"/>
            </w:tcBorders>
          </w:tcPr>
          <w:p>
            <w:pPr>
              <w:spacing w:after="0"/>
              <w:rPr>
                <w:sz w:val="13"/>
                <w:szCs w:val="13"/>
                <w:color w:val="auto"/>
              </w:rPr>
            </w:pPr>
          </w:p>
        </w:tc>
        <w:tc>
          <w:tcPr>
            <w:tcW w:w="80" w:type="dxa"/>
            <w:vAlign w:val="bottom"/>
            <w:tcBorders>
              <w:bottom w:val="single" w:sz="8" w:color="999999"/>
            </w:tcBorders>
          </w:tcPr>
          <w:p>
            <w:pPr>
              <w:spacing w:after="0"/>
              <w:rPr>
                <w:sz w:val="13"/>
                <w:szCs w:val="13"/>
                <w:color w:val="auto"/>
              </w:rPr>
            </w:pPr>
          </w:p>
        </w:tc>
        <w:tc>
          <w:tcPr>
            <w:tcW w:w="1000" w:type="dxa"/>
            <w:vAlign w:val="bottom"/>
            <w:tcBorders>
              <w:bottom w:val="single" w:sz="8" w:color="999999"/>
            </w:tcBorders>
          </w:tcPr>
          <w:p>
            <w:pPr>
              <w:spacing w:after="0"/>
              <w:rPr>
                <w:sz w:val="13"/>
                <w:szCs w:val="13"/>
                <w:color w:val="auto"/>
              </w:rPr>
            </w:pPr>
          </w:p>
        </w:tc>
        <w:tc>
          <w:tcPr>
            <w:tcW w:w="1240" w:type="dxa"/>
            <w:vAlign w:val="bottom"/>
            <w:tcBorders>
              <w:bottom w:val="single" w:sz="8" w:color="999999"/>
            </w:tcBorders>
          </w:tcPr>
          <w:p>
            <w:pPr>
              <w:jc w:val="right"/>
              <w:ind w:right="8"/>
              <w:spacing w:after="0" w:line="155" w:lineRule="exact"/>
              <w:rPr>
                <w:sz w:val="20"/>
                <w:szCs w:val="20"/>
                <w:color w:val="auto"/>
              </w:rPr>
            </w:pPr>
            <w:r>
              <w:rPr>
                <w:rFonts w:ascii="Arial" w:cs="Arial" w:eastAsia="Arial" w:hAnsi="Arial"/>
                <w:sz w:val="14"/>
                <w:szCs w:val="14"/>
                <w:color w:val="auto"/>
              </w:rPr>
              <w:t>27,750(1)</w:t>
            </w:r>
          </w:p>
        </w:tc>
        <w:tc>
          <w:tcPr>
            <w:tcW w:w="740" w:type="dxa"/>
            <w:vAlign w:val="bottom"/>
            <w:tcBorders>
              <w:bottom w:val="single" w:sz="8" w:color="999999"/>
            </w:tcBorders>
          </w:tcPr>
          <w:p>
            <w:pPr>
              <w:jc w:val="right"/>
              <w:ind w:right="8"/>
              <w:spacing w:after="0" w:line="155" w:lineRule="exact"/>
              <w:rPr>
                <w:sz w:val="20"/>
                <w:szCs w:val="20"/>
                <w:color w:val="auto"/>
              </w:rPr>
            </w:pPr>
            <w:r>
              <w:rPr>
                <w:rFonts w:ascii="Arial" w:cs="Arial" w:eastAsia="Arial" w:hAnsi="Arial"/>
                <w:sz w:val="14"/>
                <w:szCs w:val="14"/>
                <w:color w:val="auto"/>
              </w:rPr>
              <w:t>79.28</w:t>
            </w:r>
          </w:p>
        </w:tc>
        <w:tc>
          <w:tcPr>
            <w:tcW w:w="860" w:type="dxa"/>
            <w:vAlign w:val="bottom"/>
            <w:tcBorders>
              <w:bottom w:val="single" w:sz="8" w:color="999999"/>
            </w:tcBorders>
            <w:gridSpan w:val="2"/>
          </w:tcPr>
          <w:p>
            <w:pPr>
              <w:jc w:val="right"/>
              <w:ind w:right="60"/>
              <w:spacing w:after="0" w:line="155" w:lineRule="exact"/>
              <w:rPr>
                <w:sz w:val="20"/>
                <w:szCs w:val="20"/>
                <w:color w:val="auto"/>
              </w:rPr>
            </w:pPr>
            <w:r>
              <w:rPr>
                <w:rFonts w:ascii="Arial" w:cs="Arial" w:eastAsia="Arial" w:hAnsi="Arial"/>
                <w:sz w:val="14"/>
                <w:szCs w:val="14"/>
                <w:color w:val="auto"/>
              </w:rPr>
              <w:t>2/10/2027</w:t>
            </w:r>
          </w:p>
        </w:tc>
        <w:tc>
          <w:tcPr>
            <w:tcW w:w="60" w:type="dxa"/>
            <w:vAlign w:val="bottom"/>
            <w:tcBorders>
              <w:bottom w:val="single" w:sz="8" w:color="999999"/>
            </w:tcBorders>
          </w:tcPr>
          <w:p>
            <w:pPr>
              <w:spacing w:after="0"/>
              <w:rPr>
                <w:sz w:val="13"/>
                <w:szCs w:val="13"/>
                <w:color w:val="auto"/>
              </w:rPr>
            </w:pPr>
          </w:p>
        </w:tc>
        <w:tc>
          <w:tcPr>
            <w:tcW w:w="1020" w:type="dxa"/>
            <w:vAlign w:val="bottom"/>
            <w:tcBorders>
              <w:bottom w:val="single" w:sz="8" w:color="999999"/>
            </w:tcBorders>
          </w:tcPr>
          <w:p>
            <w:pPr>
              <w:spacing w:after="0"/>
              <w:rPr>
                <w:sz w:val="13"/>
                <w:szCs w:val="13"/>
                <w:color w:val="auto"/>
              </w:rPr>
            </w:pPr>
          </w:p>
        </w:tc>
        <w:tc>
          <w:tcPr>
            <w:tcW w:w="1040" w:type="dxa"/>
            <w:vAlign w:val="bottom"/>
            <w:tcBorders>
              <w:bottom w:val="single" w:sz="8" w:color="999999"/>
            </w:tcBorders>
          </w:tcPr>
          <w:p>
            <w:pPr>
              <w:spacing w:after="0"/>
              <w:rPr>
                <w:sz w:val="13"/>
                <w:szCs w:val="13"/>
                <w:color w:val="auto"/>
              </w:rPr>
            </w:pPr>
          </w:p>
        </w:tc>
        <w:tc>
          <w:tcPr>
            <w:tcW w:w="1240" w:type="dxa"/>
            <w:vAlign w:val="bottom"/>
            <w:tcBorders>
              <w:bottom w:val="single" w:sz="8" w:color="999999"/>
            </w:tcBorders>
          </w:tcPr>
          <w:p>
            <w:pPr>
              <w:spacing w:after="0"/>
              <w:rPr>
                <w:sz w:val="13"/>
                <w:szCs w:val="13"/>
                <w:color w:val="auto"/>
              </w:rPr>
            </w:pPr>
          </w:p>
        </w:tc>
        <w:tc>
          <w:tcPr>
            <w:tcW w:w="960" w:type="dxa"/>
            <w:vAlign w:val="bottom"/>
            <w:tcBorders>
              <w:bottom w:val="single" w:sz="8" w:color="999999"/>
            </w:tcBorders>
          </w:tcPr>
          <w:p>
            <w:pPr>
              <w:spacing w:after="0"/>
              <w:rPr>
                <w:sz w:val="13"/>
                <w:szCs w:val="13"/>
                <w:color w:val="auto"/>
              </w:rPr>
            </w:pPr>
          </w:p>
        </w:tc>
        <w:tc>
          <w:tcPr>
            <w:tcW w:w="320" w:type="dxa"/>
            <w:vAlign w:val="bottom"/>
            <w:tcBorders>
              <w:bottom w:val="single" w:sz="8" w:color="999999"/>
            </w:tcBorders>
          </w:tcPr>
          <w:p>
            <w:pPr>
              <w:spacing w:after="0"/>
              <w:rPr>
                <w:sz w:val="13"/>
                <w:szCs w:val="13"/>
                <w:color w:val="auto"/>
              </w:rPr>
            </w:pPr>
          </w:p>
        </w:tc>
      </w:tr>
      <w:tr>
        <w:trPr>
          <w:trHeight w:val="155"/>
        </w:trPr>
        <w:tc>
          <w:tcPr>
            <w:tcW w:w="2340" w:type="dxa"/>
            <w:vAlign w:val="bottom"/>
          </w:tcPr>
          <w:p>
            <w:pPr>
              <w:spacing w:after="0"/>
              <w:rPr>
                <w:sz w:val="13"/>
                <w:szCs w:val="13"/>
                <w:color w:val="auto"/>
              </w:rPr>
            </w:pPr>
          </w:p>
        </w:tc>
        <w:tc>
          <w:tcPr>
            <w:tcW w:w="100" w:type="dxa"/>
            <w:vAlign w:val="bottom"/>
            <w:tcBorders>
              <w:bottom w:val="single" w:sz="8" w:color="999999"/>
            </w:tcBorders>
          </w:tcPr>
          <w:p>
            <w:pPr>
              <w:spacing w:after="0"/>
              <w:rPr>
                <w:sz w:val="13"/>
                <w:szCs w:val="13"/>
                <w:color w:val="auto"/>
              </w:rPr>
            </w:pPr>
          </w:p>
        </w:tc>
        <w:tc>
          <w:tcPr>
            <w:tcW w:w="80" w:type="dxa"/>
            <w:vAlign w:val="bottom"/>
            <w:tcBorders>
              <w:bottom w:val="single" w:sz="8" w:color="999999"/>
            </w:tcBorders>
          </w:tcPr>
          <w:p>
            <w:pPr>
              <w:spacing w:after="0"/>
              <w:rPr>
                <w:sz w:val="13"/>
                <w:szCs w:val="13"/>
                <w:color w:val="auto"/>
              </w:rPr>
            </w:pPr>
          </w:p>
        </w:tc>
        <w:tc>
          <w:tcPr>
            <w:tcW w:w="1000" w:type="dxa"/>
            <w:vAlign w:val="bottom"/>
            <w:tcBorders>
              <w:bottom w:val="single" w:sz="8" w:color="999999"/>
            </w:tcBorders>
          </w:tcPr>
          <w:p>
            <w:pPr>
              <w:spacing w:after="0"/>
              <w:rPr>
                <w:sz w:val="13"/>
                <w:szCs w:val="13"/>
                <w:color w:val="auto"/>
              </w:rPr>
            </w:pPr>
          </w:p>
        </w:tc>
        <w:tc>
          <w:tcPr>
            <w:tcW w:w="1240" w:type="dxa"/>
            <w:vAlign w:val="bottom"/>
            <w:tcBorders>
              <w:bottom w:val="single" w:sz="8" w:color="999999"/>
            </w:tcBorders>
          </w:tcPr>
          <w:p>
            <w:pPr>
              <w:jc w:val="right"/>
              <w:ind w:right="8"/>
              <w:spacing w:after="0" w:line="155" w:lineRule="exact"/>
              <w:rPr>
                <w:sz w:val="20"/>
                <w:szCs w:val="20"/>
                <w:color w:val="auto"/>
              </w:rPr>
            </w:pPr>
            <w:r>
              <w:rPr>
                <w:rFonts w:ascii="Arial" w:cs="Arial" w:eastAsia="Arial" w:hAnsi="Arial"/>
                <w:sz w:val="14"/>
                <w:szCs w:val="14"/>
                <w:color w:val="auto"/>
              </w:rPr>
              <w:t>38,428(2)</w:t>
            </w:r>
          </w:p>
        </w:tc>
        <w:tc>
          <w:tcPr>
            <w:tcW w:w="740" w:type="dxa"/>
            <w:vAlign w:val="bottom"/>
            <w:tcBorders>
              <w:bottom w:val="single" w:sz="8" w:color="999999"/>
            </w:tcBorders>
          </w:tcPr>
          <w:p>
            <w:pPr>
              <w:jc w:val="right"/>
              <w:ind w:right="8"/>
              <w:spacing w:after="0" w:line="155" w:lineRule="exact"/>
              <w:rPr>
                <w:sz w:val="20"/>
                <w:szCs w:val="20"/>
                <w:color w:val="auto"/>
              </w:rPr>
            </w:pPr>
            <w:r>
              <w:rPr>
                <w:rFonts w:ascii="Arial" w:cs="Arial" w:eastAsia="Arial" w:hAnsi="Arial"/>
                <w:sz w:val="14"/>
                <w:szCs w:val="14"/>
                <w:color w:val="auto"/>
              </w:rPr>
              <w:t>57.25</w:t>
            </w:r>
          </w:p>
        </w:tc>
        <w:tc>
          <w:tcPr>
            <w:tcW w:w="860" w:type="dxa"/>
            <w:vAlign w:val="bottom"/>
            <w:tcBorders>
              <w:bottom w:val="single" w:sz="8" w:color="999999"/>
            </w:tcBorders>
            <w:gridSpan w:val="2"/>
          </w:tcPr>
          <w:p>
            <w:pPr>
              <w:jc w:val="right"/>
              <w:ind w:right="60"/>
              <w:spacing w:after="0" w:line="155" w:lineRule="exact"/>
              <w:rPr>
                <w:sz w:val="20"/>
                <w:szCs w:val="20"/>
                <w:color w:val="auto"/>
              </w:rPr>
            </w:pPr>
            <w:r>
              <w:rPr>
                <w:rFonts w:ascii="Arial" w:cs="Arial" w:eastAsia="Arial" w:hAnsi="Arial"/>
                <w:sz w:val="14"/>
                <w:szCs w:val="14"/>
                <w:color w:val="auto"/>
              </w:rPr>
              <w:t>2/11/2026</w:t>
            </w:r>
          </w:p>
        </w:tc>
        <w:tc>
          <w:tcPr>
            <w:tcW w:w="60" w:type="dxa"/>
            <w:vAlign w:val="bottom"/>
            <w:tcBorders>
              <w:bottom w:val="single" w:sz="8" w:color="999999"/>
            </w:tcBorders>
          </w:tcPr>
          <w:p>
            <w:pPr>
              <w:spacing w:after="0"/>
              <w:rPr>
                <w:sz w:val="13"/>
                <w:szCs w:val="13"/>
                <w:color w:val="auto"/>
              </w:rPr>
            </w:pPr>
          </w:p>
        </w:tc>
        <w:tc>
          <w:tcPr>
            <w:tcW w:w="1020" w:type="dxa"/>
            <w:vAlign w:val="bottom"/>
            <w:tcBorders>
              <w:bottom w:val="single" w:sz="8" w:color="999999"/>
            </w:tcBorders>
          </w:tcPr>
          <w:p>
            <w:pPr>
              <w:spacing w:after="0"/>
              <w:rPr>
                <w:sz w:val="13"/>
                <w:szCs w:val="13"/>
                <w:color w:val="auto"/>
              </w:rPr>
            </w:pPr>
          </w:p>
        </w:tc>
        <w:tc>
          <w:tcPr>
            <w:tcW w:w="1040" w:type="dxa"/>
            <w:vAlign w:val="bottom"/>
            <w:tcBorders>
              <w:bottom w:val="single" w:sz="8" w:color="999999"/>
            </w:tcBorders>
          </w:tcPr>
          <w:p>
            <w:pPr>
              <w:spacing w:after="0"/>
              <w:rPr>
                <w:sz w:val="13"/>
                <w:szCs w:val="13"/>
                <w:color w:val="auto"/>
              </w:rPr>
            </w:pPr>
          </w:p>
        </w:tc>
        <w:tc>
          <w:tcPr>
            <w:tcW w:w="1240" w:type="dxa"/>
            <w:vAlign w:val="bottom"/>
            <w:tcBorders>
              <w:bottom w:val="single" w:sz="8" w:color="999999"/>
            </w:tcBorders>
          </w:tcPr>
          <w:p>
            <w:pPr>
              <w:spacing w:after="0"/>
              <w:rPr>
                <w:sz w:val="13"/>
                <w:szCs w:val="13"/>
                <w:color w:val="auto"/>
              </w:rPr>
            </w:pPr>
          </w:p>
        </w:tc>
        <w:tc>
          <w:tcPr>
            <w:tcW w:w="960" w:type="dxa"/>
            <w:vAlign w:val="bottom"/>
            <w:tcBorders>
              <w:bottom w:val="single" w:sz="8" w:color="999999"/>
            </w:tcBorders>
          </w:tcPr>
          <w:p>
            <w:pPr>
              <w:spacing w:after="0"/>
              <w:rPr>
                <w:sz w:val="13"/>
                <w:szCs w:val="13"/>
                <w:color w:val="auto"/>
              </w:rPr>
            </w:pPr>
          </w:p>
        </w:tc>
        <w:tc>
          <w:tcPr>
            <w:tcW w:w="320" w:type="dxa"/>
            <w:vAlign w:val="bottom"/>
            <w:tcBorders>
              <w:bottom w:val="single" w:sz="8" w:color="999999"/>
            </w:tcBorders>
          </w:tcPr>
          <w:p>
            <w:pPr>
              <w:spacing w:after="0"/>
              <w:rPr>
                <w:sz w:val="13"/>
                <w:szCs w:val="13"/>
                <w:color w:val="auto"/>
              </w:rPr>
            </w:pPr>
          </w:p>
        </w:tc>
      </w:tr>
      <w:tr>
        <w:trPr>
          <w:trHeight w:val="155"/>
        </w:trPr>
        <w:tc>
          <w:tcPr>
            <w:tcW w:w="2340" w:type="dxa"/>
            <w:vAlign w:val="bottom"/>
          </w:tcPr>
          <w:p>
            <w:pPr>
              <w:spacing w:after="0"/>
              <w:rPr>
                <w:sz w:val="13"/>
                <w:szCs w:val="13"/>
                <w:color w:val="auto"/>
              </w:rPr>
            </w:pPr>
          </w:p>
        </w:tc>
        <w:tc>
          <w:tcPr>
            <w:tcW w:w="100" w:type="dxa"/>
            <w:vAlign w:val="bottom"/>
            <w:tcBorders>
              <w:bottom w:val="single" w:sz="8" w:color="999999"/>
            </w:tcBorders>
          </w:tcPr>
          <w:p>
            <w:pPr>
              <w:spacing w:after="0"/>
              <w:rPr>
                <w:sz w:val="13"/>
                <w:szCs w:val="13"/>
                <w:color w:val="auto"/>
              </w:rPr>
            </w:pPr>
          </w:p>
        </w:tc>
        <w:tc>
          <w:tcPr>
            <w:tcW w:w="80" w:type="dxa"/>
            <w:vAlign w:val="bottom"/>
            <w:tcBorders>
              <w:bottom w:val="single" w:sz="8" w:color="999999"/>
            </w:tcBorders>
          </w:tcPr>
          <w:p>
            <w:pPr>
              <w:spacing w:after="0"/>
              <w:rPr>
                <w:sz w:val="13"/>
                <w:szCs w:val="13"/>
                <w:color w:val="auto"/>
              </w:rPr>
            </w:pPr>
          </w:p>
        </w:tc>
        <w:tc>
          <w:tcPr>
            <w:tcW w:w="1000" w:type="dxa"/>
            <w:vAlign w:val="bottom"/>
            <w:tcBorders>
              <w:bottom w:val="single" w:sz="8" w:color="999999"/>
            </w:tcBorders>
          </w:tcPr>
          <w:p>
            <w:pPr>
              <w:spacing w:after="0"/>
              <w:rPr>
                <w:sz w:val="13"/>
                <w:szCs w:val="13"/>
                <w:color w:val="auto"/>
              </w:rPr>
            </w:pPr>
          </w:p>
        </w:tc>
        <w:tc>
          <w:tcPr>
            <w:tcW w:w="1240" w:type="dxa"/>
            <w:vAlign w:val="bottom"/>
            <w:tcBorders>
              <w:bottom w:val="single" w:sz="8" w:color="999999"/>
            </w:tcBorders>
          </w:tcPr>
          <w:p>
            <w:pPr>
              <w:jc w:val="right"/>
              <w:ind w:right="8"/>
              <w:spacing w:after="0" w:line="155" w:lineRule="exact"/>
              <w:rPr>
                <w:sz w:val="20"/>
                <w:szCs w:val="20"/>
                <w:color w:val="auto"/>
              </w:rPr>
            </w:pPr>
            <w:r>
              <w:rPr>
                <w:rFonts w:ascii="Arial" w:cs="Arial" w:eastAsia="Arial" w:hAnsi="Arial"/>
                <w:sz w:val="14"/>
                <w:szCs w:val="14"/>
                <w:color w:val="auto"/>
              </w:rPr>
              <w:t>30,022(3)</w:t>
            </w:r>
          </w:p>
        </w:tc>
        <w:tc>
          <w:tcPr>
            <w:tcW w:w="740" w:type="dxa"/>
            <w:vAlign w:val="bottom"/>
            <w:tcBorders>
              <w:bottom w:val="single" w:sz="8" w:color="999999"/>
            </w:tcBorders>
          </w:tcPr>
          <w:p>
            <w:pPr>
              <w:jc w:val="right"/>
              <w:ind w:right="8"/>
              <w:spacing w:after="0" w:line="155" w:lineRule="exact"/>
              <w:rPr>
                <w:sz w:val="20"/>
                <w:szCs w:val="20"/>
                <w:color w:val="auto"/>
              </w:rPr>
            </w:pPr>
            <w:r>
              <w:rPr>
                <w:rFonts w:ascii="Arial" w:cs="Arial" w:eastAsia="Arial" w:hAnsi="Arial"/>
                <w:sz w:val="14"/>
                <w:szCs w:val="14"/>
                <w:color w:val="auto"/>
              </w:rPr>
              <w:t>73.28</w:t>
            </w:r>
          </w:p>
        </w:tc>
        <w:tc>
          <w:tcPr>
            <w:tcW w:w="860" w:type="dxa"/>
            <w:vAlign w:val="bottom"/>
            <w:tcBorders>
              <w:bottom w:val="single" w:sz="8" w:color="999999"/>
            </w:tcBorders>
            <w:gridSpan w:val="2"/>
          </w:tcPr>
          <w:p>
            <w:pPr>
              <w:jc w:val="right"/>
              <w:ind w:right="60"/>
              <w:spacing w:after="0" w:line="155" w:lineRule="exact"/>
              <w:rPr>
                <w:sz w:val="20"/>
                <w:szCs w:val="20"/>
                <w:color w:val="auto"/>
              </w:rPr>
            </w:pPr>
            <w:r>
              <w:rPr>
                <w:rFonts w:ascii="Arial" w:cs="Arial" w:eastAsia="Arial" w:hAnsi="Arial"/>
                <w:sz w:val="14"/>
                <w:szCs w:val="14"/>
                <w:color w:val="auto"/>
              </w:rPr>
              <w:t>2/12/2025</w:t>
            </w:r>
          </w:p>
        </w:tc>
        <w:tc>
          <w:tcPr>
            <w:tcW w:w="60" w:type="dxa"/>
            <w:vAlign w:val="bottom"/>
            <w:tcBorders>
              <w:bottom w:val="single" w:sz="8" w:color="999999"/>
            </w:tcBorders>
          </w:tcPr>
          <w:p>
            <w:pPr>
              <w:spacing w:after="0"/>
              <w:rPr>
                <w:sz w:val="13"/>
                <w:szCs w:val="13"/>
                <w:color w:val="auto"/>
              </w:rPr>
            </w:pPr>
          </w:p>
        </w:tc>
        <w:tc>
          <w:tcPr>
            <w:tcW w:w="1020" w:type="dxa"/>
            <w:vAlign w:val="bottom"/>
            <w:tcBorders>
              <w:bottom w:val="single" w:sz="8" w:color="999999"/>
            </w:tcBorders>
          </w:tcPr>
          <w:p>
            <w:pPr>
              <w:spacing w:after="0"/>
              <w:rPr>
                <w:sz w:val="13"/>
                <w:szCs w:val="13"/>
                <w:color w:val="auto"/>
              </w:rPr>
            </w:pPr>
          </w:p>
        </w:tc>
        <w:tc>
          <w:tcPr>
            <w:tcW w:w="1040" w:type="dxa"/>
            <w:vAlign w:val="bottom"/>
            <w:tcBorders>
              <w:bottom w:val="single" w:sz="8" w:color="999999"/>
            </w:tcBorders>
          </w:tcPr>
          <w:p>
            <w:pPr>
              <w:spacing w:after="0"/>
              <w:rPr>
                <w:sz w:val="13"/>
                <w:szCs w:val="13"/>
                <w:color w:val="auto"/>
              </w:rPr>
            </w:pPr>
          </w:p>
        </w:tc>
        <w:tc>
          <w:tcPr>
            <w:tcW w:w="1240" w:type="dxa"/>
            <w:vAlign w:val="bottom"/>
            <w:tcBorders>
              <w:bottom w:val="single" w:sz="8" w:color="999999"/>
            </w:tcBorders>
          </w:tcPr>
          <w:p>
            <w:pPr>
              <w:spacing w:after="0"/>
              <w:rPr>
                <w:sz w:val="13"/>
                <w:szCs w:val="13"/>
                <w:color w:val="auto"/>
              </w:rPr>
            </w:pPr>
          </w:p>
        </w:tc>
        <w:tc>
          <w:tcPr>
            <w:tcW w:w="960" w:type="dxa"/>
            <w:vAlign w:val="bottom"/>
            <w:tcBorders>
              <w:bottom w:val="single" w:sz="8" w:color="999999"/>
            </w:tcBorders>
          </w:tcPr>
          <w:p>
            <w:pPr>
              <w:spacing w:after="0"/>
              <w:rPr>
                <w:sz w:val="13"/>
                <w:szCs w:val="13"/>
                <w:color w:val="auto"/>
              </w:rPr>
            </w:pPr>
          </w:p>
        </w:tc>
        <w:tc>
          <w:tcPr>
            <w:tcW w:w="320" w:type="dxa"/>
            <w:vAlign w:val="bottom"/>
            <w:tcBorders>
              <w:bottom w:val="single" w:sz="8" w:color="999999"/>
            </w:tcBorders>
          </w:tcPr>
          <w:p>
            <w:pPr>
              <w:spacing w:after="0"/>
              <w:rPr>
                <w:sz w:val="13"/>
                <w:szCs w:val="13"/>
                <w:color w:val="auto"/>
              </w:rPr>
            </w:pPr>
          </w:p>
        </w:tc>
      </w:tr>
      <w:tr>
        <w:trPr>
          <w:trHeight w:val="155"/>
        </w:trPr>
        <w:tc>
          <w:tcPr>
            <w:tcW w:w="2340" w:type="dxa"/>
            <w:vAlign w:val="bottom"/>
          </w:tcPr>
          <w:p>
            <w:pPr>
              <w:spacing w:after="0"/>
              <w:rPr>
                <w:sz w:val="13"/>
                <w:szCs w:val="13"/>
                <w:color w:val="auto"/>
              </w:rPr>
            </w:pPr>
          </w:p>
        </w:tc>
        <w:tc>
          <w:tcPr>
            <w:tcW w:w="1180" w:type="dxa"/>
            <w:vAlign w:val="bottom"/>
            <w:tcBorders>
              <w:bottom w:val="single" w:sz="8" w:color="999999"/>
            </w:tcBorders>
            <w:gridSpan w:val="3"/>
          </w:tcPr>
          <w:p>
            <w:pPr>
              <w:jc w:val="right"/>
              <w:spacing w:after="0" w:line="155" w:lineRule="exact"/>
              <w:rPr>
                <w:sz w:val="20"/>
                <w:szCs w:val="20"/>
                <w:color w:val="auto"/>
              </w:rPr>
            </w:pPr>
            <w:r>
              <w:rPr>
                <w:rFonts w:ascii="Arial" w:cs="Arial" w:eastAsia="Arial" w:hAnsi="Arial"/>
                <w:sz w:val="14"/>
                <w:szCs w:val="14"/>
                <w:color w:val="auto"/>
              </w:rPr>
              <w:t>24,239(4)</w:t>
            </w:r>
          </w:p>
        </w:tc>
        <w:tc>
          <w:tcPr>
            <w:tcW w:w="1240" w:type="dxa"/>
            <w:vAlign w:val="bottom"/>
            <w:tcBorders>
              <w:bottom w:val="single" w:sz="8" w:color="999999"/>
            </w:tcBorders>
          </w:tcPr>
          <w:p>
            <w:pPr>
              <w:spacing w:after="0"/>
              <w:rPr>
                <w:sz w:val="13"/>
                <w:szCs w:val="13"/>
                <w:color w:val="auto"/>
              </w:rPr>
            </w:pPr>
          </w:p>
        </w:tc>
        <w:tc>
          <w:tcPr>
            <w:tcW w:w="740" w:type="dxa"/>
            <w:vAlign w:val="bottom"/>
            <w:tcBorders>
              <w:bottom w:val="single" w:sz="8" w:color="999999"/>
            </w:tcBorders>
          </w:tcPr>
          <w:p>
            <w:pPr>
              <w:jc w:val="right"/>
              <w:ind w:right="8"/>
              <w:spacing w:after="0" w:line="155" w:lineRule="exact"/>
              <w:rPr>
                <w:sz w:val="20"/>
                <w:szCs w:val="20"/>
                <w:color w:val="auto"/>
              </w:rPr>
            </w:pPr>
            <w:r>
              <w:rPr>
                <w:rFonts w:ascii="Arial" w:cs="Arial" w:eastAsia="Arial" w:hAnsi="Arial"/>
                <w:sz w:val="14"/>
                <w:szCs w:val="14"/>
                <w:color w:val="auto"/>
              </w:rPr>
              <w:t>82.51</w:t>
            </w:r>
          </w:p>
        </w:tc>
        <w:tc>
          <w:tcPr>
            <w:tcW w:w="860" w:type="dxa"/>
            <w:vAlign w:val="bottom"/>
            <w:tcBorders>
              <w:bottom w:val="single" w:sz="8" w:color="999999"/>
            </w:tcBorders>
            <w:gridSpan w:val="2"/>
          </w:tcPr>
          <w:p>
            <w:pPr>
              <w:jc w:val="right"/>
              <w:ind w:right="60"/>
              <w:spacing w:after="0" w:line="155" w:lineRule="exact"/>
              <w:rPr>
                <w:sz w:val="20"/>
                <w:szCs w:val="20"/>
                <w:color w:val="auto"/>
              </w:rPr>
            </w:pPr>
            <w:r>
              <w:rPr>
                <w:rFonts w:ascii="Arial" w:cs="Arial" w:eastAsia="Arial" w:hAnsi="Arial"/>
                <w:sz w:val="14"/>
                <w:szCs w:val="14"/>
                <w:color w:val="auto"/>
              </w:rPr>
              <w:t>3/10/2024</w:t>
            </w:r>
          </w:p>
        </w:tc>
        <w:tc>
          <w:tcPr>
            <w:tcW w:w="60" w:type="dxa"/>
            <w:vAlign w:val="bottom"/>
            <w:tcBorders>
              <w:bottom w:val="single" w:sz="8" w:color="999999"/>
            </w:tcBorders>
          </w:tcPr>
          <w:p>
            <w:pPr>
              <w:spacing w:after="0"/>
              <w:rPr>
                <w:sz w:val="13"/>
                <w:szCs w:val="13"/>
                <w:color w:val="auto"/>
              </w:rPr>
            </w:pPr>
          </w:p>
        </w:tc>
        <w:tc>
          <w:tcPr>
            <w:tcW w:w="1020" w:type="dxa"/>
            <w:vAlign w:val="bottom"/>
            <w:tcBorders>
              <w:bottom w:val="single" w:sz="8" w:color="999999"/>
            </w:tcBorders>
          </w:tcPr>
          <w:p>
            <w:pPr>
              <w:spacing w:after="0"/>
              <w:rPr>
                <w:sz w:val="13"/>
                <w:szCs w:val="13"/>
                <w:color w:val="auto"/>
              </w:rPr>
            </w:pPr>
          </w:p>
        </w:tc>
        <w:tc>
          <w:tcPr>
            <w:tcW w:w="1040" w:type="dxa"/>
            <w:vAlign w:val="bottom"/>
            <w:tcBorders>
              <w:bottom w:val="single" w:sz="8" w:color="999999"/>
            </w:tcBorders>
          </w:tcPr>
          <w:p>
            <w:pPr>
              <w:spacing w:after="0"/>
              <w:rPr>
                <w:sz w:val="13"/>
                <w:szCs w:val="13"/>
                <w:color w:val="auto"/>
              </w:rPr>
            </w:pPr>
          </w:p>
        </w:tc>
        <w:tc>
          <w:tcPr>
            <w:tcW w:w="1240" w:type="dxa"/>
            <w:vAlign w:val="bottom"/>
            <w:tcBorders>
              <w:bottom w:val="single" w:sz="8" w:color="999999"/>
            </w:tcBorders>
          </w:tcPr>
          <w:p>
            <w:pPr>
              <w:spacing w:after="0"/>
              <w:rPr>
                <w:sz w:val="13"/>
                <w:szCs w:val="13"/>
                <w:color w:val="auto"/>
              </w:rPr>
            </w:pPr>
          </w:p>
        </w:tc>
        <w:tc>
          <w:tcPr>
            <w:tcW w:w="960" w:type="dxa"/>
            <w:vAlign w:val="bottom"/>
            <w:tcBorders>
              <w:bottom w:val="single" w:sz="8" w:color="999999"/>
            </w:tcBorders>
          </w:tcPr>
          <w:p>
            <w:pPr>
              <w:spacing w:after="0"/>
              <w:rPr>
                <w:sz w:val="13"/>
                <w:szCs w:val="13"/>
                <w:color w:val="auto"/>
              </w:rPr>
            </w:pPr>
          </w:p>
        </w:tc>
        <w:tc>
          <w:tcPr>
            <w:tcW w:w="320" w:type="dxa"/>
            <w:vAlign w:val="bottom"/>
            <w:tcBorders>
              <w:bottom w:val="single" w:sz="8" w:color="999999"/>
            </w:tcBorders>
          </w:tcPr>
          <w:p>
            <w:pPr>
              <w:spacing w:after="0"/>
              <w:rPr>
                <w:sz w:val="13"/>
                <w:szCs w:val="13"/>
                <w:color w:val="auto"/>
              </w:rPr>
            </w:pPr>
          </w:p>
        </w:tc>
      </w:tr>
      <w:tr>
        <w:trPr>
          <w:trHeight w:val="155"/>
        </w:trPr>
        <w:tc>
          <w:tcPr>
            <w:tcW w:w="2340" w:type="dxa"/>
            <w:vAlign w:val="bottom"/>
          </w:tcPr>
          <w:p>
            <w:pPr>
              <w:spacing w:after="0"/>
              <w:rPr>
                <w:sz w:val="13"/>
                <w:szCs w:val="13"/>
                <w:color w:val="auto"/>
              </w:rPr>
            </w:pPr>
          </w:p>
        </w:tc>
        <w:tc>
          <w:tcPr>
            <w:tcW w:w="1180" w:type="dxa"/>
            <w:vAlign w:val="bottom"/>
            <w:tcBorders>
              <w:bottom w:val="single" w:sz="8" w:color="999999"/>
            </w:tcBorders>
            <w:gridSpan w:val="3"/>
          </w:tcPr>
          <w:p>
            <w:pPr>
              <w:jc w:val="right"/>
              <w:spacing w:after="0" w:line="155" w:lineRule="exact"/>
              <w:rPr>
                <w:sz w:val="20"/>
                <w:szCs w:val="20"/>
                <w:color w:val="auto"/>
              </w:rPr>
            </w:pPr>
            <w:r>
              <w:rPr>
                <w:rFonts w:ascii="Arial" w:cs="Arial" w:eastAsia="Arial" w:hAnsi="Arial"/>
                <w:sz w:val="14"/>
                <w:szCs w:val="14"/>
                <w:color w:val="auto"/>
              </w:rPr>
              <w:t>14,211(5)</w:t>
            </w:r>
          </w:p>
        </w:tc>
        <w:tc>
          <w:tcPr>
            <w:tcW w:w="1240" w:type="dxa"/>
            <w:vAlign w:val="bottom"/>
            <w:tcBorders>
              <w:bottom w:val="single" w:sz="8" w:color="999999"/>
            </w:tcBorders>
          </w:tcPr>
          <w:p>
            <w:pPr>
              <w:spacing w:after="0"/>
              <w:rPr>
                <w:sz w:val="13"/>
                <w:szCs w:val="13"/>
                <w:color w:val="auto"/>
              </w:rPr>
            </w:pPr>
          </w:p>
        </w:tc>
        <w:tc>
          <w:tcPr>
            <w:tcW w:w="740" w:type="dxa"/>
            <w:vAlign w:val="bottom"/>
            <w:tcBorders>
              <w:bottom w:val="single" w:sz="8" w:color="999999"/>
            </w:tcBorders>
          </w:tcPr>
          <w:p>
            <w:pPr>
              <w:jc w:val="right"/>
              <w:ind w:right="8"/>
              <w:spacing w:after="0" w:line="155" w:lineRule="exact"/>
              <w:rPr>
                <w:sz w:val="20"/>
                <w:szCs w:val="20"/>
                <w:color w:val="auto"/>
              </w:rPr>
            </w:pPr>
            <w:r>
              <w:rPr>
                <w:rFonts w:ascii="Arial" w:cs="Arial" w:eastAsia="Arial" w:hAnsi="Arial"/>
                <w:sz w:val="14"/>
                <w:szCs w:val="14"/>
                <w:color w:val="auto"/>
              </w:rPr>
              <w:t>63.33</w:t>
            </w:r>
          </w:p>
        </w:tc>
        <w:tc>
          <w:tcPr>
            <w:tcW w:w="860" w:type="dxa"/>
            <w:vAlign w:val="bottom"/>
            <w:tcBorders>
              <w:bottom w:val="single" w:sz="8" w:color="999999"/>
            </w:tcBorders>
            <w:gridSpan w:val="2"/>
          </w:tcPr>
          <w:p>
            <w:pPr>
              <w:jc w:val="right"/>
              <w:ind w:right="60"/>
              <w:spacing w:after="0" w:line="155" w:lineRule="exact"/>
              <w:rPr>
                <w:sz w:val="20"/>
                <w:szCs w:val="20"/>
                <w:color w:val="auto"/>
              </w:rPr>
            </w:pPr>
            <w:r>
              <w:rPr>
                <w:rFonts w:ascii="Arial" w:cs="Arial" w:eastAsia="Arial" w:hAnsi="Arial"/>
                <w:sz w:val="14"/>
                <w:szCs w:val="14"/>
                <w:color w:val="auto"/>
              </w:rPr>
              <w:t>2/14/2023</w:t>
            </w:r>
          </w:p>
        </w:tc>
        <w:tc>
          <w:tcPr>
            <w:tcW w:w="60" w:type="dxa"/>
            <w:vAlign w:val="bottom"/>
            <w:tcBorders>
              <w:bottom w:val="single" w:sz="8" w:color="999999"/>
            </w:tcBorders>
          </w:tcPr>
          <w:p>
            <w:pPr>
              <w:spacing w:after="0"/>
              <w:rPr>
                <w:sz w:val="13"/>
                <w:szCs w:val="13"/>
                <w:color w:val="auto"/>
              </w:rPr>
            </w:pPr>
          </w:p>
        </w:tc>
        <w:tc>
          <w:tcPr>
            <w:tcW w:w="1020" w:type="dxa"/>
            <w:vAlign w:val="bottom"/>
            <w:tcBorders>
              <w:bottom w:val="single" w:sz="8" w:color="999999"/>
            </w:tcBorders>
          </w:tcPr>
          <w:p>
            <w:pPr>
              <w:spacing w:after="0"/>
              <w:rPr>
                <w:sz w:val="13"/>
                <w:szCs w:val="13"/>
                <w:color w:val="auto"/>
              </w:rPr>
            </w:pPr>
          </w:p>
        </w:tc>
        <w:tc>
          <w:tcPr>
            <w:tcW w:w="1040" w:type="dxa"/>
            <w:vAlign w:val="bottom"/>
            <w:tcBorders>
              <w:bottom w:val="single" w:sz="8" w:color="999999"/>
            </w:tcBorders>
          </w:tcPr>
          <w:p>
            <w:pPr>
              <w:spacing w:after="0"/>
              <w:rPr>
                <w:sz w:val="13"/>
                <w:szCs w:val="13"/>
                <w:color w:val="auto"/>
              </w:rPr>
            </w:pPr>
          </w:p>
        </w:tc>
        <w:tc>
          <w:tcPr>
            <w:tcW w:w="1240" w:type="dxa"/>
            <w:vAlign w:val="bottom"/>
            <w:tcBorders>
              <w:bottom w:val="single" w:sz="8" w:color="999999"/>
            </w:tcBorders>
          </w:tcPr>
          <w:p>
            <w:pPr>
              <w:spacing w:after="0"/>
              <w:rPr>
                <w:sz w:val="13"/>
                <w:szCs w:val="13"/>
                <w:color w:val="auto"/>
              </w:rPr>
            </w:pPr>
          </w:p>
        </w:tc>
        <w:tc>
          <w:tcPr>
            <w:tcW w:w="960" w:type="dxa"/>
            <w:vAlign w:val="bottom"/>
            <w:tcBorders>
              <w:bottom w:val="single" w:sz="8" w:color="999999"/>
            </w:tcBorders>
          </w:tcPr>
          <w:p>
            <w:pPr>
              <w:spacing w:after="0"/>
              <w:rPr>
                <w:sz w:val="13"/>
                <w:szCs w:val="13"/>
                <w:color w:val="auto"/>
              </w:rPr>
            </w:pPr>
          </w:p>
        </w:tc>
        <w:tc>
          <w:tcPr>
            <w:tcW w:w="320" w:type="dxa"/>
            <w:vAlign w:val="bottom"/>
            <w:tcBorders>
              <w:bottom w:val="single" w:sz="8" w:color="999999"/>
            </w:tcBorders>
          </w:tcPr>
          <w:p>
            <w:pPr>
              <w:spacing w:after="0"/>
              <w:rPr>
                <w:sz w:val="13"/>
                <w:szCs w:val="13"/>
                <w:color w:val="auto"/>
              </w:rPr>
            </w:pPr>
          </w:p>
        </w:tc>
      </w:tr>
      <w:tr>
        <w:trPr>
          <w:trHeight w:val="155"/>
        </w:trPr>
        <w:tc>
          <w:tcPr>
            <w:tcW w:w="2340" w:type="dxa"/>
            <w:vAlign w:val="bottom"/>
          </w:tcPr>
          <w:p>
            <w:pPr>
              <w:spacing w:after="0"/>
              <w:rPr>
                <w:sz w:val="13"/>
                <w:szCs w:val="13"/>
                <w:color w:val="auto"/>
              </w:rPr>
            </w:pPr>
          </w:p>
        </w:tc>
        <w:tc>
          <w:tcPr>
            <w:tcW w:w="1180" w:type="dxa"/>
            <w:vAlign w:val="bottom"/>
            <w:tcBorders>
              <w:bottom w:val="single" w:sz="8" w:color="999999"/>
            </w:tcBorders>
            <w:gridSpan w:val="3"/>
          </w:tcPr>
          <w:p>
            <w:pPr>
              <w:jc w:val="right"/>
              <w:spacing w:after="0" w:line="155" w:lineRule="exact"/>
              <w:rPr>
                <w:sz w:val="20"/>
                <w:szCs w:val="20"/>
                <w:color w:val="auto"/>
              </w:rPr>
            </w:pPr>
            <w:r>
              <w:rPr>
                <w:rFonts w:ascii="Arial" w:cs="Arial" w:eastAsia="Arial" w:hAnsi="Arial"/>
                <w:sz w:val="14"/>
                <w:szCs w:val="14"/>
                <w:color w:val="auto"/>
              </w:rPr>
              <w:t>15,620(6)</w:t>
            </w:r>
          </w:p>
        </w:tc>
        <w:tc>
          <w:tcPr>
            <w:tcW w:w="1240" w:type="dxa"/>
            <w:vAlign w:val="bottom"/>
            <w:tcBorders>
              <w:bottom w:val="single" w:sz="8" w:color="999999"/>
            </w:tcBorders>
          </w:tcPr>
          <w:p>
            <w:pPr>
              <w:spacing w:after="0"/>
              <w:rPr>
                <w:sz w:val="13"/>
                <w:szCs w:val="13"/>
                <w:color w:val="auto"/>
              </w:rPr>
            </w:pPr>
          </w:p>
        </w:tc>
        <w:tc>
          <w:tcPr>
            <w:tcW w:w="740" w:type="dxa"/>
            <w:vAlign w:val="bottom"/>
            <w:tcBorders>
              <w:bottom w:val="single" w:sz="8" w:color="999999"/>
            </w:tcBorders>
          </w:tcPr>
          <w:p>
            <w:pPr>
              <w:jc w:val="right"/>
              <w:ind w:right="8"/>
              <w:spacing w:after="0" w:line="155" w:lineRule="exact"/>
              <w:rPr>
                <w:sz w:val="20"/>
                <w:szCs w:val="20"/>
                <w:color w:val="auto"/>
              </w:rPr>
            </w:pPr>
            <w:r>
              <w:rPr>
                <w:rFonts w:ascii="Arial" w:cs="Arial" w:eastAsia="Arial" w:hAnsi="Arial"/>
                <w:sz w:val="14"/>
                <w:szCs w:val="14"/>
                <w:color w:val="auto"/>
              </w:rPr>
              <w:t>57.62</w:t>
            </w:r>
          </w:p>
        </w:tc>
        <w:tc>
          <w:tcPr>
            <w:tcW w:w="860" w:type="dxa"/>
            <w:vAlign w:val="bottom"/>
            <w:tcBorders>
              <w:bottom w:val="single" w:sz="8" w:color="999999"/>
            </w:tcBorders>
            <w:gridSpan w:val="2"/>
          </w:tcPr>
          <w:p>
            <w:pPr>
              <w:jc w:val="right"/>
              <w:ind w:right="60"/>
              <w:spacing w:after="0" w:line="155" w:lineRule="exact"/>
              <w:rPr>
                <w:sz w:val="20"/>
                <w:szCs w:val="20"/>
                <w:color w:val="auto"/>
              </w:rPr>
            </w:pPr>
            <w:r>
              <w:rPr>
                <w:rFonts w:ascii="Arial" w:cs="Arial" w:eastAsia="Arial" w:hAnsi="Arial"/>
                <w:sz w:val="14"/>
                <w:szCs w:val="14"/>
                <w:color w:val="auto"/>
              </w:rPr>
              <w:t>2/9/2022</w:t>
            </w:r>
          </w:p>
        </w:tc>
        <w:tc>
          <w:tcPr>
            <w:tcW w:w="60" w:type="dxa"/>
            <w:vAlign w:val="bottom"/>
            <w:tcBorders>
              <w:bottom w:val="single" w:sz="8" w:color="999999"/>
            </w:tcBorders>
          </w:tcPr>
          <w:p>
            <w:pPr>
              <w:spacing w:after="0"/>
              <w:rPr>
                <w:sz w:val="13"/>
                <w:szCs w:val="13"/>
                <w:color w:val="auto"/>
              </w:rPr>
            </w:pPr>
          </w:p>
        </w:tc>
        <w:tc>
          <w:tcPr>
            <w:tcW w:w="1020" w:type="dxa"/>
            <w:vAlign w:val="bottom"/>
            <w:tcBorders>
              <w:bottom w:val="single" w:sz="8" w:color="999999"/>
            </w:tcBorders>
          </w:tcPr>
          <w:p>
            <w:pPr>
              <w:spacing w:after="0"/>
              <w:rPr>
                <w:sz w:val="13"/>
                <w:szCs w:val="13"/>
                <w:color w:val="auto"/>
              </w:rPr>
            </w:pPr>
          </w:p>
        </w:tc>
        <w:tc>
          <w:tcPr>
            <w:tcW w:w="1040" w:type="dxa"/>
            <w:vAlign w:val="bottom"/>
            <w:tcBorders>
              <w:bottom w:val="single" w:sz="8" w:color="999999"/>
            </w:tcBorders>
          </w:tcPr>
          <w:p>
            <w:pPr>
              <w:spacing w:after="0"/>
              <w:rPr>
                <w:sz w:val="13"/>
                <w:szCs w:val="13"/>
                <w:color w:val="auto"/>
              </w:rPr>
            </w:pPr>
          </w:p>
        </w:tc>
        <w:tc>
          <w:tcPr>
            <w:tcW w:w="1240" w:type="dxa"/>
            <w:vAlign w:val="bottom"/>
            <w:tcBorders>
              <w:bottom w:val="single" w:sz="8" w:color="999999"/>
            </w:tcBorders>
          </w:tcPr>
          <w:p>
            <w:pPr>
              <w:spacing w:after="0"/>
              <w:rPr>
                <w:sz w:val="13"/>
                <w:szCs w:val="13"/>
                <w:color w:val="auto"/>
              </w:rPr>
            </w:pPr>
          </w:p>
        </w:tc>
        <w:tc>
          <w:tcPr>
            <w:tcW w:w="960" w:type="dxa"/>
            <w:vAlign w:val="bottom"/>
            <w:tcBorders>
              <w:bottom w:val="single" w:sz="8" w:color="999999"/>
            </w:tcBorders>
          </w:tcPr>
          <w:p>
            <w:pPr>
              <w:spacing w:after="0"/>
              <w:rPr>
                <w:sz w:val="13"/>
                <w:szCs w:val="13"/>
                <w:color w:val="auto"/>
              </w:rPr>
            </w:pPr>
          </w:p>
        </w:tc>
        <w:tc>
          <w:tcPr>
            <w:tcW w:w="320" w:type="dxa"/>
            <w:vAlign w:val="bottom"/>
            <w:tcBorders>
              <w:bottom w:val="single" w:sz="8" w:color="999999"/>
            </w:tcBorders>
          </w:tcPr>
          <w:p>
            <w:pPr>
              <w:spacing w:after="0"/>
              <w:rPr>
                <w:sz w:val="13"/>
                <w:szCs w:val="13"/>
                <w:color w:val="auto"/>
              </w:rPr>
            </w:pPr>
          </w:p>
        </w:tc>
      </w:tr>
      <w:tr>
        <w:trPr>
          <w:trHeight w:val="155"/>
        </w:trPr>
        <w:tc>
          <w:tcPr>
            <w:tcW w:w="2340" w:type="dxa"/>
            <w:vAlign w:val="bottom"/>
          </w:tcPr>
          <w:p>
            <w:pPr>
              <w:spacing w:after="0"/>
              <w:rPr>
                <w:sz w:val="13"/>
                <w:szCs w:val="13"/>
                <w:color w:val="auto"/>
              </w:rPr>
            </w:pPr>
          </w:p>
        </w:tc>
        <w:tc>
          <w:tcPr>
            <w:tcW w:w="1180" w:type="dxa"/>
            <w:vAlign w:val="bottom"/>
            <w:tcBorders>
              <w:bottom w:val="single" w:sz="8" w:color="999999"/>
            </w:tcBorders>
            <w:gridSpan w:val="3"/>
          </w:tcPr>
          <w:p>
            <w:pPr>
              <w:jc w:val="right"/>
              <w:spacing w:after="0" w:line="155" w:lineRule="exact"/>
              <w:rPr>
                <w:sz w:val="20"/>
                <w:szCs w:val="20"/>
                <w:color w:val="auto"/>
              </w:rPr>
            </w:pPr>
            <w:r>
              <w:rPr>
                <w:rFonts w:ascii="Arial" w:cs="Arial" w:eastAsia="Arial" w:hAnsi="Arial"/>
                <w:sz w:val="14"/>
                <w:szCs w:val="14"/>
                <w:color w:val="auto"/>
              </w:rPr>
              <w:t>15,336(7)</w:t>
            </w:r>
          </w:p>
        </w:tc>
        <w:tc>
          <w:tcPr>
            <w:tcW w:w="1240" w:type="dxa"/>
            <w:vAlign w:val="bottom"/>
            <w:tcBorders>
              <w:bottom w:val="single" w:sz="8" w:color="999999"/>
            </w:tcBorders>
          </w:tcPr>
          <w:p>
            <w:pPr>
              <w:spacing w:after="0"/>
              <w:rPr>
                <w:sz w:val="13"/>
                <w:szCs w:val="13"/>
                <w:color w:val="auto"/>
              </w:rPr>
            </w:pPr>
          </w:p>
        </w:tc>
        <w:tc>
          <w:tcPr>
            <w:tcW w:w="740" w:type="dxa"/>
            <w:vAlign w:val="bottom"/>
            <w:tcBorders>
              <w:bottom w:val="single" w:sz="8" w:color="999999"/>
            </w:tcBorders>
          </w:tcPr>
          <w:p>
            <w:pPr>
              <w:jc w:val="right"/>
              <w:ind w:right="8"/>
              <w:spacing w:after="0" w:line="155" w:lineRule="exact"/>
              <w:rPr>
                <w:sz w:val="20"/>
                <w:szCs w:val="20"/>
                <w:color w:val="auto"/>
              </w:rPr>
            </w:pPr>
            <w:r>
              <w:rPr>
                <w:rFonts w:ascii="Arial" w:cs="Arial" w:eastAsia="Arial" w:hAnsi="Arial"/>
                <w:sz w:val="14"/>
                <w:szCs w:val="14"/>
                <w:color w:val="auto"/>
              </w:rPr>
              <w:t>58.69</w:t>
            </w:r>
          </w:p>
        </w:tc>
        <w:tc>
          <w:tcPr>
            <w:tcW w:w="860" w:type="dxa"/>
            <w:vAlign w:val="bottom"/>
            <w:tcBorders>
              <w:bottom w:val="single" w:sz="8" w:color="999999"/>
            </w:tcBorders>
            <w:gridSpan w:val="2"/>
          </w:tcPr>
          <w:p>
            <w:pPr>
              <w:jc w:val="right"/>
              <w:ind w:right="60"/>
              <w:spacing w:after="0" w:line="155" w:lineRule="exact"/>
              <w:rPr>
                <w:sz w:val="20"/>
                <w:szCs w:val="20"/>
                <w:color w:val="auto"/>
              </w:rPr>
            </w:pPr>
            <w:r>
              <w:rPr>
                <w:rFonts w:ascii="Arial" w:cs="Arial" w:eastAsia="Arial" w:hAnsi="Arial"/>
                <w:sz w:val="14"/>
                <w:szCs w:val="14"/>
                <w:color w:val="auto"/>
              </w:rPr>
              <w:t>2/10/2021</w:t>
            </w:r>
          </w:p>
        </w:tc>
        <w:tc>
          <w:tcPr>
            <w:tcW w:w="60" w:type="dxa"/>
            <w:vAlign w:val="bottom"/>
            <w:tcBorders>
              <w:bottom w:val="single" w:sz="8" w:color="999999"/>
            </w:tcBorders>
          </w:tcPr>
          <w:p>
            <w:pPr>
              <w:spacing w:after="0"/>
              <w:rPr>
                <w:sz w:val="13"/>
                <w:szCs w:val="13"/>
                <w:color w:val="auto"/>
              </w:rPr>
            </w:pPr>
          </w:p>
        </w:tc>
        <w:tc>
          <w:tcPr>
            <w:tcW w:w="1020" w:type="dxa"/>
            <w:vAlign w:val="bottom"/>
            <w:tcBorders>
              <w:bottom w:val="single" w:sz="8" w:color="999999"/>
            </w:tcBorders>
          </w:tcPr>
          <w:p>
            <w:pPr>
              <w:spacing w:after="0"/>
              <w:rPr>
                <w:sz w:val="13"/>
                <w:szCs w:val="13"/>
                <w:color w:val="auto"/>
              </w:rPr>
            </w:pPr>
          </w:p>
        </w:tc>
        <w:tc>
          <w:tcPr>
            <w:tcW w:w="1040" w:type="dxa"/>
            <w:vAlign w:val="bottom"/>
            <w:tcBorders>
              <w:bottom w:val="single" w:sz="8" w:color="999999"/>
            </w:tcBorders>
          </w:tcPr>
          <w:p>
            <w:pPr>
              <w:spacing w:after="0"/>
              <w:rPr>
                <w:sz w:val="13"/>
                <w:szCs w:val="13"/>
                <w:color w:val="auto"/>
              </w:rPr>
            </w:pPr>
          </w:p>
        </w:tc>
        <w:tc>
          <w:tcPr>
            <w:tcW w:w="1240" w:type="dxa"/>
            <w:vAlign w:val="bottom"/>
            <w:tcBorders>
              <w:bottom w:val="single" w:sz="8" w:color="999999"/>
            </w:tcBorders>
          </w:tcPr>
          <w:p>
            <w:pPr>
              <w:spacing w:after="0"/>
              <w:rPr>
                <w:sz w:val="13"/>
                <w:szCs w:val="13"/>
                <w:color w:val="auto"/>
              </w:rPr>
            </w:pPr>
          </w:p>
        </w:tc>
        <w:tc>
          <w:tcPr>
            <w:tcW w:w="960" w:type="dxa"/>
            <w:vAlign w:val="bottom"/>
            <w:tcBorders>
              <w:bottom w:val="single" w:sz="8" w:color="999999"/>
            </w:tcBorders>
          </w:tcPr>
          <w:p>
            <w:pPr>
              <w:spacing w:after="0"/>
              <w:rPr>
                <w:sz w:val="13"/>
                <w:szCs w:val="13"/>
                <w:color w:val="auto"/>
              </w:rPr>
            </w:pPr>
          </w:p>
        </w:tc>
        <w:tc>
          <w:tcPr>
            <w:tcW w:w="320" w:type="dxa"/>
            <w:vAlign w:val="bottom"/>
            <w:tcBorders>
              <w:bottom w:val="single" w:sz="8" w:color="999999"/>
            </w:tcBorders>
          </w:tcPr>
          <w:p>
            <w:pPr>
              <w:spacing w:after="0"/>
              <w:rPr>
                <w:sz w:val="13"/>
                <w:szCs w:val="13"/>
                <w:color w:val="auto"/>
              </w:rPr>
            </w:pPr>
          </w:p>
        </w:tc>
      </w:tr>
      <w:tr>
        <w:trPr>
          <w:trHeight w:val="155"/>
        </w:trPr>
        <w:tc>
          <w:tcPr>
            <w:tcW w:w="2340" w:type="dxa"/>
            <w:vAlign w:val="bottom"/>
          </w:tcPr>
          <w:p>
            <w:pPr>
              <w:spacing w:after="0"/>
              <w:rPr>
                <w:sz w:val="13"/>
                <w:szCs w:val="13"/>
                <w:color w:val="auto"/>
              </w:rPr>
            </w:pPr>
          </w:p>
        </w:tc>
        <w:tc>
          <w:tcPr>
            <w:tcW w:w="1180" w:type="dxa"/>
            <w:vAlign w:val="bottom"/>
            <w:tcBorders>
              <w:bottom w:val="single" w:sz="8" w:color="999999"/>
            </w:tcBorders>
            <w:gridSpan w:val="3"/>
          </w:tcPr>
          <w:p>
            <w:pPr>
              <w:jc w:val="right"/>
              <w:spacing w:after="0" w:line="155" w:lineRule="exact"/>
              <w:rPr>
                <w:sz w:val="20"/>
                <w:szCs w:val="20"/>
                <w:color w:val="auto"/>
              </w:rPr>
            </w:pPr>
            <w:r>
              <w:rPr>
                <w:rFonts w:ascii="Arial" w:cs="Arial" w:eastAsia="Arial" w:hAnsi="Arial"/>
                <w:sz w:val="14"/>
                <w:szCs w:val="14"/>
                <w:color w:val="auto"/>
              </w:rPr>
              <w:t>23,816(8)</w:t>
            </w:r>
          </w:p>
        </w:tc>
        <w:tc>
          <w:tcPr>
            <w:tcW w:w="1240" w:type="dxa"/>
            <w:vAlign w:val="bottom"/>
            <w:tcBorders>
              <w:bottom w:val="single" w:sz="8" w:color="999999"/>
            </w:tcBorders>
          </w:tcPr>
          <w:p>
            <w:pPr>
              <w:spacing w:after="0"/>
              <w:rPr>
                <w:sz w:val="13"/>
                <w:szCs w:val="13"/>
                <w:color w:val="auto"/>
              </w:rPr>
            </w:pPr>
          </w:p>
        </w:tc>
        <w:tc>
          <w:tcPr>
            <w:tcW w:w="740" w:type="dxa"/>
            <w:vAlign w:val="bottom"/>
            <w:tcBorders>
              <w:bottom w:val="single" w:sz="8" w:color="999999"/>
            </w:tcBorders>
          </w:tcPr>
          <w:p>
            <w:pPr>
              <w:jc w:val="right"/>
              <w:ind w:right="8"/>
              <w:spacing w:after="0" w:line="155" w:lineRule="exact"/>
              <w:rPr>
                <w:sz w:val="20"/>
                <w:szCs w:val="20"/>
                <w:color w:val="auto"/>
              </w:rPr>
            </w:pPr>
            <w:r>
              <w:rPr>
                <w:rFonts w:ascii="Arial" w:cs="Arial" w:eastAsia="Arial" w:hAnsi="Arial"/>
                <w:sz w:val="14"/>
                <w:szCs w:val="14"/>
                <w:color w:val="auto"/>
              </w:rPr>
              <w:t>37.79</w:t>
            </w:r>
          </w:p>
        </w:tc>
        <w:tc>
          <w:tcPr>
            <w:tcW w:w="860" w:type="dxa"/>
            <w:vAlign w:val="bottom"/>
            <w:tcBorders>
              <w:bottom w:val="single" w:sz="8" w:color="999999"/>
            </w:tcBorders>
            <w:gridSpan w:val="2"/>
          </w:tcPr>
          <w:p>
            <w:pPr>
              <w:jc w:val="right"/>
              <w:ind w:right="60"/>
              <w:spacing w:after="0" w:line="155" w:lineRule="exact"/>
              <w:rPr>
                <w:sz w:val="20"/>
                <w:szCs w:val="20"/>
                <w:color w:val="auto"/>
              </w:rPr>
            </w:pPr>
            <w:r>
              <w:rPr>
                <w:rFonts w:ascii="Arial" w:cs="Arial" w:eastAsia="Arial" w:hAnsi="Arial"/>
                <w:sz w:val="14"/>
                <w:szCs w:val="14"/>
                <w:color w:val="auto"/>
              </w:rPr>
              <w:t>2/11/2020</w:t>
            </w:r>
          </w:p>
        </w:tc>
        <w:tc>
          <w:tcPr>
            <w:tcW w:w="60" w:type="dxa"/>
            <w:vAlign w:val="bottom"/>
            <w:tcBorders>
              <w:bottom w:val="single" w:sz="8" w:color="999999"/>
            </w:tcBorders>
          </w:tcPr>
          <w:p>
            <w:pPr>
              <w:spacing w:after="0"/>
              <w:rPr>
                <w:sz w:val="13"/>
                <w:szCs w:val="13"/>
                <w:color w:val="auto"/>
              </w:rPr>
            </w:pPr>
          </w:p>
        </w:tc>
        <w:tc>
          <w:tcPr>
            <w:tcW w:w="1020" w:type="dxa"/>
            <w:vAlign w:val="bottom"/>
            <w:tcBorders>
              <w:bottom w:val="single" w:sz="8" w:color="999999"/>
            </w:tcBorders>
          </w:tcPr>
          <w:p>
            <w:pPr>
              <w:spacing w:after="0"/>
              <w:rPr>
                <w:sz w:val="13"/>
                <w:szCs w:val="13"/>
                <w:color w:val="auto"/>
              </w:rPr>
            </w:pPr>
          </w:p>
        </w:tc>
        <w:tc>
          <w:tcPr>
            <w:tcW w:w="1040" w:type="dxa"/>
            <w:vAlign w:val="bottom"/>
            <w:tcBorders>
              <w:bottom w:val="single" w:sz="8" w:color="999999"/>
            </w:tcBorders>
          </w:tcPr>
          <w:p>
            <w:pPr>
              <w:spacing w:after="0"/>
              <w:rPr>
                <w:sz w:val="13"/>
                <w:szCs w:val="13"/>
                <w:color w:val="auto"/>
              </w:rPr>
            </w:pPr>
          </w:p>
        </w:tc>
        <w:tc>
          <w:tcPr>
            <w:tcW w:w="1240" w:type="dxa"/>
            <w:vAlign w:val="bottom"/>
            <w:tcBorders>
              <w:bottom w:val="single" w:sz="8" w:color="999999"/>
            </w:tcBorders>
          </w:tcPr>
          <w:p>
            <w:pPr>
              <w:spacing w:after="0"/>
              <w:rPr>
                <w:sz w:val="13"/>
                <w:szCs w:val="13"/>
                <w:color w:val="auto"/>
              </w:rPr>
            </w:pPr>
          </w:p>
        </w:tc>
        <w:tc>
          <w:tcPr>
            <w:tcW w:w="960" w:type="dxa"/>
            <w:vAlign w:val="bottom"/>
            <w:tcBorders>
              <w:bottom w:val="single" w:sz="8" w:color="999999"/>
            </w:tcBorders>
          </w:tcPr>
          <w:p>
            <w:pPr>
              <w:spacing w:after="0"/>
              <w:rPr>
                <w:sz w:val="13"/>
                <w:szCs w:val="13"/>
                <w:color w:val="auto"/>
              </w:rPr>
            </w:pPr>
          </w:p>
        </w:tc>
        <w:tc>
          <w:tcPr>
            <w:tcW w:w="320" w:type="dxa"/>
            <w:vAlign w:val="bottom"/>
            <w:tcBorders>
              <w:bottom w:val="single" w:sz="8" w:color="999999"/>
            </w:tcBorders>
          </w:tcPr>
          <w:p>
            <w:pPr>
              <w:spacing w:after="0"/>
              <w:rPr>
                <w:sz w:val="13"/>
                <w:szCs w:val="13"/>
                <w:color w:val="auto"/>
              </w:rPr>
            </w:pPr>
          </w:p>
        </w:tc>
      </w:tr>
      <w:tr>
        <w:trPr>
          <w:trHeight w:val="155"/>
        </w:trPr>
        <w:tc>
          <w:tcPr>
            <w:tcW w:w="2340" w:type="dxa"/>
            <w:vAlign w:val="bottom"/>
          </w:tcPr>
          <w:p>
            <w:pPr>
              <w:spacing w:after="0"/>
              <w:rPr>
                <w:sz w:val="13"/>
                <w:szCs w:val="13"/>
                <w:color w:val="auto"/>
              </w:rPr>
            </w:pPr>
          </w:p>
        </w:tc>
        <w:tc>
          <w:tcPr>
            <w:tcW w:w="100" w:type="dxa"/>
            <w:vAlign w:val="bottom"/>
            <w:tcBorders>
              <w:bottom w:val="single" w:sz="8" w:color="999999"/>
            </w:tcBorders>
          </w:tcPr>
          <w:p>
            <w:pPr>
              <w:spacing w:after="0"/>
              <w:rPr>
                <w:sz w:val="13"/>
                <w:szCs w:val="13"/>
                <w:color w:val="auto"/>
              </w:rPr>
            </w:pPr>
          </w:p>
        </w:tc>
        <w:tc>
          <w:tcPr>
            <w:tcW w:w="80" w:type="dxa"/>
            <w:vAlign w:val="bottom"/>
            <w:tcBorders>
              <w:bottom w:val="single" w:sz="8" w:color="999999"/>
            </w:tcBorders>
          </w:tcPr>
          <w:p>
            <w:pPr>
              <w:spacing w:after="0"/>
              <w:rPr>
                <w:sz w:val="13"/>
                <w:szCs w:val="13"/>
                <w:color w:val="auto"/>
              </w:rPr>
            </w:pPr>
          </w:p>
        </w:tc>
        <w:tc>
          <w:tcPr>
            <w:tcW w:w="1000" w:type="dxa"/>
            <w:vAlign w:val="bottom"/>
            <w:tcBorders>
              <w:bottom w:val="single" w:sz="8" w:color="999999"/>
            </w:tcBorders>
          </w:tcPr>
          <w:p>
            <w:pPr>
              <w:spacing w:after="0"/>
              <w:rPr>
                <w:sz w:val="13"/>
                <w:szCs w:val="13"/>
                <w:color w:val="auto"/>
              </w:rPr>
            </w:pPr>
          </w:p>
        </w:tc>
        <w:tc>
          <w:tcPr>
            <w:tcW w:w="1240" w:type="dxa"/>
            <w:vAlign w:val="bottom"/>
            <w:tcBorders>
              <w:bottom w:val="single" w:sz="8" w:color="999999"/>
            </w:tcBorders>
          </w:tcPr>
          <w:p>
            <w:pPr>
              <w:spacing w:after="0"/>
              <w:rPr>
                <w:sz w:val="13"/>
                <w:szCs w:val="13"/>
                <w:color w:val="auto"/>
              </w:rPr>
            </w:pPr>
          </w:p>
        </w:tc>
        <w:tc>
          <w:tcPr>
            <w:tcW w:w="740" w:type="dxa"/>
            <w:vAlign w:val="bottom"/>
            <w:tcBorders>
              <w:bottom w:val="single" w:sz="8" w:color="999999"/>
            </w:tcBorders>
          </w:tcPr>
          <w:p>
            <w:pPr>
              <w:spacing w:after="0"/>
              <w:rPr>
                <w:sz w:val="13"/>
                <w:szCs w:val="13"/>
                <w:color w:val="auto"/>
              </w:rPr>
            </w:pPr>
          </w:p>
        </w:tc>
        <w:tc>
          <w:tcPr>
            <w:tcW w:w="800" w:type="dxa"/>
            <w:vAlign w:val="bottom"/>
            <w:tcBorders>
              <w:bottom w:val="single" w:sz="8" w:color="999999"/>
            </w:tcBorders>
          </w:tcPr>
          <w:p>
            <w:pPr>
              <w:spacing w:after="0"/>
              <w:rPr>
                <w:sz w:val="13"/>
                <w:szCs w:val="13"/>
                <w:color w:val="auto"/>
              </w:rPr>
            </w:pPr>
          </w:p>
        </w:tc>
        <w:tc>
          <w:tcPr>
            <w:tcW w:w="60" w:type="dxa"/>
            <w:vAlign w:val="bottom"/>
            <w:tcBorders>
              <w:bottom w:val="single" w:sz="8" w:color="999999"/>
            </w:tcBorders>
          </w:tcPr>
          <w:p>
            <w:pPr>
              <w:spacing w:after="0"/>
              <w:rPr>
                <w:sz w:val="13"/>
                <w:szCs w:val="13"/>
                <w:color w:val="auto"/>
              </w:rPr>
            </w:pPr>
          </w:p>
        </w:tc>
        <w:tc>
          <w:tcPr>
            <w:tcW w:w="1080" w:type="dxa"/>
            <w:vAlign w:val="bottom"/>
            <w:tcBorders>
              <w:bottom w:val="single" w:sz="8" w:color="999999"/>
            </w:tcBorders>
            <w:gridSpan w:val="2"/>
          </w:tcPr>
          <w:p>
            <w:pPr>
              <w:ind w:left="420"/>
              <w:spacing w:after="0" w:line="155" w:lineRule="exact"/>
              <w:rPr>
                <w:sz w:val="20"/>
                <w:szCs w:val="20"/>
                <w:color w:val="auto"/>
              </w:rPr>
            </w:pPr>
            <w:r>
              <w:rPr>
                <w:rFonts w:ascii="Arial" w:cs="Arial" w:eastAsia="Arial" w:hAnsi="Arial"/>
                <w:sz w:val="14"/>
                <w:szCs w:val="14"/>
                <w:color w:val="auto"/>
              </w:rPr>
              <w:t>2,775(10)</w:t>
            </w:r>
          </w:p>
        </w:tc>
        <w:tc>
          <w:tcPr>
            <w:tcW w:w="1040" w:type="dxa"/>
            <w:vAlign w:val="bottom"/>
            <w:tcBorders>
              <w:bottom w:val="single" w:sz="8" w:color="999999"/>
            </w:tcBorders>
          </w:tcPr>
          <w:p>
            <w:pPr>
              <w:ind w:left="200"/>
              <w:spacing w:after="0" w:line="155" w:lineRule="exact"/>
              <w:rPr>
                <w:sz w:val="20"/>
                <w:szCs w:val="20"/>
                <w:color w:val="auto"/>
              </w:rPr>
            </w:pPr>
            <w:r>
              <w:rPr>
                <w:rFonts w:ascii="Arial" w:cs="Arial" w:eastAsia="Arial" w:hAnsi="Arial"/>
                <w:sz w:val="14"/>
                <w:szCs w:val="14"/>
                <w:color w:val="auto"/>
              </w:rPr>
              <w:t>280,247(13)</w:t>
            </w:r>
          </w:p>
        </w:tc>
        <w:tc>
          <w:tcPr>
            <w:tcW w:w="1240" w:type="dxa"/>
            <w:vAlign w:val="bottom"/>
            <w:tcBorders>
              <w:bottom w:val="single" w:sz="8" w:color="999999"/>
            </w:tcBorders>
          </w:tcPr>
          <w:p>
            <w:pPr>
              <w:ind w:left="500"/>
              <w:spacing w:after="0" w:line="155" w:lineRule="exact"/>
              <w:rPr>
                <w:sz w:val="20"/>
                <w:szCs w:val="20"/>
                <w:color w:val="auto"/>
              </w:rPr>
            </w:pPr>
            <w:r>
              <w:rPr>
                <w:rFonts w:ascii="Arial" w:cs="Arial" w:eastAsia="Arial" w:hAnsi="Arial"/>
                <w:sz w:val="14"/>
                <w:szCs w:val="14"/>
                <w:color w:val="auto"/>
              </w:rPr>
              <w:t>16,648(14)</w:t>
            </w:r>
          </w:p>
        </w:tc>
        <w:tc>
          <w:tcPr>
            <w:tcW w:w="1280" w:type="dxa"/>
            <w:vAlign w:val="bottom"/>
            <w:tcBorders>
              <w:bottom w:val="single" w:sz="8" w:color="999999"/>
            </w:tcBorders>
            <w:gridSpan w:val="2"/>
          </w:tcPr>
          <w:p>
            <w:pPr>
              <w:ind w:left="320"/>
              <w:spacing w:after="0" w:line="155" w:lineRule="exact"/>
              <w:rPr>
                <w:sz w:val="20"/>
                <w:szCs w:val="20"/>
                <w:color w:val="auto"/>
              </w:rPr>
            </w:pPr>
            <w:r>
              <w:rPr>
                <w:rFonts w:ascii="Arial" w:cs="Arial" w:eastAsia="Arial" w:hAnsi="Arial"/>
                <w:sz w:val="14"/>
                <w:szCs w:val="14"/>
                <w:color w:val="auto"/>
              </w:rPr>
              <w:t>1,681,282(16)</w:t>
            </w:r>
          </w:p>
        </w:tc>
      </w:tr>
      <w:tr>
        <w:trPr>
          <w:trHeight w:val="155"/>
        </w:trPr>
        <w:tc>
          <w:tcPr>
            <w:tcW w:w="2340" w:type="dxa"/>
            <w:vAlign w:val="bottom"/>
          </w:tcPr>
          <w:p>
            <w:pPr>
              <w:spacing w:after="0"/>
              <w:rPr>
                <w:sz w:val="13"/>
                <w:szCs w:val="13"/>
                <w:color w:val="auto"/>
              </w:rPr>
            </w:pPr>
          </w:p>
        </w:tc>
        <w:tc>
          <w:tcPr>
            <w:tcW w:w="100" w:type="dxa"/>
            <w:vAlign w:val="bottom"/>
            <w:tcBorders>
              <w:bottom w:val="single" w:sz="8" w:color="999999"/>
            </w:tcBorders>
          </w:tcPr>
          <w:p>
            <w:pPr>
              <w:spacing w:after="0"/>
              <w:rPr>
                <w:sz w:val="13"/>
                <w:szCs w:val="13"/>
                <w:color w:val="auto"/>
              </w:rPr>
            </w:pPr>
          </w:p>
        </w:tc>
        <w:tc>
          <w:tcPr>
            <w:tcW w:w="80" w:type="dxa"/>
            <w:vAlign w:val="bottom"/>
            <w:tcBorders>
              <w:bottom w:val="single" w:sz="8" w:color="999999"/>
            </w:tcBorders>
          </w:tcPr>
          <w:p>
            <w:pPr>
              <w:spacing w:after="0"/>
              <w:rPr>
                <w:sz w:val="13"/>
                <w:szCs w:val="13"/>
                <w:color w:val="auto"/>
              </w:rPr>
            </w:pPr>
          </w:p>
        </w:tc>
        <w:tc>
          <w:tcPr>
            <w:tcW w:w="1000" w:type="dxa"/>
            <w:vAlign w:val="bottom"/>
            <w:tcBorders>
              <w:bottom w:val="single" w:sz="8" w:color="999999"/>
            </w:tcBorders>
          </w:tcPr>
          <w:p>
            <w:pPr>
              <w:spacing w:after="0"/>
              <w:rPr>
                <w:sz w:val="13"/>
                <w:szCs w:val="13"/>
                <w:color w:val="auto"/>
              </w:rPr>
            </w:pPr>
          </w:p>
        </w:tc>
        <w:tc>
          <w:tcPr>
            <w:tcW w:w="1240" w:type="dxa"/>
            <w:vAlign w:val="bottom"/>
            <w:tcBorders>
              <w:bottom w:val="single" w:sz="8" w:color="999999"/>
            </w:tcBorders>
          </w:tcPr>
          <w:p>
            <w:pPr>
              <w:spacing w:after="0"/>
              <w:rPr>
                <w:sz w:val="13"/>
                <w:szCs w:val="13"/>
                <w:color w:val="auto"/>
              </w:rPr>
            </w:pPr>
          </w:p>
        </w:tc>
        <w:tc>
          <w:tcPr>
            <w:tcW w:w="740" w:type="dxa"/>
            <w:vAlign w:val="bottom"/>
            <w:tcBorders>
              <w:bottom w:val="single" w:sz="8" w:color="999999"/>
            </w:tcBorders>
          </w:tcPr>
          <w:p>
            <w:pPr>
              <w:spacing w:after="0"/>
              <w:rPr>
                <w:sz w:val="13"/>
                <w:szCs w:val="13"/>
                <w:color w:val="auto"/>
              </w:rPr>
            </w:pPr>
          </w:p>
        </w:tc>
        <w:tc>
          <w:tcPr>
            <w:tcW w:w="800" w:type="dxa"/>
            <w:vAlign w:val="bottom"/>
            <w:tcBorders>
              <w:bottom w:val="single" w:sz="8" w:color="999999"/>
            </w:tcBorders>
          </w:tcPr>
          <w:p>
            <w:pPr>
              <w:spacing w:after="0"/>
              <w:rPr>
                <w:sz w:val="13"/>
                <w:szCs w:val="13"/>
                <w:color w:val="auto"/>
              </w:rPr>
            </w:pPr>
          </w:p>
        </w:tc>
        <w:tc>
          <w:tcPr>
            <w:tcW w:w="60" w:type="dxa"/>
            <w:vAlign w:val="bottom"/>
            <w:tcBorders>
              <w:bottom w:val="single" w:sz="8" w:color="999999"/>
            </w:tcBorders>
          </w:tcPr>
          <w:p>
            <w:pPr>
              <w:spacing w:after="0"/>
              <w:rPr>
                <w:sz w:val="13"/>
                <w:szCs w:val="13"/>
                <w:color w:val="auto"/>
              </w:rPr>
            </w:pPr>
          </w:p>
        </w:tc>
        <w:tc>
          <w:tcPr>
            <w:tcW w:w="1080" w:type="dxa"/>
            <w:vAlign w:val="bottom"/>
            <w:tcBorders>
              <w:bottom w:val="single" w:sz="8" w:color="999999"/>
            </w:tcBorders>
            <w:gridSpan w:val="2"/>
          </w:tcPr>
          <w:p>
            <w:pPr>
              <w:ind w:left="420"/>
              <w:spacing w:after="0" w:line="155" w:lineRule="exact"/>
              <w:rPr>
                <w:sz w:val="20"/>
                <w:szCs w:val="20"/>
                <w:color w:val="auto"/>
              </w:rPr>
            </w:pPr>
            <w:r>
              <w:rPr>
                <w:rFonts w:ascii="Arial" w:cs="Arial" w:eastAsia="Arial" w:hAnsi="Arial"/>
                <w:sz w:val="14"/>
                <w:szCs w:val="14"/>
                <w:color w:val="auto"/>
              </w:rPr>
              <w:t>2,562(11)</w:t>
            </w:r>
          </w:p>
        </w:tc>
        <w:tc>
          <w:tcPr>
            <w:tcW w:w="1040" w:type="dxa"/>
            <w:vAlign w:val="bottom"/>
            <w:tcBorders>
              <w:bottom w:val="single" w:sz="8" w:color="999999"/>
            </w:tcBorders>
          </w:tcPr>
          <w:p>
            <w:pPr>
              <w:ind w:left="200"/>
              <w:spacing w:after="0" w:line="155" w:lineRule="exact"/>
              <w:rPr>
                <w:sz w:val="20"/>
                <w:szCs w:val="20"/>
                <w:color w:val="auto"/>
              </w:rPr>
            </w:pPr>
            <w:r>
              <w:rPr>
                <w:rFonts w:ascii="Arial" w:cs="Arial" w:eastAsia="Arial" w:hAnsi="Arial"/>
                <w:sz w:val="14"/>
                <w:szCs w:val="14"/>
                <w:color w:val="auto"/>
              </w:rPr>
              <w:t>258,736(13)</w:t>
            </w:r>
          </w:p>
        </w:tc>
        <w:tc>
          <w:tcPr>
            <w:tcW w:w="1240" w:type="dxa"/>
            <w:vAlign w:val="bottom"/>
            <w:tcBorders>
              <w:bottom w:val="single" w:sz="8" w:color="999999"/>
            </w:tcBorders>
          </w:tcPr>
          <w:p>
            <w:pPr>
              <w:ind w:left="500"/>
              <w:spacing w:after="0" w:line="155" w:lineRule="exact"/>
              <w:rPr>
                <w:sz w:val="20"/>
                <w:szCs w:val="20"/>
                <w:color w:val="auto"/>
              </w:rPr>
            </w:pPr>
            <w:r>
              <w:rPr>
                <w:rFonts w:ascii="Arial" w:cs="Arial" w:eastAsia="Arial" w:hAnsi="Arial"/>
                <w:sz w:val="14"/>
                <w:szCs w:val="14"/>
                <w:color w:val="auto"/>
              </w:rPr>
              <w:t>23,056(15)</w:t>
            </w:r>
          </w:p>
        </w:tc>
        <w:tc>
          <w:tcPr>
            <w:tcW w:w="1280" w:type="dxa"/>
            <w:vAlign w:val="bottom"/>
            <w:tcBorders>
              <w:bottom w:val="single" w:sz="8" w:color="999999"/>
            </w:tcBorders>
            <w:gridSpan w:val="2"/>
          </w:tcPr>
          <w:p>
            <w:pPr>
              <w:ind w:left="320"/>
              <w:spacing w:after="0" w:line="155" w:lineRule="exact"/>
              <w:rPr>
                <w:sz w:val="20"/>
                <w:szCs w:val="20"/>
                <w:color w:val="auto"/>
              </w:rPr>
            </w:pPr>
            <w:r>
              <w:rPr>
                <w:rFonts w:ascii="Arial" w:cs="Arial" w:eastAsia="Arial" w:hAnsi="Arial"/>
                <w:sz w:val="14"/>
                <w:szCs w:val="14"/>
                <w:color w:val="auto"/>
              </w:rPr>
              <w:t>2,328,425(16)</w:t>
            </w:r>
          </w:p>
        </w:tc>
      </w:tr>
      <w:tr>
        <w:trPr>
          <w:trHeight w:val="155"/>
        </w:trPr>
        <w:tc>
          <w:tcPr>
            <w:tcW w:w="2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gridSpan w:val="2"/>
          </w:tcPr>
          <w:p>
            <w:pPr>
              <w:ind w:left="420"/>
              <w:spacing w:after="0" w:line="155" w:lineRule="exact"/>
              <w:rPr>
                <w:sz w:val="20"/>
                <w:szCs w:val="20"/>
                <w:color w:val="auto"/>
              </w:rPr>
            </w:pPr>
            <w:r>
              <w:rPr>
                <w:rFonts w:ascii="Arial" w:cs="Arial" w:eastAsia="Arial" w:hAnsi="Arial"/>
                <w:sz w:val="14"/>
                <w:szCs w:val="14"/>
                <w:color w:val="auto"/>
              </w:rPr>
              <w:t>1,001(12)</w:t>
            </w:r>
          </w:p>
        </w:tc>
        <w:tc>
          <w:tcPr>
            <w:tcW w:w="1040" w:type="dxa"/>
            <w:vAlign w:val="bottom"/>
          </w:tcPr>
          <w:p>
            <w:pPr>
              <w:ind w:left="200"/>
              <w:spacing w:after="0" w:line="155" w:lineRule="exact"/>
              <w:rPr>
                <w:sz w:val="20"/>
                <w:szCs w:val="20"/>
                <w:color w:val="auto"/>
              </w:rPr>
            </w:pPr>
            <w:r>
              <w:rPr>
                <w:rFonts w:ascii="Arial" w:cs="Arial" w:eastAsia="Arial" w:hAnsi="Arial"/>
                <w:sz w:val="14"/>
                <w:szCs w:val="14"/>
                <w:color w:val="auto"/>
              </w:rPr>
              <w:t>101,091(13)</w:t>
            </w:r>
          </w:p>
        </w:tc>
        <w:tc>
          <w:tcPr>
            <w:tcW w:w="1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20" w:type="dxa"/>
            <w:vAlign w:val="bottom"/>
          </w:tcPr>
          <w:p>
            <w:pPr>
              <w:spacing w:after="0"/>
              <w:rPr>
                <w:sz w:val="13"/>
                <w:szCs w:val="13"/>
                <w:color w:val="auto"/>
              </w:rPr>
            </w:pPr>
          </w:p>
        </w:tc>
      </w:tr>
      <w:tr>
        <w:trPr>
          <w:trHeight w:val="162"/>
        </w:trPr>
        <w:tc>
          <w:tcPr>
            <w:tcW w:w="2340" w:type="dxa"/>
            <w:vAlign w:val="bottom"/>
            <w:shd w:val="clear" w:color="auto" w:fill="D8D8D8"/>
          </w:tcPr>
          <w:p>
            <w:pPr>
              <w:spacing w:after="0"/>
              <w:rPr>
                <w:sz w:val="20"/>
                <w:szCs w:val="20"/>
                <w:color w:val="auto"/>
              </w:rPr>
            </w:pPr>
            <w:r>
              <w:rPr>
                <w:rFonts w:ascii="Arial" w:cs="Arial" w:eastAsia="Arial" w:hAnsi="Arial"/>
                <w:sz w:val="14"/>
                <w:szCs w:val="14"/>
                <w:color w:val="auto"/>
              </w:rPr>
              <w:t>William W. Spurgeon, Jr.</w:t>
            </w:r>
          </w:p>
        </w:tc>
        <w:tc>
          <w:tcPr>
            <w:tcW w:w="100" w:type="dxa"/>
            <w:vAlign w:val="bottom"/>
            <w:shd w:val="clear" w:color="auto" w:fill="D8D8D8"/>
          </w:tcPr>
          <w:p>
            <w:pPr>
              <w:spacing w:after="0"/>
              <w:rPr>
                <w:sz w:val="14"/>
                <w:szCs w:val="14"/>
                <w:color w:val="auto"/>
              </w:rPr>
            </w:pPr>
          </w:p>
        </w:tc>
        <w:tc>
          <w:tcPr>
            <w:tcW w:w="80" w:type="dxa"/>
            <w:vAlign w:val="bottom"/>
            <w:shd w:val="clear" w:color="auto" w:fill="D8D8D8"/>
          </w:tcPr>
          <w:p>
            <w:pPr>
              <w:spacing w:after="0"/>
              <w:rPr>
                <w:sz w:val="14"/>
                <w:szCs w:val="14"/>
                <w:color w:val="auto"/>
              </w:rPr>
            </w:pPr>
          </w:p>
        </w:tc>
        <w:tc>
          <w:tcPr>
            <w:tcW w:w="1000" w:type="dxa"/>
            <w:vAlign w:val="bottom"/>
            <w:shd w:val="clear" w:color="auto" w:fill="D8D8D8"/>
          </w:tcPr>
          <w:p>
            <w:pPr>
              <w:spacing w:after="0"/>
              <w:rPr>
                <w:sz w:val="14"/>
                <w:szCs w:val="14"/>
                <w:color w:val="auto"/>
              </w:rPr>
            </w:pPr>
          </w:p>
        </w:tc>
        <w:tc>
          <w:tcPr>
            <w:tcW w:w="1240" w:type="dxa"/>
            <w:vAlign w:val="bottom"/>
            <w:shd w:val="clear" w:color="auto" w:fill="D8D8D8"/>
          </w:tcPr>
          <w:p>
            <w:pPr>
              <w:jc w:val="right"/>
              <w:ind w:right="8"/>
              <w:spacing w:after="0"/>
              <w:rPr>
                <w:sz w:val="20"/>
                <w:szCs w:val="20"/>
                <w:color w:val="auto"/>
              </w:rPr>
            </w:pPr>
            <w:r>
              <w:rPr>
                <w:rFonts w:ascii="Arial" w:cs="Arial" w:eastAsia="Arial" w:hAnsi="Arial"/>
                <w:sz w:val="14"/>
                <w:szCs w:val="14"/>
                <w:color w:val="auto"/>
              </w:rPr>
              <w:t>27,750(1)</w:t>
            </w:r>
          </w:p>
        </w:tc>
        <w:tc>
          <w:tcPr>
            <w:tcW w:w="740" w:type="dxa"/>
            <w:vAlign w:val="bottom"/>
            <w:shd w:val="clear" w:color="auto" w:fill="D8D8D8"/>
          </w:tcPr>
          <w:p>
            <w:pPr>
              <w:jc w:val="right"/>
              <w:ind w:right="8"/>
              <w:spacing w:after="0"/>
              <w:rPr>
                <w:sz w:val="20"/>
                <w:szCs w:val="20"/>
                <w:color w:val="auto"/>
              </w:rPr>
            </w:pPr>
            <w:r>
              <w:rPr>
                <w:rFonts w:ascii="Arial" w:cs="Arial" w:eastAsia="Arial" w:hAnsi="Arial"/>
                <w:sz w:val="14"/>
                <w:szCs w:val="14"/>
                <w:color w:val="auto"/>
              </w:rPr>
              <w:t>79.28</w:t>
            </w:r>
          </w:p>
        </w:tc>
        <w:tc>
          <w:tcPr>
            <w:tcW w:w="860" w:type="dxa"/>
            <w:vAlign w:val="bottom"/>
            <w:gridSpan w:val="2"/>
            <w:shd w:val="clear" w:color="auto" w:fill="D8D8D8"/>
          </w:tcPr>
          <w:p>
            <w:pPr>
              <w:jc w:val="right"/>
              <w:ind w:right="60"/>
              <w:spacing w:after="0"/>
              <w:rPr>
                <w:sz w:val="20"/>
                <w:szCs w:val="20"/>
                <w:color w:val="auto"/>
              </w:rPr>
            </w:pPr>
            <w:r>
              <w:rPr>
                <w:rFonts w:ascii="Arial" w:cs="Arial" w:eastAsia="Arial" w:hAnsi="Arial"/>
                <w:sz w:val="14"/>
                <w:szCs w:val="14"/>
                <w:color w:val="auto"/>
              </w:rPr>
              <w:t>2/10/2027</w:t>
            </w:r>
          </w:p>
        </w:tc>
        <w:tc>
          <w:tcPr>
            <w:tcW w:w="60" w:type="dxa"/>
            <w:vAlign w:val="bottom"/>
            <w:shd w:val="clear" w:color="auto" w:fill="D8D8D8"/>
          </w:tcPr>
          <w:p>
            <w:pPr>
              <w:spacing w:after="0"/>
              <w:rPr>
                <w:sz w:val="14"/>
                <w:szCs w:val="14"/>
                <w:color w:val="auto"/>
              </w:rPr>
            </w:pPr>
          </w:p>
        </w:tc>
        <w:tc>
          <w:tcPr>
            <w:tcW w:w="1020" w:type="dxa"/>
            <w:vAlign w:val="bottom"/>
            <w:shd w:val="clear" w:color="auto" w:fill="D8D8D8"/>
          </w:tcPr>
          <w:p>
            <w:pPr>
              <w:spacing w:after="0"/>
              <w:rPr>
                <w:sz w:val="14"/>
                <w:szCs w:val="14"/>
                <w:color w:val="auto"/>
              </w:rPr>
            </w:pPr>
          </w:p>
        </w:tc>
        <w:tc>
          <w:tcPr>
            <w:tcW w:w="1040" w:type="dxa"/>
            <w:vAlign w:val="bottom"/>
            <w:shd w:val="clear" w:color="auto" w:fill="D8D8D8"/>
          </w:tcPr>
          <w:p>
            <w:pPr>
              <w:spacing w:after="0"/>
              <w:rPr>
                <w:sz w:val="14"/>
                <w:szCs w:val="14"/>
                <w:color w:val="auto"/>
              </w:rPr>
            </w:pPr>
          </w:p>
        </w:tc>
        <w:tc>
          <w:tcPr>
            <w:tcW w:w="1240" w:type="dxa"/>
            <w:vAlign w:val="bottom"/>
            <w:shd w:val="clear" w:color="auto" w:fill="D8D8D8"/>
          </w:tcPr>
          <w:p>
            <w:pPr>
              <w:spacing w:after="0"/>
              <w:rPr>
                <w:sz w:val="14"/>
                <w:szCs w:val="14"/>
                <w:color w:val="auto"/>
              </w:rPr>
            </w:pPr>
          </w:p>
        </w:tc>
        <w:tc>
          <w:tcPr>
            <w:tcW w:w="960" w:type="dxa"/>
            <w:vAlign w:val="bottom"/>
            <w:shd w:val="clear" w:color="auto" w:fill="D8D8D8"/>
          </w:tcPr>
          <w:p>
            <w:pPr>
              <w:spacing w:after="0"/>
              <w:rPr>
                <w:sz w:val="14"/>
                <w:szCs w:val="14"/>
                <w:color w:val="auto"/>
              </w:rPr>
            </w:pPr>
          </w:p>
        </w:tc>
        <w:tc>
          <w:tcPr>
            <w:tcW w:w="320" w:type="dxa"/>
            <w:vAlign w:val="bottom"/>
            <w:shd w:val="clear" w:color="auto" w:fill="D8D8D8"/>
          </w:tcPr>
          <w:p>
            <w:pPr>
              <w:spacing w:after="0"/>
              <w:rPr>
                <w:sz w:val="14"/>
                <w:szCs w:val="14"/>
                <w:color w:val="auto"/>
              </w:rPr>
            </w:pPr>
          </w:p>
        </w:tc>
      </w:tr>
      <w:tr>
        <w:trPr>
          <w:trHeight w:val="175"/>
        </w:trPr>
        <w:tc>
          <w:tcPr>
            <w:tcW w:w="2340" w:type="dxa"/>
            <w:vAlign w:val="bottom"/>
            <w:shd w:val="clear" w:color="auto" w:fill="D8D8D8"/>
          </w:tcPr>
          <w:p>
            <w:pPr>
              <w:spacing w:after="0"/>
              <w:rPr>
                <w:sz w:val="15"/>
                <w:szCs w:val="15"/>
                <w:color w:val="auto"/>
              </w:rPr>
            </w:pPr>
          </w:p>
        </w:tc>
        <w:tc>
          <w:tcPr>
            <w:tcW w:w="100" w:type="dxa"/>
            <w:vAlign w:val="bottom"/>
            <w:shd w:val="clear" w:color="auto" w:fill="D8D8D8"/>
          </w:tcPr>
          <w:p>
            <w:pPr>
              <w:spacing w:after="0"/>
              <w:rPr>
                <w:sz w:val="15"/>
                <w:szCs w:val="15"/>
                <w:color w:val="auto"/>
              </w:rPr>
            </w:pPr>
          </w:p>
        </w:tc>
        <w:tc>
          <w:tcPr>
            <w:tcW w:w="80" w:type="dxa"/>
            <w:vAlign w:val="bottom"/>
            <w:shd w:val="clear" w:color="auto" w:fill="D8D8D8"/>
          </w:tcPr>
          <w:p>
            <w:pPr>
              <w:spacing w:after="0"/>
              <w:rPr>
                <w:sz w:val="15"/>
                <w:szCs w:val="15"/>
                <w:color w:val="auto"/>
              </w:rPr>
            </w:pPr>
          </w:p>
        </w:tc>
        <w:tc>
          <w:tcPr>
            <w:tcW w:w="1000" w:type="dxa"/>
            <w:vAlign w:val="bottom"/>
            <w:shd w:val="clear" w:color="auto" w:fill="D8D8D8"/>
          </w:tcPr>
          <w:p>
            <w:pPr>
              <w:spacing w:after="0"/>
              <w:rPr>
                <w:sz w:val="15"/>
                <w:szCs w:val="15"/>
                <w:color w:val="auto"/>
              </w:rPr>
            </w:pPr>
          </w:p>
        </w:tc>
        <w:tc>
          <w:tcPr>
            <w:tcW w:w="1240" w:type="dxa"/>
            <w:vAlign w:val="bottom"/>
            <w:shd w:val="clear" w:color="auto" w:fill="D8D8D8"/>
          </w:tcPr>
          <w:p>
            <w:pPr>
              <w:jc w:val="right"/>
              <w:ind w:right="8"/>
              <w:spacing w:after="0"/>
              <w:rPr>
                <w:sz w:val="20"/>
                <w:szCs w:val="20"/>
                <w:color w:val="auto"/>
              </w:rPr>
            </w:pPr>
            <w:r>
              <w:rPr>
                <w:rFonts w:ascii="Arial" w:cs="Arial" w:eastAsia="Arial" w:hAnsi="Arial"/>
                <w:sz w:val="14"/>
                <w:szCs w:val="14"/>
                <w:color w:val="auto"/>
              </w:rPr>
              <w:t>38,428(2)</w:t>
            </w:r>
          </w:p>
        </w:tc>
        <w:tc>
          <w:tcPr>
            <w:tcW w:w="740" w:type="dxa"/>
            <w:vAlign w:val="bottom"/>
            <w:shd w:val="clear" w:color="auto" w:fill="D8D8D8"/>
          </w:tcPr>
          <w:p>
            <w:pPr>
              <w:jc w:val="right"/>
              <w:ind w:right="8"/>
              <w:spacing w:after="0"/>
              <w:rPr>
                <w:sz w:val="20"/>
                <w:szCs w:val="20"/>
                <w:color w:val="auto"/>
              </w:rPr>
            </w:pPr>
            <w:r>
              <w:rPr>
                <w:rFonts w:ascii="Arial" w:cs="Arial" w:eastAsia="Arial" w:hAnsi="Arial"/>
                <w:sz w:val="14"/>
                <w:szCs w:val="14"/>
                <w:color w:val="auto"/>
              </w:rPr>
              <w:t>57.25</w:t>
            </w:r>
          </w:p>
        </w:tc>
        <w:tc>
          <w:tcPr>
            <w:tcW w:w="860" w:type="dxa"/>
            <w:vAlign w:val="bottom"/>
            <w:gridSpan w:val="2"/>
            <w:shd w:val="clear" w:color="auto" w:fill="D8D8D8"/>
          </w:tcPr>
          <w:p>
            <w:pPr>
              <w:jc w:val="right"/>
              <w:ind w:right="60"/>
              <w:spacing w:after="0"/>
              <w:rPr>
                <w:sz w:val="20"/>
                <w:szCs w:val="20"/>
                <w:color w:val="auto"/>
              </w:rPr>
            </w:pPr>
            <w:r>
              <w:rPr>
                <w:rFonts w:ascii="Arial" w:cs="Arial" w:eastAsia="Arial" w:hAnsi="Arial"/>
                <w:sz w:val="14"/>
                <w:szCs w:val="14"/>
                <w:color w:val="auto"/>
              </w:rPr>
              <w:t>2/11/2026</w:t>
            </w:r>
          </w:p>
        </w:tc>
        <w:tc>
          <w:tcPr>
            <w:tcW w:w="60" w:type="dxa"/>
            <w:vAlign w:val="bottom"/>
            <w:shd w:val="clear" w:color="auto" w:fill="D8D8D8"/>
          </w:tcPr>
          <w:p>
            <w:pPr>
              <w:spacing w:after="0"/>
              <w:rPr>
                <w:sz w:val="15"/>
                <w:szCs w:val="15"/>
                <w:color w:val="auto"/>
              </w:rPr>
            </w:pPr>
          </w:p>
        </w:tc>
        <w:tc>
          <w:tcPr>
            <w:tcW w:w="1020" w:type="dxa"/>
            <w:vAlign w:val="bottom"/>
            <w:shd w:val="clear" w:color="auto" w:fill="D8D8D8"/>
          </w:tcPr>
          <w:p>
            <w:pPr>
              <w:spacing w:after="0"/>
              <w:rPr>
                <w:sz w:val="15"/>
                <w:szCs w:val="15"/>
                <w:color w:val="auto"/>
              </w:rPr>
            </w:pPr>
          </w:p>
        </w:tc>
        <w:tc>
          <w:tcPr>
            <w:tcW w:w="1040" w:type="dxa"/>
            <w:vAlign w:val="bottom"/>
            <w:shd w:val="clear" w:color="auto" w:fill="D8D8D8"/>
          </w:tcPr>
          <w:p>
            <w:pPr>
              <w:spacing w:after="0"/>
              <w:rPr>
                <w:sz w:val="15"/>
                <w:szCs w:val="15"/>
                <w:color w:val="auto"/>
              </w:rPr>
            </w:pPr>
          </w:p>
        </w:tc>
        <w:tc>
          <w:tcPr>
            <w:tcW w:w="1240" w:type="dxa"/>
            <w:vAlign w:val="bottom"/>
            <w:shd w:val="clear" w:color="auto" w:fill="D8D8D8"/>
          </w:tcPr>
          <w:p>
            <w:pPr>
              <w:spacing w:after="0"/>
              <w:rPr>
                <w:sz w:val="15"/>
                <w:szCs w:val="15"/>
                <w:color w:val="auto"/>
              </w:rPr>
            </w:pPr>
          </w:p>
        </w:tc>
        <w:tc>
          <w:tcPr>
            <w:tcW w:w="960" w:type="dxa"/>
            <w:vAlign w:val="bottom"/>
            <w:shd w:val="clear" w:color="auto" w:fill="D8D8D8"/>
          </w:tcPr>
          <w:p>
            <w:pPr>
              <w:spacing w:after="0"/>
              <w:rPr>
                <w:sz w:val="15"/>
                <w:szCs w:val="15"/>
                <w:color w:val="auto"/>
              </w:rPr>
            </w:pPr>
          </w:p>
        </w:tc>
        <w:tc>
          <w:tcPr>
            <w:tcW w:w="320" w:type="dxa"/>
            <w:vAlign w:val="bottom"/>
            <w:shd w:val="clear" w:color="auto" w:fill="D8D8D8"/>
          </w:tcPr>
          <w:p>
            <w:pPr>
              <w:spacing w:after="0"/>
              <w:rPr>
                <w:sz w:val="15"/>
                <w:szCs w:val="15"/>
                <w:color w:val="auto"/>
              </w:rPr>
            </w:pPr>
          </w:p>
        </w:tc>
      </w:tr>
      <w:tr>
        <w:trPr>
          <w:trHeight w:val="175"/>
        </w:trPr>
        <w:tc>
          <w:tcPr>
            <w:tcW w:w="2340" w:type="dxa"/>
            <w:vAlign w:val="bottom"/>
            <w:shd w:val="clear" w:color="auto" w:fill="D8D8D8"/>
          </w:tcPr>
          <w:p>
            <w:pPr>
              <w:spacing w:after="0"/>
              <w:rPr>
                <w:sz w:val="15"/>
                <w:szCs w:val="15"/>
                <w:color w:val="auto"/>
              </w:rPr>
            </w:pPr>
          </w:p>
        </w:tc>
        <w:tc>
          <w:tcPr>
            <w:tcW w:w="100" w:type="dxa"/>
            <w:vAlign w:val="bottom"/>
            <w:shd w:val="clear" w:color="auto" w:fill="D8D8D8"/>
          </w:tcPr>
          <w:p>
            <w:pPr>
              <w:spacing w:after="0"/>
              <w:rPr>
                <w:sz w:val="15"/>
                <w:szCs w:val="15"/>
                <w:color w:val="auto"/>
              </w:rPr>
            </w:pPr>
          </w:p>
        </w:tc>
        <w:tc>
          <w:tcPr>
            <w:tcW w:w="80" w:type="dxa"/>
            <w:vAlign w:val="bottom"/>
            <w:shd w:val="clear" w:color="auto" w:fill="D8D8D8"/>
          </w:tcPr>
          <w:p>
            <w:pPr>
              <w:spacing w:after="0"/>
              <w:rPr>
                <w:sz w:val="15"/>
                <w:szCs w:val="15"/>
                <w:color w:val="auto"/>
              </w:rPr>
            </w:pPr>
          </w:p>
        </w:tc>
        <w:tc>
          <w:tcPr>
            <w:tcW w:w="1000" w:type="dxa"/>
            <w:vAlign w:val="bottom"/>
            <w:shd w:val="clear" w:color="auto" w:fill="D8D8D8"/>
          </w:tcPr>
          <w:p>
            <w:pPr>
              <w:spacing w:after="0"/>
              <w:rPr>
                <w:sz w:val="15"/>
                <w:szCs w:val="15"/>
                <w:color w:val="auto"/>
              </w:rPr>
            </w:pPr>
          </w:p>
        </w:tc>
        <w:tc>
          <w:tcPr>
            <w:tcW w:w="1240" w:type="dxa"/>
            <w:vAlign w:val="bottom"/>
            <w:shd w:val="clear" w:color="auto" w:fill="D8D8D8"/>
          </w:tcPr>
          <w:p>
            <w:pPr>
              <w:jc w:val="right"/>
              <w:ind w:right="8"/>
              <w:spacing w:after="0"/>
              <w:rPr>
                <w:sz w:val="20"/>
                <w:szCs w:val="20"/>
                <w:color w:val="auto"/>
              </w:rPr>
            </w:pPr>
            <w:r>
              <w:rPr>
                <w:rFonts w:ascii="Arial" w:cs="Arial" w:eastAsia="Arial" w:hAnsi="Arial"/>
                <w:sz w:val="14"/>
                <w:szCs w:val="14"/>
                <w:color w:val="auto"/>
              </w:rPr>
              <w:t>30,022(3)</w:t>
            </w:r>
          </w:p>
        </w:tc>
        <w:tc>
          <w:tcPr>
            <w:tcW w:w="740" w:type="dxa"/>
            <w:vAlign w:val="bottom"/>
            <w:shd w:val="clear" w:color="auto" w:fill="D8D8D8"/>
          </w:tcPr>
          <w:p>
            <w:pPr>
              <w:jc w:val="right"/>
              <w:ind w:right="8"/>
              <w:spacing w:after="0"/>
              <w:rPr>
                <w:sz w:val="20"/>
                <w:szCs w:val="20"/>
                <w:color w:val="auto"/>
              </w:rPr>
            </w:pPr>
            <w:r>
              <w:rPr>
                <w:rFonts w:ascii="Arial" w:cs="Arial" w:eastAsia="Arial" w:hAnsi="Arial"/>
                <w:sz w:val="14"/>
                <w:szCs w:val="14"/>
                <w:color w:val="auto"/>
              </w:rPr>
              <w:t>73.28</w:t>
            </w:r>
          </w:p>
        </w:tc>
        <w:tc>
          <w:tcPr>
            <w:tcW w:w="860" w:type="dxa"/>
            <w:vAlign w:val="bottom"/>
            <w:gridSpan w:val="2"/>
            <w:shd w:val="clear" w:color="auto" w:fill="D8D8D8"/>
          </w:tcPr>
          <w:p>
            <w:pPr>
              <w:jc w:val="right"/>
              <w:ind w:right="60"/>
              <w:spacing w:after="0"/>
              <w:rPr>
                <w:sz w:val="20"/>
                <w:szCs w:val="20"/>
                <w:color w:val="auto"/>
              </w:rPr>
            </w:pPr>
            <w:r>
              <w:rPr>
                <w:rFonts w:ascii="Arial" w:cs="Arial" w:eastAsia="Arial" w:hAnsi="Arial"/>
                <w:sz w:val="14"/>
                <w:szCs w:val="14"/>
                <w:color w:val="auto"/>
              </w:rPr>
              <w:t>2/12/2025</w:t>
            </w:r>
          </w:p>
        </w:tc>
        <w:tc>
          <w:tcPr>
            <w:tcW w:w="60" w:type="dxa"/>
            <w:vAlign w:val="bottom"/>
            <w:shd w:val="clear" w:color="auto" w:fill="D8D8D8"/>
          </w:tcPr>
          <w:p>
            <w:pPr>
              <w:spacing w:after="0"/>
              <w:rPr>
                <w:sz w:val="15"/>
                <w:szCs w:val="15"/>
                <w:color w:val="auto"/>
              </w:rPr>
            </w:pPr>
          </w:p>
        </w:tc>
        <w:tc>
          <w:tcPr>
            <w:tcW w:w="1020" w:type="dxa"/>
            <w:vAlign w:val="bottom"/>
            <w:shd w:val="clear" w:color="auto" w:fill="D8D8D8"/>
          </w:tcPr>
          <w:p>
            <w:pPr>
              <w:spacing w:after="0"/>
              <w:rPr>
                <w:sz w:val="15"/>
                <w:szCs w:val="15"/>
                <w:color w:val="auto"/>
              </w:rPr>
            </w:pPr>
          </w:p>
        </w:tc>
        <w:tc>
          <w:tcPr>
            <w:tcW w:w="1040" w:type="dxa"/>
            <w:vAlign w:val="bottom"/>
            <w:shd w:val="clear" w:color="auto" w:fill="D8D8D8"/>
          </w:tcPr>
          <w:p>
            <w:pPr>
              <w:spacing w:after="0"/>
              <w:rPr>
                <w:sz w:val="15"/>
                <w:szCs w:val="15"/>
                <w:color w:val="auto"/>
              </w:rPr>
            </w:pPr>
          </w:p>
        </w:tc>
        <w:tc>
          <w:tcPr>
            <w:tcW w:w="1240" w:type="dxa"/>
            <w:vAlign w:val="bottom"/>
            <w:shd w:val="clear" w:color="auto" w:fill="D8D8D8"/>
          </w:tcPr>
          <w:p>
            <w:pPr>
              <w:spacing w:after="0"/>
              <w:rPr>
                <w:sz w:val="15"/>
                <w:szCs w:val="15"/>
                <w:color w:val="auto"/>
              </w:rPr>
            </w:pPr>
          </w:p>
        </w:tc>
        <w:tc>
          <w:tcPr>
            <w:tcW w:w="960" w:type="dxa"/>
            <w:vAlign w:val="bottom"/>
            <w:shd w:val="clear" w:color="auto" w:fill="D8D8D8"/>
          </w:tcPr>
          <w:p>
            <w:pPr>
              <w:spacing w:after="0"/>
              <w:rPr>
                <w:sz w:val="15"/>
                <w:szCs w:val="15"/>
                <w:color w:val="auto"/>
              </w:rPr>
            </w:pPr>
          </w:p>
        </w:tc>
        <w:tc>
          <w:tcPr>
            <w:tcW w:w="320" w:type="dxa"/>
            <w:vAlign w:val="bottom"/>
            <w:shd w:val="clear" w:color="auto" w:fill="D8D8D8"/>
          </w:tcPr>
          <w:p>
            <w:pPr>
              <w:spacing w:after="0"/>
              <w:rPr>
                <w:sz w:val="15"/>
                <w:szCs w:val="15"/>
                <w:color w:val="auto"/>
              </w:rPr>
            </w:pPr>
          </w:p>
        </w:tc>
      </w:tr>
      <w:tr>
        <w:trPr>
          <w:trHeight w:val="175"/>
        </w:trPr>
        <w:tc>
          <w:tcPr>
            <w:tcW w:w="2340" w:type="dxa"/>
            <w:vAlign w:val="bottom"/>
            <w:shd w:val="clear" w:color="auto" w:fill="D8D8D8"/>
          </w:tcPr>
          <w:p>
            <w:pPr>
              <w:spacing w:after="0"/>
              <w:rPr>
                <w:sz w:val="15"/>
                <w:szCs w:val="15"/>
                <w:color w:val="auto"/>
              </w:rPr>
            </w:pPr>
          </w:p>
        </w:tc>
        <w:tc>
          <w:tcPr>
            <w:tcW w:w="100" w:type="dxa"/>
            <w:vAlign w:val="bottom"/>
            <w:shd w:val="clear" w:color="auto" w:fill="D8D8D8"/>
          </w:tcPr>
          <w:p>
            <w:pPr>
              <w:spacing w:after="0"/>
              <w:rPr>
                <w:sz w:val="15"/>
                <w:szCs w:val="15"/>
                <w:color w:val="auto"/>
              </w:rPr>
            </w:pPr>
          </w:p>
        </w:tc>
        <w:tc>
          <w:tcPr>
            <w:tcW w:w="80" w:type="dxa"/>
            <w:vAlign w:val="bottom"/>
            <w:shd w:val="clear" w:color="auto" w:fill="D8D8D8"/>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24,239(4)</w:t>
            </w:r>
          </w:p>
        </w:tc>
        <w:tc>
          <w:tcPr>
            <w:tcW w:w="1240" w:type="dxa"/>
            <w:vAlign w:val="bottom"/>
          </w:tcPr>
          <w:p>
            <w:pPr>
              <w:spacing w:after="0"/>
              <w:rPr>
                <w:sz w:val="15"/>
                <w:szCs w:val="15"/>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82.51</w:t>
            </w: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3/10/2024</w:t>
            </w: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75"/>
        </w:trPr>
        <w:tc>
          <w:tcPr>
            <w:tcW w:w="2340" w:type="dxa"/>
            <w:vAlign w:val="bottom"/>
            <w:shd w:val="clear" w:color="auto" w:fill="D8D8D8"/>
          </w:tcPr>
          <w:p>
            <w:pPr>
              <w:spacing w:after="0"/>
              <w:rPr>
                <w:sz w:val="15"/>
                <w:szCs w:val="15"/>
                <w:color w:val="auto"/>
              </w:rPr>
            </w:pPr>
          </w:p>
        </w:tc>
        <w:tc>
          <w:tcPr>
            <w:tcW w:w="100" w:type="dxa"/>
            <w:vAlign w:val="bottom"/>
            <w:shd w:val="clear" w:color="auto" w:fill="D8D8D8"/>
          </w:tcPr>
          <w:p>
            <w:pPr>
              <w:spacing w:after="0"/>
              <w:rPr>
                <w:sz w:val="15"/>
                <w:szCs w:val="15"/>
                <w:color w:val="auto"/>
              </w:rPr>
            </w:pPr>
          </w:p>
        </w:tc>
        <w:tc>
          <w:tcPr>
            <w:tcW w:w="80" w:type="dxa"/>
            <w:vAlign w:val="bottom"/>
            <w:shd w:val="clear" w:color="auto" w:fill="D8D8D8"/>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28,423(5)</w:t>
            </w:r>
          </w:p>
        </w:tc>
        <w:tc>
          <w:tcPr>
            <w:tcW w:w="1240" w:type="dxa"/>
            <w:vAlign w:val="bottom"/>
            <w:shd w:val="clear" w:color="auto" w:fill="D8D8D8"/>
          </w:tcPr>
          <w:p>
            <w:pPr>
              <w:spacing w:after="0"/>
              <w:rPr>
                <w:sz w:val="15"/>
                <w:szCs w:val="15"/>
                <w:color w:val="auto"/>
              </w:rPr>
            </w:pPr>
          </w:p>
        </w:tc>
        <w:tc>
          <w:tcPr>
            <w:tcW w:w="740" w:type="dxa"/>
            <w:vAlign w:val="bottom"/>
            <w:shd w:val="clear" w:color="auto" w:fill="D8D8D8"/>
          </w:tcPr>
          <w:p>
            <w:pPr>
              <w:jc w:val="right"/>
              <w:ind w:right="8"/>
              <w:spacing w:after="0"/>
              <w:rPr>
                <w:sz w:val="20"/>
                <w:szCs w:val="20"/>
                <w:color w:val="auto"/>
              </w:rPr>
            </w:pPr>
            <w:r>
              <w:rPr>
                <w:rFonts w:ascii="Arial" w:cs="Arial" w:eastAsia="Arial" w:hAnsi="Arial"/>
                <w:sz w:val="14"/>
                <w:szCs w:val="14"/>
                <w:color w:val="auto"/>
              </w:rPr>
              <w:t>63.33</w:t>
            </w:r>
          </w:p>
        </w:tc>
        <w:tc>
          <w:tcPr>
            <w:tcW w:w="860" w:type="dxa"/>
            <w:vAlign w:val="bottom"/>
            <w:gridSpan w:val="2"/>
            <w:shd w:val="clear" w:color="auto" w:fill="D8D8D8"/>
          </w:tcPr>
          <w:p>
            <w:pPr>
              <w:jc w:val="right"/>
              <w:ind w:right="60"/>
              <w:spacing w:after="0"/>
              <w:rPr>
                <w:sz w:val="20"/>
                <w:szCs w:val="20"/>
                <w:color w:val="auto"/>
              </w:rPr>
            </w:pPr>
            <w:r>
              <w:rPr>
                <w:rFonts w:ascii="Arial" w:cs="Arial" w:eastAsia="Arial" w:hAnsi="Arial"/>
                <w:sz w:val="14"/>
                <w:szCs w:val="14"/>
                <w:color w:val="auto"/>
              </w:rPr>
              <w:t>2/14/2023</w:t>
            </w:r>
          </w:p>
        </w:tc>
        <w:tc>
          <w:tcPr>
            <w:tcW w:w="60" w:type="dxa"/>
            <w:vAlign w:val="bottom"/>
            <w:shd w:val="clear" w:color="auto" w:fill="D8D8D8"/>
          </w:tcPr>
          <w:p>
            <w:pPr>
              <w:spacing w:after="0"/>
              <w:rPr>
                <w:sz w:val="15"/>
                <w:szCs w:val="15"/>
                <w:color w:val="auto"/>
              </w:rPr>
            </w:pPr>
          </w:p>
        </w:tc>
        <w:tc>
          <w:tcPr>
            <w:tcW w:w="1020" w:type="dxa"/>
            <w:vAlign w:val="bottom"/>
            <w:shd w:val="clear" w:color="auto" w:fill="D8D8D8"/>
          </w:tcPr>
          <w:p>
            <w:pPr>
              <w:spacing w:after="0"/>
              <w:rPr>
                <w:sz w:val="15"/>
                <w:szCs w:val="15"/>
                <w:color w:val="auto"/>
              </w:rPr>
            </w:pPr>
          </w:p>
        </w:tc>
        <w:tc>
          <w:tcPr>
            <w:tcW w:w="1040" w:type="dxa"/>
            <w:vAlign w:val="bottom"/>
            <w:shd w:val="clear" w:color="auto" w:fill="D8D8D8"/>
          </w:tcPr>
          <w:p>
            <w:pPr>
              <w:spacing w:after="0"/>
              <w:rPr>
                <w:sz w:val="15"/>
                <w:szCs w:val="15"/>
                <w:color w:val="auto"/>
              </w:rPr>
            </w:pPr>
          </w:p>
        </w:tc>
        <w:tc>
          <w:tcPr>
            <w:tcW w:w="1240" w:type="dxa"/>
            <w:vAlign w:val="bottom"/>
            <w:shd w:val="clear" w:color="auto" w:fill="D8D8D8"/>
          </w:tcPr>
          <w:p>
            <w:pPr>
              <w:spacing w:after="0"/>
              <w:rPr>
                <w:sz w:val="15"/>
                <w:szCs w:val="15"/>
                <w:color w:val="auto"/>
              </w:rPr>
            </w:pPr>
          </w:p>
        </w:tc>
        <w:tc>
          <w:tcPr>
            <w:tcW w:w="960" w:type="dxa"/>
            <w:vAlign w:val="bottom"/>
            <w:shd w:val="clear" w:color="auto" w:fill="D8D8D8"/>
          </w:tcPr>
          <w:p>
            <w:pPr>
              <w:spacing w:after="0"/>
              <w:rPr>
                <w:sz w:val="15"/>
                <w:szCs w:val="15"/>
                <w:color w:val="auto"/>
              </w:rPr>
            </w:pPr>
          </w:p>
        </w:tc>
        <w:tc>
          <w:tcPr>
            <w:tcW w:w="320" w:type="dxa"/>
            <w:vAlign w:val="bottom"/>
            <w:shd w:val="clear" w:color="auto" w:fill="D8D8D8"/>
          </w:tcPr>
          <w:p>
            <w:pPr>
              <w:spacing w:after="0"/>
              <w:rPr>
                <w:sz w:val="15"/>
                <w:szCs w:val="15"/>
                <w:color w:val="auto"/>
              </w:rPr>
            </w:pPr>
          </w:p>
        </w:tc>
      </w:tr>
      <w:tr>
        <w:trPr>
          <w:trHeight w:val="175"/>
        </w:trPr>
        <w:tc>
          <w:tcPr>
            <w:tcW w:w="2340" w:type="dxa"/>
            <w:vAlign w:val="bottom"/>
            <w:shd w:val="clear" w:color="auto" w:fill="D8D8D8"/>
          </w:tcPr>
          <w:p>
            <w:pPr>
              <w:spacing w:after="0"/>
              <w:rPr>
                <w:sz w:val="15"/>
                <w:szCs w:val="15"/>
                <w:color w:val="auto"/>
              </w:rPr>
            </w:pPr>
          </w:p>
        </w:tc>
        <w:tc>
          <w:tcPr>
            <w:tcW w:w="100" w:type="dxa"/>
            <w:vAlign w:val="bottom"/>
            <w:shd w:val="clear" w:color="auto" w:fill="D8D8D8"/>
          </w:tcPr>
          <w:p>
            <w:pPr>
              <w:spacing w:after="0"/>
              <w:rPr>
                <w:sz w:val="15"/>
                <w:szCs w:val="15"/>
                <w:color w:val="auto"/>
              </w:rPr>
            </w:pPr>
          </w:p>
        </w:tc>
        <w:tc>
          <w:tcPr>
            <w:tcW w:w="80" w:type="dxa"/>
            <w:vAlign w:val="bottom"/>
            <w:shd w:val="clear" w:color="auto" w:fill="D8D8D8"/>
          </w:tcPr>
          <w:p>
            <w:pPr>
              <w:spacing w:after="0"/>
              <w:rPr>
                <w:sz w:val="15"/>
                <w:szCs w:val="15"/>
                <w:color w:val="auto"/>
              </w:rPr>
            </w:pPr>
          </w:p>
        </w:tc>
        <w:tc>
          <w:tcPr>
            <w:tcW w:w="1000" w:type="dxa"/>
            <w:vAlign w:val="bottom"/>
          </w:tcPr>
          <w:p>
            <w:pPr>
              <w:spacing w:after="0"/>
              <w:rPr>
                <w:sz w:val="15"/>
                <w:szCs w:val="15"/>
                <w:color w:val="auto"/>
              </w:rPr>
            </w:pPr>
          </w:p>
        </w:tc>
        <w:tc>
          <w:tcPr>
            <w:tcW w:w="1240" w:type="dxa"/>
            <w:vAlign w:val="bottom"/>
            <w:shd w:val="clear" w:color="auto" w:fill="D8D8D8"/>
          </w:tcPr>
          <w:p>
            <w:pPr>
              <w:spacing w:after="0"/>
              <w:rPr>
                <w:sz w:val="15"/>
                <w:szCs w:val="15"/>
                <w:color w:val="auto"/>
              </w:rPr>
            </w:pPr>
          </w:p>
        </w:tc>
        <w:tc>
          <w:tcPr>
            <w:tcW w:w="740" w:type="dxa"/>
            <w:vAlign w:val="bottom"/>
            <w:shd w:val="clear" w:color="auto" w:fill="D8D8D8"/>
          </w:tcPr>
          <w:p>
            <w:pPr>
              <w:spacing w:after="0"/>
              <w:rPr>
                <w:sz w:val="15"/>
                <w:szCs w:val="15"/>
                <w:color w:val="auto"/>
              </w:rPr>
            </w:pPr>
          </w:p>
        </w:tc>
        <w:tc>
          <w:tcPr>
            <w:tcW w:w="800" w:type="dxa"/>
            <w:vAlign w:val="bottom"/>
            <w:shd w:val="clear" w:color="auto" w:fill="D8D8D8"/>
          </w:tcPr>
          <w:p>
            <w:pPr>
              <w:spacing w:after="0"/>
              <w:rPr>
                <w:sz w:val="15"/>
                <w:szCs w:val="15"/>
                <w:color w:val="auto"/>
              </w:rPr>
            </w:pPr>
          </w:p>
        </w:tc>
        <w:tc>
          <w:tcPr>
            <w:tcW w:w="60" w:type="dxa"/>
            <w:vAlign w:val="bottom"/>
            <w:shd w:val="clear" w:color="auto" w:fill="D8D8D8"/>
          </w:tcPr>
          <w:p>
            <w:pPr>
              <w:spacing w:after="0"/>
              <w:rPr>
                <w:sz w:val="15"/>
                <w:szCs w:val="15"/>
                <w:color w:val="auto"/>
              </w:rPr>
            </w:pPr>
          </w:p>
        </w:tc>
        <w:tc>
          <w:tcPr>
            <w:tcW w:w="1080" w:type="dxa"/>
            <w:vAlign w:val="bottom"/>
            <w:gridSpan w:val="2"/>
            <w:shd w:val="clear" w:color="auto" w:fill="D8D8D8"/>
          </w:tcPr>
          <w:p>
            <w:pPr>
              <w:ind w:left="420"/>
              <w:spacing w:after="0"/>
              <w:rPr>
                <w:sz w:val="20"/>
                <w:szCs w:val="20"/>
                <w:color w:val="auto"/>
              </w:rPr>
            </w:pPr>
            <w:r>
              <w:rPr>
                <w:rFonts w:ascii="Arial" w:cs="Arial" w:eastAsia="Arial" w:hAnsi="Arial"/>
                <w:sz w:val="14"/>
                <w:szCs w:val="14"/>
                <w:color w:val="auto"/>
              </w:rPr>
              <w:t>2,775(10)</w:t>
            </w:r>
          </w:p>
        </w:tc>
        <w:tc>
          <w:tcPr>
            <w:tcW w:w="1040" w:type="dxa"/>
            <w:vAlign w:val="bottom"/>
            <w:shd w:val="clear" w:color="auto" w:fill="D8D8D8"/>
          </w:tcPr>
          <w:p>
            <w:pPr>
              <w:ind w:left="200"/>
              <w:spacing w:after="0"/>
              <w:rPr>
                <w:sz w:val="20"/>
                <w:szCs w:val="20"/>
                <w:color w:val="auto"/>
              </w:rPr>
            </w:pPr>
            <w:r>
              <w:rPr>
                <w:rFonts w:ascii="Arial" w:cs="Arial" w:eastAsia="Arial" w:hAnsi="Arial"/>
                <w:sz w:val="14"/>
                <w:szCs w:val="14"/>
                <w:color w:val="auto"/>
              </w:rPr>
              <w:t>280,247(13)</w:t>
            </w:r>
          </w:p>
        </w:tc>
        <w:tc>
          <w:tcPr>
            <w:tcW w:w="1240" w:type="dxa"/>
            <w:vAlign w:val="bottom"/>
            <w:shd w:val="clear" w:color="auto" w:fill="D8D8D8"/>
          </w:tcPr>
          <w:p>
            <w:pPr>
              <w:ind w:left="500"/>
              <w:spacing w:after="0"/>
              <w:rPr>
                <w:sz w:val="20"/>
                <w:szCs w:val="20"/>
                <w:color w:val="auto"/>
              </w:rPr>
            </w:pPr>
            <w:r>
              <w:rPr>
                <w:rFonts w:ascii="Arial" w:cs="Arial" w:eastAsia="Arial" w:hAnsi="Arial"/>
                <w:sz w:val="14"/>
                <w:szCs w:val="14"/>
                <w:color w:val="auto"/>
              </w:rPr>
              <w:t>16,648(14)</w:t>
            </w:r>
          </w:p>
        </w:tc>
        <w:tc>
          <w:tcPr>
            <w:tcW w:w="1280" w:type="dxa"/>
            <w:vAlign w:val="bottom"/>
            <w:gridSpan w:val="2"/>
            <w:shd w:val="clear" w:color="auto" w:fill="D8D8D8"/>
          </w:tcPr>
          <w:p>
            <w:pPr>
              <w:ind w:left="320"/>
              <w:spacing w:after="0"/>
              <w:rPr>
                <w:sz w:val="20"/>
                <w:szCs w:val="20"/>
                <w:color w:val="auto"/>
              </w:rPr>
            </w:pPr>
            <w:r>
              <w:rPr>
                <w:rFonts w:ascii="Arial" w:cs="Arial" w:eastAsia="Arial" w:hAnsi="Arial"/>
                <w:sz w:val="14"/>
                <w:szCs w:val="14"/>
                <w:color w:val="auto"/>
              </w:rPr>
              <w:t>1,681,282(16)</w:t>
            </w:r>
          </w:p>
        </w:tc>
      </w:tr>
      <w:tr>
        <w:trPr>
          <w:trHeight w:val="175"/>
        </w:trPr>
        <w:tc>
          <w:tcPr>
            <w:tcW w:w="2340" w:type="dxa"/>
            <w:vAlign w:val="bottom"/>
            <w:shd w:val="clear" w:color="auto" w:fill="D8D8D8"/>
          </w:tcPr>
          <w:p>
            <w:pPr>
              <w:spacing w:after="0"/>
              <w:rPr>
                <w:sz w:val="15"/>
                <w:szCs w:val="15"/>
                <w:color w:val="auto"/>
              </w:rPr>
            </w:pPr>
          </w:p>
        </w:tc>
        <w:tc>
          <w:tcPr>
            <w:tcW w:w="100" w:type="dxa"/>
            <w:vAlign w:val="bottom"/>
            <w:shd w:val="clear" w:color="auto" w:fill="D8D8D8"/>
          </w:tcPr>
          <w:p>
            <w:pPr>
              <w:spacing w:after="0"/>
              <w:rPr>
                <w:sz w:val="15"/>
                <w:szCs w:val="15"/>
                <w:color w:val="auto"/>
              </w:rPr>
            </w:pPr>
          </w:p>
        </w:tc>
        <w:tc>
          <w:tcPr>
            <w:tcW w:w="80" w:type="dxa"/>
            <w:vAlign w:val="bottom"/>
            <w:shd w:val="clear" w:color="auto" w:fill="D8D8D8"/>
          </w:tcPr>
          <w:p>
            <w:pPr>
              <w:spacing w:after="0"/>
              <w:rPr>
                <w:sz w:val="15"/>
                <w:szCs w:val="15"/>
                <w:color w:val="auto"/>
              </w:rPr>
            </w:pPr>
          </w:p>
        </w:tc>
        <w:tc>
          <w:tcPr>
            <w:tcW w:w="1000" w:type="dxa"/>
            <w:vAlign w:val="bottom"/>
          </w:tcPr>
          <w:p>
            <w:pPr>
              <w:spacing w:after="0"/>
              <w:rPr>
                <w:sz w:val="15"/>
                <w:szCs w:val="15"/>
                <w:color w:val="auto"/>
              </w:rPr>
            </w:pPr>
          </w:p>
        </w:tc>
        <w:tc>
          <w:tcPr>
            <w:tcW w:w="1240" w:type="dxa"/>
            <w:vAlign w:val="bottom"/>
            <w:shd w:val="clear" w:color="auto" w:fill="D8D8D8"/>
          </w:tcPr>
          <w:p>
            <w:pPr>
              <w:spacing w:after="0"/>
              <w:rPr>
                <w:sz w:val="15"/>
                <w:szCs w:val="15"/>
                <w:color w:val="auto"/>
              </w:rPr>
            </w:pPr>
          </w:p>
        </w:tc>
        <w:tc>
          <w:tcPr>
            <w:tcW w:w="740" w:type="dxa"/>
            <w:vAlign w:val="bottom"/>
            <w:shd w:val="clear" w:color="auto" w:fill="D8D8D8"/>
          </w:tcPr>
          <w:p>
            <w:pPr>
              <w:spacing w:after="0"/>
              <w:rPr>
                <w:sz w:val="15"/>
                <w:szCs w:val="15"/>
                <w:color w:val="auto"/>
              </w:rPr>
            </w:pPr>
          </w:p>
        </w:tc>
        <w:tc>
          <w:tcPr>
            <w:tcW w:w="800" w:type="dxa"/>
            <w:vAlign w:val="bottom"/>
            <w:shd w:val="clear" w:color="auto" w:fill="D8D8D8"/>
          </w:tcPr>
          <w:p>
            <w:pPr>
              <w:spacing w:after="0"/>
              <w:rPr>
                <w:sz w:val="15"/>
                <w:szCs w:val="15"/>
                <w:color w:val="auto"/>
              </w:rPr>
            </w:pPr>
          </w:p>
        </w:tc>
        <w:tc>
          <w:tcPr>
            <w:tcW w:w="60" w:type="dxa"/>
            <w:vAlign w:val="bottom"/>
            <w:shd w:val="clear" w:color="auto" w:fill="D8D8D8"/>
          </w:tcPr>
          <w:p>
            <w:pPr>
              <w:spacing w:after="0"/>
              <w:rPr>
                <w:sz w:val="15"/>
                <w:szCs w:val="15"/>
                <w:color w:val="auto"/>
              </w:rPr>
            </w:pPr>
          </w:p>
        </w:tc>
        <w:tc>
          <w:tcPr>
            <w:tcW w:w="1080" w:type="dxa"/>
            <w:vAlign w:val="bottom"/>
            <w:gridSpan w:val="2"/>
            <w:shd w:val="clear" w:color="auto" w:fill="D8D8D8"/>
          </w:tcPr>
          <w:p>
            <w:pPr>
              <w:ind w:left="420"/>
              <w:spacing w:after="0"/>
              <w:rPr>
                <w:sz w:val="20"/>
                <w:szCs w:val="20"/>
                <w:color w:val="auto"/>
              </w:rPr>
            </w:pPr>
            <w:r>
              <w:rPr>
                <w:rFonts w:ascii="Arial" w:cs="Arial" w:eastAsia="Arial" w:hAnsi="Arial"/>
                <w:sz w:val="14"/>
                <w:szCs w:val="14"/>
                <w:color w:val="auto"/>
              </w:rPr>
              <w:t>2,562(11)</w:t>
            </w:r>
          </w:p>
        </w:tc>
        <w:tc>
          <w:tcPr>
            <w:tcW w:w="1040" w:type="dxa"/>
            <w:vAlign w:val="bottom"/>
            <w:shd w:val="clear" w:color="auto" w:fill="D8D8D8"/>
          </w:tcPr>
          <w:p>
            <w:pPr>
              <w:ind w:left="200"/>
              <w:spacing w:after="0"/>
              <w:rPr>
                <w:sz w:val="20"/>
                <w:szCs w:val="20"/>
                <w:color w:val="auto"/>
              </w:rPr>
            </w:pPr>
            <w:r>
              <w:rPr>
                <w:rFonts w:ascii="Arial" w:cs="Arial" w:eastAsia="Arial" w:hAnsi="Arial"/>
                <w:sz w:val="14"/>
                <w:szCs w:val="14"/>
                <w:color w:val="auto"/>
              </w:rPr>
              <w:t>258,736(13)</w:t>
            </w:r>
          </w:p>
        </w:tc>
        <w:tc>
          <w:tcPr>
            <w:tcW w:w="1240" w:type="dxa"/>
            <w:vAlign w:val="bottom"/>
            <w:shd w:val="clear" w:color="auto" w:fill="D8D8D8"/>
          </w:tcPr>
          <w:p>
            <w:pPr>
              <w:ind w:left="500"/>
              <w:spacing w:after="0"/>
              <w:rPr>
                <w:sz w:val="20"/>
                <w:szCs w:val="20"/>
                <w:color w:val="auto"/>
              </w:rPr>
            </w:pPr>
            <w:r>
              <w:rPr>
                <w:rFonts w:ascii="Arial" w:cs="Arial" w:eastAsia="Arial" w:hAnsi="Arial"/>
                <w:sz w:val="14"/>
                <w:szCs w:val="14"/>
                <w:color w:val="auto"/>
              </w:rPr>
              <w:t>23,056(15)</w:t>
            </w:r>
          </w:p>
        </w:tc>
        <w:tc>
          <w:tcPr>
            <w:tcW w:w="1280" w:type="dxa"/>
            <w:vAlign w:val="bottom"/>
            <w:gridSpan w:val="2"/>
            <w:shd w:val="clear" w:color="auto" w:fill="D8D8D8"/>
          </w:tcPr>
          <w:p>
            <w:pPr>
              <w:ind w:left="320"/>
              <w:spacing w:after="0"/>
              <w:rPr>
                <w:sz w:val="20"/>
                <w:szCs w:val="20"/>
                <w:color w:val="auto"/>
              </w:rPr>
            </w:pPr>
            <w:r>
              <w:rPr>
                <w:rFonts w:ascii="Arial" w:cs="Arial" w:eastAsia="Arial" w:hAnsi="Arial"/>
                <w:sz w:val="14"/>
                <w:szCs w:val="14"/>
                <w:color w:val="auto"/>
              </w:rPr>
              <w:t>2,328,425(16)</w:t>
            </w:r>
          </w:p>
        </w:tc>
      </w:tr>
      <w:tr>
        <w:trPr>
          <w:trHeight w:val="175"/>
        </w:trPr>
        <w:tc>
          <w:tcPr>
            <w:tcW w:w="2340" w:type="dxa"/>
            <w:vAlign w:val="bottom"/>
            <w:tcBorders>
              <w:bottom w:val="single" w:sz="8" w:color="auto"/>
            </w:tcBorders>
            <w:shd w:val="clear" w:color="auto" w:fill="D8D8D8"/>
          </w:tcPr>
          <w:p>
            <w:pPr>
              <w:spacing w:after="0"/>
              <w:rPr>
                <w:sz w:val="15"/>
                <w:szCs w:val="15"/>
                <w:color w:val="auto"/>
              </w:rPr>
            </w:pPr>
          </w:p>
        </w:tc>
        <w:tc>
          <w:tcPr>
            <w:tcW w:w="100" w:type="dxa"/>
            <w:vAlign w:val="bottom"/>
            <w:tcBorders>
              <w:bottom w:val="single" w:sz="8" w:color="auto"/>
            </w:tcBorders>
            <w:shd w:val="clear" w:color="auto" w:fill="D8D8D8"/>
          </w:tcPr>
          <w:p>
            <w:pPr>
              <w:spacing w:after="0"/>
              <w:rPr>
                <w:sz w:val="15"/>
                <w:szCs w:val="15"/>
                <w:color w:val="auto"/>
              </w:rPr>
            </w:pPr>
          </w:p>
        </w:tc>
        <w:tc>
          <w:tcPr>
            <w:tcW w:w="80" w:type="dxa"/>
            <w:vAlign w:val="bottom"/>
            <w:tcBorders>
              <w:bottom w:val="single" w:sz="8" w:color="auto"/>
            </w:tcBorders>
            <w:shd w:val="clear" w:color="auto" w:fill="D8D8D8"/>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shd w:val="clear" w:color="auto" w:fill="D8D8D8"/>
          </w:tcPr>
          <w:p>
            <w:pPr>
              <w:spacing w:after="0"/>
              <w:rPr>
                <w:sz w:val="15"/>
                <w:szCs w:val="15"/>
                <w:color w:val="auto"/>
              </w:rPr>
            </w:pPr>
          </w:p>
        </w:tc>
        <w:tc>
          <w:tcPr>
            <w:tcW w:w="740" w:type="dxa"/>
            <w:vAlign w:val="bottom"/>
            <w:tcBorders>
              <w:bottom w:val="single" w:sz="8" w:color="auto"/>
            </w:tcBorders>
            <w:shd w:val="clear" w:color="auto" w:fill="D8D8D8"/>
          </w:tcPr>
          <w:p>
            <w:pPr>
              <w:spacing w:after="0"/>
              <w:rPr>
                <w:sz w:val="15"/>
                <w:szCs w:val="15"/>
                <w:color w:val="auto"/>
              </w:rPr>
            </w:pPr>
          </w:p>
        </w:tc>
        <w:tc>
          <w:tcPr>
            <w:tcW w:w="800" w:type="dxa"/>
            <w:vAlign w:val="bottom"/>
            <w:tcBorders>
              <w:bottom w:val="single" w:sz="8" w:color="auto"/>
            </w:tcBorders>
            <w:shd w:val="clear" w:color="auto" w:fill="D8D8D8"/>
          </w:tcPr>
          <w:p>
            <w:pPr>
              <w:spacing w:after="0"/>
              <w:rPr>
                <w:sz w:val="15"/>
                <w:szCs w:val="15"/>
                <w:color w:val="auto"/>
              </w:rPr>
            </w:pPr>
          </w:p>
        </w:tc>
        <w:tc>
          <w:tcPr>
            <w:tcW w:w="60" w:type="dxa"/>
            <w:vAlign w:val="bottom"/>
            <w:tcBorders>
              <w:bottom w:val="single" w:sz="8" w:color="auto"/>
            </w:tcBorders>
            <w:shd w:val="clear" w:color="auto" w:fill="D8D8D8"/>
          </w:tcPr>
          <w:p>
            <w:pPr>
              <w:spacing w:after="0"/>
              <w:rPr>
                <w:sz w:val="15"/>
                <w:szCs w:val="15"/>
                <w:color w:val="auto"/>
              </w:rPr>
            </w:pPr>
          </w:p>
        </w:tc>
        <w:tc>
          <w:tcPr>
            <w:tcW w:w="1080" w:type="dxa"/>
            <w:vAlign w:val="bottom"/>
            <w:tcBorders>
              <w:bottom w:val="single" w:sz="8" w:color="auto"/>
            </w:tcBorders>
            <w:gridSpan w:val="2"/>
            <w:shd w:val="clear" w:color="auto" w:fill="D8D8D8"/>
          </w:tcPr>
          <w:p>
            <w:pPr>
              <w:ind w:left="420"/>
              <w:spacing w:after="0"/>
              <w:rPr>
                <w:sz w:val="20"/>
                <w:szCs w:val="20"/>
                <w:color w:val="auto"/>
              </w:rPr>
            </w:pPr>
            <w:r>
              <w:rPr>
                <w:rFonts w:ascii="Arial" w:cs="Arial" w:eastAsia="Arial" w:hAnsi="Arial"/>
                <w:sz w:val="14"/>
                <w:szCs w:val="14"/>
                <w:color w:val="auto"/>
              </w:rPr>
              <w:t>1,001(12)</w:t>
            </w:r>
          </w:p>
        </w:tc>
        <w:tc>
          <w:tcPr>
            <w:tcW w:w="1040" w:type="dxa"/>
            <w:vAlign w:val="bottom"/>
            <w:tcBorders>
              <w:bottom w:val="single" w:sz="8" w:color="auto"/>
            </w:tcBorders>
            <w:shd w:val="clear" w:color="auto" w:fill="D8D8D8"/>
          </w:tcPr>
          <w:p>
            <w:pPr>
              <w:ind w:left="200"/>
              <w:spacing w:after="0"/>
              <w:rPr>
                <w:sz w:val="20"/>
                <w:szCs w:val="20"/>
                <w:color w:val="auto"/>
              </w:rPr>
            </w:pPr>
            <w:r>
              <w:rPr>
                <w:rFonts w:ascii="Arial" w:cs="Arial" w:eastAsia="Arial" w:hAnsi="Arial"/>
                <w:sz w:val="14"/>
                <w:szCs w:val="14"/>
                <w:color w:val="auto"/>
              </w:rPr>
              <w:t>101,091(13)</w:t>
            </w:r>
          </w:p>
        </w:tc>
        <w:tc>
          <w:tcPr>
            <w:tcW w:w="1240" w:type="dxa"/>
            <w:vAlign w:val="bottom"/>
            <w:tcBorders>
              <w:bottom w:val="single" w:sz="8" w:color="auto"/>
            </w:tcBorders>
            <w:shd w:val="clear" w:color="auto" w:fill="D8D8D8"/>
          </w:tcPr>
          <w:p>
            <w:pPr>
              <w:spacing w:after="0"/>
              <w:rPr>
                <w:sz w:val="15"/>
                <w:szCs w:val="15"/>
                <w:color w:val="auto"/>
              </w:rPr>
            </w:pPr>
          </w:p>
        </w:tc>
        <w:tc>
          <w:tcPr>
            <w:tcW w:w="960" w:type="dxa"/>
            <w:vAlign w:val="bottom"/>
            <w:tcBorders>
              <w:bottom w:val="single" w:sz="8" w:color="auto"/>
            </w:tcBorders>
            <w:shd w:val="clear" w:color="auto" w:fill="D8D8D8"/>
          </w:tcPr>
          <w:p>
            <w:pPr>
              <w:spacing w:after="0"/>
              <w:rPr>
                <w:sz w:val="15"/>
                <w:szCs w:val="15"/>
                <w:color w:val="auto"/>
              </w:rPr>
            </w:pPr>
          </w:p>
        </w:tc>
        <w:tc>
          <w:tcPr>
            <w:tcW w:w="320" w:type="dxa"/>
            <w:vAlign w:val="bottom"/>
            <w:tcBorders>
              <w:bottom w:val="single" w:sz="8" w:color="auto"/>
            </w:tcBorders>
            <w:shd w:val="clear" w:color="auto" w:fill="D8D8D8"/>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1623695</wp:posOffset>
            </wp:positionH>
            <wp:positionV relativeFrom="paragraph">
              <wp:posOffset>-676275</wp:posOffset>
            </wp:positionV>
            <wp:extent cx="5499100" cy="6680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499100" cy="668020"/>
                    </a:xfrm>
                    <a:prstGeom prst="rect">
                      <a:avLst/>
                    </a:prstGeom>
                    <a:noFill/>
                  </pic:spPr>
                </pic:pic>
              </a:graphicData>
            </a:graphic>
          </wp:anchor>
        </w:drawing>
        <w:drawing>
          <wp:anchor simplePos="0" relativeHeight="251657728" behindDoc="1" locked="0" layoutInCell="0" allowOverlap="1">
            <wp:simplePos x="0" y="0"/>
            <wp:positionH relativeFrom="column">
              <wp:posOffset>1623695</wp:posOffset>
            </wp:positionH>
            <wp:positionV relativeFrom="paragraph">
              <wp:posOffset>-787400</wp:posOffset>
            </wp:positionV>
            <wp:extent cx="549910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499100" cy="8255"/>
                    </a:xfrm>
                    <a:prstGeom prst="rect">
                      <a:avLst/>
                    </a:prstGeom>
                    <a:noFill/>
                  </pic:spPr>
                </pic:pic>
              </a:graphicData>
            </a:graphic>
          </wp:anchor>
        </w:drawing>
      </w:r>
    </w:p>
    <w:p>
      <w:pPr>
        <w:spacing w:after="0" w:line="33" w:lineRule="exact"/>
        <w:rPr>
          <w:sz w:val="20"/>
          <w:szCs w:val="20"/>
          <w:color w:val="auto"/>
        </w:rPr>
      </w:pPr>
    </w:p>
    <w:p>
      <w:pPr>
        <w:ind w:left="540" w:hanging="330"/>
        <w:spacing w:after="0"/>
        <w:tabs>
          <w:tab w:leader="none" w:pos="540" w:val="left"/>
        </w:tabs>
        <w:numPr>
          <w:ilvl w:val="0"/>
          <w:numId w:val="48"/>
        </w:numPr>
        <w:rPr>
          <w:rFonts w:ascii="Arial" w:cs="Arial" w:eastAsia="Arial" w:hAnsi="Arial"/>
          <w:sz w:val="16"/>
          <w:szCs w:val="16"/>
          <w:i w:val="1"/>
          <w:iCs w:val="1"/>
          <w:color w:val="auto"/>
        </w:rPr>
      </w:pPr>
      <w:r>
        <w:rPr>
          <w:rFonts w:ascii="Arial" w:cs="Arial" w:eastAsia="Arial" w:hAnsi="Arial"/>
          <w:sz w:val="16"/>
          <w:szCs w:val="16"/>
          <w:i w:val="1"/>
          <w:iCs w:val="1"/>
          <w:color w:val="auto"/>
        </w:rPr>
        <w:t>SSARs granted on February 10, 2017 that are not exercisable until February 10, 2020.</w:t>
      </w:r>
    </w:p>
    <w:p>
      <w:pPr>
        <w:spacing w:after="0" w:line="20" w:lineRule="exact"/>
        <w:rPr>
          <w:rFonts w:ascii="Arial" w:cs="Arial" w:eastAsia="Arial" w:hAnsi="Arial"/>
          <w:sz w:val="16"/>
          <w:szCs w:val="16"/>
          <w:i w:val="1"/>
          <w:iCs w:val="1"/>
          <w:color w:val="auto"/>
        </w:rPr>
      </w:pPr>
    </w:p>
    <w:p>
      <w:pPr>
        <w:ind w:left="540" w:hanging="330"/>
        <w:spacing w:after="0"/>
        <w:tabs>
          <w:tab w:leader="none" w:pos="540" w:val="left"/>
        </w:tabs>
        <w:numPr>
          <w:ilvl w:val="0"/>
          <w:numId w:val="48"/>
        </w:numPr>
        <w:rPr>
          <w:rFonts w:ascii="Arial" w:cs="Arial" w:eastAsia="Arial" w:hAnsi="Arial"/>
          <w:sz w:val="16"/>
          <w:szCs w:val="16"/>
          <w:i w:val="1"/>
          <w:iCs w:val="1"/>
          <w:color w:val="auto"/>
        </w:rPr>
      </w:pPr>
      <w:r>
        <w:rPr>
          <w:rFonts w:ascii="Arial" w:cs="Arial" w:eastAsia="Arial" w:hAnsi="Arial"/>
          <w:sz w:val="16"/>
          <w:szCs w:val="16"/>
          <w:i w:val="1"/>
          <w:iCs w:val="1"/>
          <w:color w:val="auto"/>
        </w:rPr>
        <w:t>SSARs granted on February 11, 2016 that are not exercisable until February 11, 2019.</w:t>
      </w:r>
    </w:p>
    <w:p>
      <w:pPr>
        <w:spacing w:after="0" w:line="4" w:lineRule="exact"/>
        <w:rPr>
          <w:rFonts w:ascii="Arial" w:cs="Arial" w:eastAsia="Arial" w:hAnsi="Arial"/>
          <w:sz w:val="16"/>
          <w:szCs w:val="16"/>
          <w:i w:val="1"/>
          <w:iCs w:val="1"/>
          <w:color w:val="auto"/>
        </w:rPr>
      </w:pPr>
    </w:p>
    <w:p>
      <w:pPr>
        <w:ind w:left="540" w:hanging="330"/>
        <w:spacing w:after="0"/>
        <w:tabs>
          <w:tab w:leader="none" w:pos="540" w:val="left"/>
        </w:tabs>
        <w:numPr>
          <w:ilvl w:val="0"/>
          <w:numId w:val="48"/>
        </w:numPr>
        <w:rPr>
          <w:rFonts w:ascii="Arial" w:cs="Arial" w:eastAsia="Arial" w:hAnsi="Arial"/>
          <w:sz w:val="16"/>
          <w:szCs w:val="16"/>
          <w:i w:val="1"/>
          <w:iCs w:val="1"/>
          <w:color w:val="auto"/>
        </w:rPr>
      </w:pPr>
      <w:r>
        <w:rPr>
          <w:rFonts w:ascii="Arial" w:cs="Arial" w:eastAsia="Arial" w:hAnsi="Arial"/>
          <w:sz w:val="16"/>
          <w:szCs w:val="16"/>
          <w:i w:val="1"/>
          <w:iCs w:val="1"/>
          <w:color w:val="auto"/>
        </w:rPr>
        <w:t>SSARs granted on February 12, 2015 that are not exercisable until February 12, 2018.</w:t>
      </w:r>
    </w:p>
    <w:p>
      <w:pPr>
        <w:spacing w:after="0" w:line="4" w:lineRule="exact"/>
        <w:rPr>
          <w:rFonts w:ascii="Arial" w:cs="Arial" w:eastAsia="Arial" w:hAnsi="Arial"/>
          <w:sz w:val="16"/>
          <w:szCs w:val="16"/>
          <w:i w:val="1"/>
          <w:iCs w:val="1"/>
          <w:color w:val="auto"/>
        </w:rPr>
      </w:pPr>
    </w:p>
    <w:p>
      <w:pPr>
        <w:ind w:left="540" w:hanging="330"/>
        <w:spacing w:after="0"/>
        <w:tabs>
          <w:tab w:leader="none" w:pos="540" w:val="left"/>
        </w:tabs>
        <w:numPr>
          <w:ilvl w:val="0"/>
          <w:numId w:val="48"/>
        </w:numPr>
        <w:rPr>
          <w:rFonts w:ascii="Arial" w:cs="Arial" w:eastAsia="Arial" w:hAnsi="Arial"/>
          <w:sz w:val="16"/>
          <w:szCs w:val="16"/>
          <w:i w:val="1"/>
          <w:iCs w:val="1"/>
          <w:color w:val="auto"/>
        </w:rPr>
      </w:pPr>
      <w:r>
        <w:rPr>
          <w:rFonts w:ascii="Arial" w:cs="Arial" w:eastAsia="Arial" w:hAnsi="Arial"/>
          <w:sz w:val="16"/>
          <w:szCs w:val="16"/>
          <w:i w:val="1"/>
          <w:iCs w:val="1"/>
          <w:color w:val="auto"/>
        </w:rPr>
        <w:t>SSARs granted on March 10, 2014 that are not exercisable until March 10, 2017.</w:t>
      </w:r>
    </w:p>
    <w:p>
      <w:pPr>
        <w:spacing w:after="0" w:line="4" w:lineRule="exact"/>
        <w:rPr>
          <w:rFonts w:ascii="Arial" w:cs="Arial" w:eastAsia="Arial" w:hAnsi="Arial"/>
          <w:sz w:val="16"/>
          <w:szCs w:val="16"/>
          <w:i w:val="1"/>
          <w:iCs w:val="1"/>
          <w:color w:val="auto"/>
        </w:rPr>
      </w:pPr>
    </w:p>
    <w:p>
      <w:pPr>
        <w:ind w:left="540" w:hanging="330"/>
        <w:spacing w:after="0"/>
        <w:tabs>
          <w:tab w:leader="none" w:pos="540" w:val="left"/>
        </w:tabs>
        <w:numPr>
          <w:ilvl w:val="0"/>
          <w:numId w:val="48"/>
        </w:numPr>
        <w:rPr>
          <w:rFonts w:ascii="Arial" w:cs="Arial" w:eastAsia="Arial" w:hAnsi="Arial"/>
          <w:sz w:val="16"/>
          <w:szCs w:val="16"/>
          <w:i w:val="1"/>
          <w:iCs w:val="1"/>
          <w:color w:val="auto"/>
        </w:rPr>
      </w:pPr>
      <w:r>
        <w:rPr>
          <w:rFonts w:ascii="Arial" w:cs="Arial" w:eastAsia="Arial" w:hAnsi="Arial"/>
          <w:sz w:val="16"/>
          <w:szCs w:val="16"/>
          <w:i w:val="1"/>
          <w:iCs w:val="1"/>
          <w:color w:val="auto"/>
        </w:rPr>
        <w:t>SSARs granted on February 14, 2013 that became exercisable on February 14, 2016.</w:t>
      </w:r>
    </w:p>
    <w:p>
      <w:pPr>
        <w:spacing w:after="0" w:line="4" w:lineRule="exact"/>
        <w:rPr>
          <w:rFonts w:ascii="Arial" w:cs="Arial" w:eastAsia="Arial" w:hAnsi="Arial"/>
          <w:sz w:val="16"/>
          <w:szCs w:val="16"/>
          <w:i w:val="1"/>
          <w:iCs w:val="1"/>
          <w:color w:val="auto"/>
        </w:rPr>
      </w:pPr>
    </w:p>
    <w:p>
      <w:pPr>
        <w:ind w:left="540" w:hanging="330"/>
        <w:spacing w:after="0"/>
        <w:tabs>
          <w:tab w:leader="none" w:pos="540" w:val="left"/>
        </w:tabs>
        <w:numPr>
          <w:ilvl w:val="0"/>
          <w:numId w:val="48"/>
        </w:numPr>
        <w:rPr>
          <w:rFonts w:ascii="Arial" w:cs="Arial" w:eastAsia="Arial" w:hAnsi="Arial"/>
          <w:sz w:val="16"/>
          <w:szCs w:val="16"/>
          <w:i w:val="1"/>
          <w:iCs w:val="1"/>
          <w:color w:val="auto"/>
        </w:rPr>
      </w:pPr>
      <w:r>
        <w:rPr>
          <w:rFonts w:ascii="Arial" w:cs="Arial" w:eastAsia="Arial" w:hAnsi="Arial"/>
          <w:sz w:val="16"/>
          <w:szCs w:val="16"/>
          <w:i w:val="1"/>
          <w:iCs w:val="1"/>
          <w:color w:val="auto"/>
        </w:rPr>
        <w:t>SSARs granted on February 9, 2012 that became exercisable on February 9, 2015.</w:t>
      </w:r>
    </w:p>
    <w:p>
      <w:pPr>
        <w:spacing w:after="0" w:line="4" w:lineRule="exact"/>
        <w:rPr>
          <w:rFonts w:ascii="Arial" w:cs="Arial" w:eastAsia="Arial" w:hAnsi="Arial"/>
          <w:sz w:val="16"/>
          <w:szCs w:val="16"/>
          <w:i w:val="1"/>
          <w:iCs w:val="1"/>
          <w:color w:val="auto"/>
        </w:rPr>
      </w:pPr>
    </w:p>
    <w:p>
      <w:pPr>
        <w:ind w:left="540" w:hanging="330"/>
        <w:spacing w:after="0"/>
        <w:tabs>
          <w:tab w:leader="none" w:pos="540" w:val="left"/>
        </w:tabs>
        <w:numPr>
          <w:ilvl w:val="0"/>
          <w:numId w:val="48"/>
        </w:numPr>
        <w:rPr>
          <w:rFonts w:ascii="Arial" w:cs="Arial" w:eastAsia="Arial" w:hAnsi="Arial"/>
          <w:sz w:val="16"/>
          <w:szCs w:val="16"/>
          <w:i w:val="1"/>
          <w:iCs w:val="1"/>
          <w:color w:val="auto"/>
        </w:rPr>
      </w:pPr>
      <w:r>
        <w:rPr>
          <w:rFonts w:ascii="Arial" w:cs="Arial" w:eastAsia="Arial" w:hAnsi="Arial"/>
          <w:sz w:val="16"/>
          <w:szCs w:val="16"/>
          <w:i w:val="1"/>
          <w:iCs w:val="1"/>
          <w:color w:val="auto"/>
        </w:rPr>
        <w:t>SSARs granted on February 10, 2011 that became exercisable on February 10, 2014.</w:t>
      </w:r>
    </w:p>
    <w:p>
      <w:pPr>
        <w:spacing w:after="0" w:line="4" w:lineRule="exact"/>
        <w:rPr>
          <w:rFonts w:ascii="Arial" w:cs="Arial" w:eastAsia="Arial" w:hAnsi="Arial"/>
          <w:sz w:val="16"/>
          <w:szCs w:val="16"/>
          <w:i w:val="1"/>
          <w:iCs w:val="1"/>
          <w:color w:val="auto"/>
        </w:rPr>
      </w:pPr>
    </w:p>
    <w:p>
      <w:pPr>
        <w:ind w:left="540" w:hanging="330"/>
        <w:spacing w:after="0"/>
        <w:tabs>
          <w:tab w:leader="none" w:pos="540" w:val="left"/>
        </w:tabs>
        <w:numPr>
          <w:ilvl w:val="0"/>
          <w:numId w:val="48"/>
        </w:numPr>
        <w:rPr>
          <w:rFonts w:ascii="Arial" w:cs="Arial" w:eastAsia="Arial" w:hAnsi="Arial"/>
          <w:sz w:val="16"/>
          <w:szCs w:val="16"/>
          <w:i w:val="1"/>
          <w:iCs w:val="1"/>
          <w:color w:val="auto"/>
        </w:rPr>
      </w:pPr>
      <w:r>
        <w:rPr>
          <w:rFonts w:ascii="Arial" w:cs="Arial" w:eastAsia="Arial" w:hAnsi="Arial"/>
          <w:sz w:val="16"/>
          <w:szCs w:val="16"/>
          <w:i w:val="1"/>
          <w:iCs w:val="1"/>
          <w:color w:val="auto"/>
        </w:rPr>
        <w:t>SSARs granted on February 11, 2010 that became exercisable on February 11, 2013.</w:t>
      </w:r>
    </w:p>
    <w:p>
      <w:pPr>
        <w:spacing w:after="0" w:line="4" w:lineRule="exact"/>
        <w:rPr>
          <w:rFonts w:ascii="Arial" w:cs="Arial" w:eastAsia="Arial" w:hAnsi="Arial"/>
          <w:sz w:val="16"/>
          <w:szCs w:val="16"/>
          <w:i w:val="1"/>
          <w:iCs w:val="1"/>
          <w:color w:val="auto"/>
        </w:rPr>
      </w:pPr>
    </w:p>
    <w:p>
      <w:pPr>
        <w:ind w:left="540" w:hanging="330"/>
        <w:spacing w:after="0"/>
        <w:tabs>
          <w:tab w:leader="none" w:pos="540" w:val="left"/>
        </w:tabs>
        <w:numPr>
          <w:ilvl w:val="0"/>
          <w:numId w:val="48"/>
        </w:numPr>
        <w:rPr>
          <w:rFonts w:ascii="Arial" w:cs="Arial" w:eastAsia="Arial" w:hAnsi="Arial"/>
          <w:sz w:val="16"/>
          <w:szCs w:val="16"/>
          <w:i w:val="1"/>
          <w:iCs w:val="1"/>
          <w:color w:val="auto"/>
        </w:rPr>
      </w:pPr>
      <w:r>
        <w:rPr>
          <w:rFonts w:ascii="Arial" w:cs="Arial" w:eastAsia="Arial" w:hAnsi="Arial"/>
          <w:sz w:val="16"/>
          <w:szCs w:val="16"/>
          <w:i w:val="1"/>
          <w:iCs w:val="1"/>
          <w:color w:val="auto"/>
        </w:rPr>
        <w:t>SSARs granted on February 12, 2009 that became exercisable on February 12, 2012.</w:t>
      </w:r>
    </w:p>
    <w:p>
      <w:pPr>
        <w:spacing w:after="0" w:line="4" w:lineRule="exact"/>
        <w:rPr>
          <w:rFonts w:ascii="Arial" w:cs="Arial" w:eastAsia="Arial" w:hAnsi="Arial"/>
          <w:sz w:val="16"/>
          <w:szCs w:val="16"/>
          <w:i w:val="1"/>
          <w:iCs w:val="1"/>
          <w:color w:val="auto"/>
        </w:rPr>
      </w:pPr>
    </w:p>
    <w:p>
      <w:pPr>
        <w:ind w:left="540" w:right="280" w:hanging="330"/>
        <w:spacing w:after="0" w:line="246" w:lineRule="auto"/>
        <w:tabs>
          <w:tab w:leader="none" w:pos="540" w:val="left"/>
        </w:tabs>
        <w:numPr>
          <w:ilvl w:val="0"/>
          <w:numId w:val="48"/>
        </w:numPr>
        <w:rPr>
          <w:rFonts w:ascii="Arial" w:cs="Arial" w:eastAsia="Arial" w:hAnsi="Arial"/>
          <w:sz w:val="16"/>
          <w:szCs w:val="16"/>
          <w:i w:val="1"/>
          <w:iCs w:val="1"/>
          <w:color w:val="auto"/>
        </w:rPr>
      </w:pPr>
      <w:r>
        <w:rPr>
          <w:rFonts w:ascii="Arial" w:cs="Arial" w:eastAsia="Arial" w:hAnsi="Arial"/>
          <w:sz w:val="16"/>
          <w:szCs w:val="16"/>
          <w:i w:val="1"/>
          <w:iCs w:val="1"/>
          <w:color w:val="auto"/>
        </w:rPr>
        <w:t>Unvested portion of restricted stock units granted on February 10, 2017. The units vest in three equal annual installments beginning on March 15, 2018.</w:t>
      </w:r>
    </w:p>
    <w:p>
      <w:pPr>
        <w:ind w:left="540" w:right="280" w:hanging="330"/>
        <w:spacing w:after="0" w:line="246" w:lineRule="auto"/>
        <w:tabs>
          <w:tab w:leader="none" w:pos="540" w:val="left"/>
        </w:tabs>
        <w:numPr>
          <w:ilvl w:val="0"/>
          <w:numId w:val="48"/>
        </w:numPr>
        <w:rPr>
          <w:rFonts w:ascii="Arial" w:cs="Arial" w:eastAsia="Arial" w:hAnsi="Arial"/>
          <w:sz w:val="16"/>
          <w:szCs w:val="16"/>
          <w:i w:val="1"/>
          <w:iCs w:val="1"/>
          <w:color w:val="auto"/>
        </w:rPr>
      </w:pPr>
      <w:r>
        <w:rPr>
          <w:rFonts w:ascii="Arial" w:cs="Arial" w:eastAsia="Arial" w:hAnsi="Arial"/>
          <w:sz w:val="16"/>
          <w:szCs w:val="16"/>
          <w:i w:val="1"/>
          <w:iCs w:val="1"/>
          <w:color w:val="auto"/>
        </w:rPr>
        <w:t>Unvested portion of restricted stock units granted on February 11, 2016. The units vest in three equal annual installments beginning on March 15, 2017.</w:t>
      </w:r>
    </w:p>
    <w:p>
      <w:pPr>
        <w:ind w:left="540" w:right="480" w:hanging="330"/>
        <w:spacing w:after="0" w:line="246" w:lineRule="auto"/>
        <w:tabs>
          <w:tab w:leader="none" w:pos="540" w:val="left"/>
        </w:tabs>
        <w:numPr>
          <w:ilvl w:val="0"/>
          <w:numId w:val="48"/>
        </w:numPr>
        <w:rPr>
          <w:rFonts w:ascii="Arial" w:cs="Arial" w:eastAsia="Arial" w:hAnsi="Arial"/>
          <w:sz w:val="16"/>
          <w:szCs w:val="16"/>
          <w:i w:val="1"/>
          <w:iCs w:val="1"/>
          <w:color w:val="auto"/>
        </w:rPr>
      </w:pPr>
      <w:r>
        <w:rPr>
          <w:rFonts w:ascii="Arial" w:cs="Arial" w:eastAsia="Arial" w:hAnsi="Arial"/>
          <w:sz w:val="16"/>
          <w:szCs w:val="16"/>
          <w:i w:val="1"/>
          <w:iCs w:val="1"/>
          <w:color w:val="auto"/>
        </w:rPr>
        <w:t>Unvested portion of restricted stock units granted on February 12, 2015. The units vest in three equal annual installments beginning on the first anniversary of the grant date.</w:t>
      </w:r>
    </w:p>
    <w:p>
      <w:pPr>
        <w:ind w:left="540" w:hanging="330"/>
        <w:spacing w:after="0"/>
        <w:tabs>
          <w:tab w:leader="none" w:pos="540" w:val="left"/>
        </w:tabs>
        <w:numPr>
          <w:ilvl w:val="0"/>
          <w:numId w:val="48"/>
        </w:numPr>
        <w:rPr>
          <w:rFonts w:ascii="Arial" w:cs="Arial" w:eastAsia="Arial" w:hAnsi="Arial"/>
          <w:sz w:val="16"/>
          <w:szCs w:val="16"/>
          <w:i w:val="1"/>
          <w:iCs w:val="1"/>
          <w:color w:val="auto"/>
        </w:rPr>
      </w:pPr>
      <w:r>
        <w:rPr>
          <w:rFonts w:ascii="Arial" w:cs="Arial" w:eastAsia="Arial" w:hAnsi="Arial"/>
          <w:sz w:val="16"/>
          <w:szCs w:val="16"/>
          <w:i w:val="1"/>
          <w:iCs w:val="1"/>
          <w:color w:val="auto"/>
        </w:rPr>
        <w:t>The amount reflects the number of units granted multiplied by $100.99, the closing price of our common stock on December 29, 2017.</w:t>
      </w:r>
    </w:p>
    <w:p>
      <w:pPr>
        <w:spacing w:after="0" w:line="4" w:lineRule="exact"/>
        <w:rPr>
          <w:rFonts w:ascii="Arial" w:cs="Arial" w:eastAsia="Arial" w:hAnsi="Arial"/>
          <w:sz w:val="16"/>
          <w:szCs w:val="16"/>
          <w:i w:val="1"/>
          <w:iCs w:val="1"/>
          <w:color w:val="auto"/>
        </w:rPr>
      </w:pPr>
    </w:p>
    <w:p>
      <w:pPr>
        <w:ind w:left="540" w:right="540" w:hanging="330"/>
        <w:spacing w:after="0" w:line="253" w:lineRule="auto"/>
        <w:tabs>
          <w:tab w:leader="none" w:pos="540" w:val="left"/>
        </w:tabs>
        <w:numPr>
          <w:ilvl w:val="0"/>
          <w:numId w:val="48"/>
        </w:numPr>
        <w:rPr>
          <w:rFonts w:ascii="Arial" w:cs="Arial" w:eastAsia="Arial" w:hAnsi="Arial"/>
          <w:sz w:val="16"/>
          <w:szCs w:val="16"/>
          <w:i w:val="1"/>
          <w:iCs w:val="1"/>
          <w:color w:val="auto"/>
        </w:rPr>
      </w:pPr>
      <w:r>
        <w:rPr>
          <w:rFonts w:ascii="Arial" w:cs="Arial" w:eastAsia="Arial" w:hAnsi="Arial"/>
          <w:sz w:val="16"/>
          <w:szCs w:val="16"/>
          <w:i w:val="1"/>
          <w:iCs w:val="1"/>
          <w:color w:val="auto"/>
        </w:rPr>
        <w:t>Performance shares granted on February 10, 2017 become payable after December 31, 2019 subject to the achievement of the applicable performance goal. The amount reflected in the table represents the number of shares payable based on achievement of the maximum level of performance (400%).</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59</w:t>
      </w:r>
    </w:p>
    <w:p>
      <w:pPr>
        <w:sectPr>
          <w:pgSz w:w="11900" w:h="16838" w:orient="portrait"/>
          <w:cols w:equalWidth="0" w:num="1">
            <w:col w:w="11220"/>
          </w:cols>
          <w:pgMar w:left="240" w:top="459" w:right="4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EXECUTIVE COMPENSATION TABLES</w:t>
      </w:r>
    </w:p>
    <w:p>
      <w:pPr>
        <w:spacing w:after="0" w:line="157" w:lineRule="exact"/>
        <w:rPr>
          <w:sz w:val="20"/>
          <w:szCs w:val="20"/>
          <w:color w:val="auto"/>
        </w:rPr>
      </w:pPr>
    </w:p>
    <w:p>
      <w:pPr>
        <w:ind w:left="540" w:right="540" w:hanging="330"/>
        <w:spacing w:after="0" w:line="253" w:lineRule="auto"/>
        <w:tabs>
          <w:tab w:leader="none" w:pos="540" w:val="left"/>
        </w:tabs>
        <w:numPr>
          <w:ilvl w:val="0"/>
          <w:numId w:val="49"/>
        </w:numPr>
        <w:rPr>
          <w:rFonts w:ascii="Arial" w:cs="Arial" w:eastAsia="Arial" w:hAnsi="Arial"/>
          <w:sz w:val="16"/>
          <w:szCs w:val="16"/>
          <w:i w:val="1"/>
          <w:iCs w:val="1"/>
          <w:color w:val="auto"/>
        </w:rPr>
      </w:pPr>
      <w:r>
        <w:rPr>
          <w:rFonts w:ascii="Arial" w:cs="Arial" w:eastAsia="Arial" w:hAnsi="Arial"/>
          <w:sz w:val="16"/>
          <w:szCs w:val="16"/>
          <w:i w:val="1"/>
          <w:iCs w:val="1"/>
          <w:color w:val="auto"/>
        </w:rPr>
        <w:t>Performance shares granted on February 11, 2016 become payable after December 31, 2018 subject to the achievement of the applicable performance goal. The amount reflected in the table represents the number of shares payable based on achievement of the maximum level of performance (400%).</w:t>
      </w:r>
    </w:p>
    <w:p>
      <w:pPr>
        <w:ind w:left="540" w:right="120" w:hanging="330"/>
        <w:spacing w:after="0" w:line="260" w:lineRule="auto"/>
        <w:tabs>
          <w:tab w:leader="none" w:pos="540" w:val="left"/>
        </w:tabs>
        <w:numPr>
          <w:ilvl w:val="0"/>
          <w:numId w:val="49"/>
        </w:numPr>
        <w:rPr>
          <w:rFonts w:ascii="Arial" w:cs="Arial" w:eastAsia="Arial" w:hAnsi="Arial"/>
          <w:sz w:val="16"/>
          <w:szCs w:val="16"/>
          <w:i w:val="1"/>
          <w:iCs w:val="1"/>
          <w:color w:val="auto"/>
        </w:rPr>
      </w:pPr>
      <w:r>
        <w:rPr>
          <w:rFonts w:ascii="Arial" w:cs="Arial" w:eastAsia="Arial" w:hAnsi="Arial"/>
          <w:sz w:val="16"/>
          <w:szCs w:val="16"/>
          <w:i w:val="1"/>
          <w:iCs w:val="1"/>
          <w:color w:val="auto"/>
        </w:rPr>
        <w:t>The amount reflects the number of performance shares payable based on achievement of the maximum level of performance multiplied by $100.99, the closing price of our common stock on December 29, 2017.</w:t>
      </w:r>
    </w:p>
    <w:p>
      <w:pPr>
        <w:spacing w:after="0" w:line="161"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32406B"/>
        </w:rPr>
        <w:t>Option Exercises and Stock Vested in 2017</w:t>
      </w:r>
    </w:p>
    <w:p>
      <w:pPr>
        <w:spacing w:after="0" w:line="245" w:lineRule="exact"/>
        <w:rPr>
          <w:sz w:val="20"/>
          <w:szCs w:val="20"/>
          <w:color w:val="auto"/>
        </w:rPr>
      </w:pPr>
    </w:p>
    <w:tbl>
      <w:tblPr>
        <w:tblLayout w:type="fixed"/>
        <w:tblInd w:w="220" w:type="dxa"/>
        <w:tblCellMar>
          <w:top w:w="0" w:type="dxa"/>
          <w:left w:w="0" w:type="dxa"/>
          <w:bottom w:w="0" w:type="dxa"/>
          <w:right w:w="0" w:type="dxa"/>
        </w:tblCellMar>
      </w:tblPr>
      <w:tr>
        <w:trPr>
          <w:trHeight w:val="175"/>
        </w:trPr>
        <w:tc>
          <w:tcPr>
            <w:tcW w:w="4300" w:type="dxa"/>
            <w:vAlign w:val="bottom"/>
            <w:tcBorders>
              <w:top w:val="single" w:sz="8" w:color="auto"/>
            </w:tcBorders>
          </w:tcPr>
          <w:p>
            <w:pPr>
              <w:spacing w:after="0"/>
              <w:rPr>
                <w:sz w:val="15"/>
                <w:szCs w:val="15"/>
                <w:color w:val="auto"/>
              </w:rPr>
            </w:pPr>
          </w:p>
        </w:tc>
        <w:tc>
          <w:tcPr>
            <w:tcW w:w="188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4"/>
                <w:szCs w:val="14"/>
                <w:b w:val="1"/>
                <w:bCs w:val="1"/>
                <w:color w:val="auto"/>
              </w:rPr>
              <w:t>Option Awards</w:t>
            </w:r>
          </w:p>
        </w:tc>
        <w:tc>
          <w:tcPr>
            <w:tcW w:w="1300" w:type="dxa"/>
            <w:vAlign w:val="bottom"/>
            <w:tcBorders>
              <w:top w:val="single" w:sz="8" w:color="auto"/>
              <w:bottom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84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4"/>
                <w:szCs w:val="14"/>
                <w:b w:val="1"/>
                <w:bCs w:val="1"/>
                <w:color w:val="auto"/>
              </w:rPr>
              <w:t>Stock Awards</w:t>
            </w:r>
          </w:p>
        </w:tc>
        <w:tc>
          <w:tcPr>
            <w:tcW w:w="1220" w:type="dxa"/>
            <w:vAlign w:val="bottom"/>
            <w:tcBorders>
              <w:top w:val="single" w:sz="8" w:color="auto"/>
              <w:bottom w:val="single" w:sz="8" w:color="auto"/>
            </w:tcBorders>
          </w:tcPr>
          <w:p>
            <w:pPr>
              <w:spacing w:after="0"/>
              <w:rPr>
                <w:sz w:val="15"/>
                <w:szCs w:val="15"/>
                <w:color w:val="auto"/>
              </w:rPr>
            </w:pPr>
          </w:p>
        </w:tc>
      </w:tr>
      <w:tr>
        <w:trPr>
          <w:trHeight w:val="142"/>
        </w:trPr>
        <w:tc>
          <w:tcPr>
            <w:tcW w:w="4300" w:type="dxa"/>
            <w:vAlign w:val="bottom"/>
          </w:tcPr>
          <w:p>
            <w:pPr>
              <w:spacing w:after="0"/>
              <w:rPr>
                <w:sz w:val="12"/>
                <w:szCs w:val="12"/>
                <w:color w:val="auto"/>
              </w:rPr>
            </w:pPr>
          </w:p>
        </w:tc>
        <w:tc>
          <w:tcPr>
            <w:tcW w:w="1880" w:type="dxa"/>
            <w:vAlign w:val="bottom"/>
          </w:tcPr>
          <w:p>
            <w:pPr>
              <w:ind w:left="420"/>
              <w:spacing w:after="0" w:line="142" w:lineRule="exact"/>
              <w:rPr>
                <w:sz w:val="20"/>
                <w:szCs w:val="20"/>
                <w:color w:val="auto"/>
              </w:rPr>
            </w:pPr>
            <w:r>
              <w:rPr>
                <w:rFonts w:ascii="Arial" w:cs="Arial" w:eastAsia="Arial" w:hAnsi="Arial"/>
                <w:sz w:val="14"/>
                <w:szCs w:val="14"/>
                <w:b w:val="1"/>
                <w:bCs w:val="1"/>
                <w:color w:val="auto"/>
              </w:rPr>
              <w:t>Number of Shares</w:t>
            </w:r>
          </w:p>
        </w:tc>
        <w:tc>
          <w:tcPr>
            <w:tcW w:w="1760" w:type="dxa"/>
            <w:vAlign w:val="bottom"/>
            <w:gridSpan w:val="2"/>
          </w:tcPr>
          <w:p>
            <w:pPr>
              <w:ind w:left="240"/>
              <w:spacing w:after="0" w:line="142" w:lineRule="exact"/>
              <w:rPr>
                <w:sz w:val="20"/>
                <w:szCs w:val="20"/>
                <w:color w:val="auto"/>
              </w:rPr>
            </w:pPr>
            <w:r>
              <w:rPr>
                <w:rFonts w:ascii="Arial" w:cs="Arial" w:eastAsia="Arial" w:hAnsi="Arial"/>
                <w:sz w:val="14"/>
                <w:szCs w:val="14"/>
                <w:b w:val="1"/>
                <w:bCs w:val="1"/>
                <w:color w:val="auto"/>
              </w:rPr>
              <w:t>Value Realized</w:t>
            </w:r>
          </w:p>
        </w:tc>
        <w:tc>
          <w:tcPr>
            <w:tcW w:w="1840" w:type="dxa"/>
            <w:vAlign w:val="bottom"/>
          </w:tcPr>
          <w:p>
            <w:pPr>
              <w:ind w:left="400"/>
              <w:spacing w:after="0" w:line="142" w:lineRule="exact"/>
              <w:rPr>
                <w:sz w:val="20"/>
                <w:szCs w:val="20"/>
                <w:color w:val="auto"/>
              </w:rPr>
            </w:pPr>
            <w:r>
              <w:rPr>
                <w:rFonts w:ascii="Arial" w:cs="Arial" w:eastAsia="Arial" w:hAnsi="Arial"/>
                <w:sz w:val="14"/>
                <w:szCs w:val="14"/>
                <w:b w:val="1"/>
                <w:bCs w:val="1"/>
                <w:color w:val="auto"/>
              </w:rPr>
              <w:t>Number of Shares</w:t>
            </w:r>
          </w:p>
        </w:tc>
        <w:tc>
          <w:tcPr>
            <w:tcW w:w="1220" w:type="dxa"/>
            <w:vAlign w:val="bottom"/>
          </w:tcPr>
          <w:p>
            <w:pPr>
              <w:ind w:left="200"/>
              <w:spacing w:after="0" w:line="142" w:lineRule="exact"/>
              <w:rPr>
                <w:sz w:val="20"/>
                <w:szCs w:val="20"/>
                <w:color w:val="auto"/>
              </w:rPr>
            </w:pPr>
            <w:r>
              <w:rPr>
                <w:rFonts w:ascii="Arial" w:cs="Arial" w:eastAsia="Arial" w:hAnsi="Arial"/>
                <w:sz w:val="14"/>
                <w:szCs w:val="14"/>
                <w:b w:val="1"/>
                <w:bCs w:val="1"/>
                <w:color w:val="auto"/>
              </w:rPr>
              <w:t>Value Realized</w:t>
            </w:r>
          </w:p>
        </w:tc>
      </w:tr>
      <w:tr>
        <w:trPr>
          <w:trHeight w:val="162"/>
        </w:trPr>
        <w:tc>
          <w:tcPr>
            <w:tcW w:w="4300" w:type="dxa"/>
            <w:vAlign w:val="bottom"/>
          </w:tcPr>
          <w:p>
            <w:pPr>
              <w:spacing w:after="0"/>
              <w:rPr>
                <w:sz w:val="14"/>
                <w:szCs w:val="14"/>
                <w:color w:val="auto"/>
              </w:rPr>
            </w:pPr>
          </w:p>
        </w:tc>
        <w:tc>
          <w:tcPr>
            <w:tcW w:w="1880" w:type="dxa"/>
            <w:vAlign w:val="bottom"/>
          </w:tcPr>
          <w:p>
            <w:pPr>
              <w:ind w:left="420"/>
              <w:spacing w:after="0"/>
              <w:rPr>
                <w:sz w:val="20"/>
                <w:szCs w:val="20"/>
                <w:color w:val="auto"/>
              </w:rPr>
            </w:pPr>
            <w:r>
              <w:rPr>
                <w:rFonts w:ascii="Arial" w:cs="Arial" w:eastAsia="Arial" w:hAnsi="Arial"/>
                <w:sz w:val="14"/>
                <w:szCs w:val="14"/>
                <w:b w:val="1"/>
                <w:bCs w:val="1"/>
                <w:color w:val="auto"/>
              </w:rPr>
              <w:t>Acquired on</w:t>
            </w:r>
          </w:p>
        </w:tc>
        <w:tc>
          <w:tcPr>
            <w:tcW w:w="1760" w:type="dxa"/>
            <w:vAlign w:val="bottom"/>
            <w:gridSpan w:val="2"/>
          </w:tcPr>
          <w:p>
            <w:pPr>
              <w:ind w:left="240"/>
              <w:spacing w:after="0"/>
              <w:rPr>
                <w:sz w:val="20"/>
                <w:szCs w:val="20"/>
                <w:color w:val="auto"/>
              </w:rPr>
            </w:pPr>
            <w:r>
              <w:rPr>
                <w:rFonts w:ascii="Arial" w:cs="Arial" w:eastAsia="Arial" w:hAnsi="Arial"/>
                <w:sz w:val="14"/>
                <w:szCs w:val="14"/>
                <w:b w:val="1"/>
                <w:bCs w:val="1"/>
                <w:color w:val="auto"/>
              </w:rPr>
              <w:t>on Exercise</w:t>
            </w:r>
          </w:p>
        </w:tc>
        <w:tc>
          <w:tcPr>
            <w:tcW w:w="1840" w:type="dxa"/>
            <w:vAlign w:val="bottom"/>
          </w:tcPr>
          <w:p>
            <w:pPr>
              <w:ind w:left="400"/>
              <w:spacing w:after="0"/>
              <w:rPr>
                <w:sz w:val="20"/>
                <w:szCs w:val="20"/>
                <w:color w:val="auto"/>
              </w:rPr>
            </w:pPr>
            <w:r>
              <w:rPr>
                <w:rFonts w:ascii="Arial" w:cs="Arial" w:eastAsia="Arial" w:hAnsi="Arial"/>
                <w:sz w:val="14"/>
                <w:szCs w:val="14"/>
                <w:b w:val="1"/>
                <w:bCs w:val="1"/>
                <w:color w:val="auto"/>
              </w:rPr>
              <w:t>Acquired on</w:t>
            </w:r>
          </w:p>
        </w:tc>
        <w:tc>
          <w:tcPr>
            <w:tcW w:w="1220" w:type="dxa"/>
            <w:vAlign w:val="bottom"/>
          </w:tcPr>
          <w:p>
            <w:pPr>
              <w:ind w:left="200"/>
              <w:spacing w:after="0"/>
              <w:rPr>
                <w:sz w:val="20"/>
                <w:szCs w:val="20"/>
                <w:color w:val="auto"/>
              </w:rPr>
            </w:pPr>
            <w:r>
              <w:rPr>
                <w:rFonts w:ascii="Arial" w:cs="Arial" w:eastAsia="Arial" w:hAnsi="Arial"/>
                <w:sz w:val="14"/>
                <w:szCs w:val="14"/>
                <w:b w:val="1"/>
                <w:bCs w:val="1"/>
                <w:color w:val="auto"/>
              </w:rPr>
              <w:t>on Vesting</w:t>
            </w:r>
          </w:p>
        </w:tc>
      </w:tr>
      <w:tr>
        <w:trPr>
          <w:trHeight w:val="189"/>
        </w:trPr>
        <w:tc>
          <w:tcPr>
            <w:tcW w:w="4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88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Exercise (#)(1)</w:t>
            </w:r>
          </w:p>
        </w:tc>
        <w:tc>
          <w:tcPr>
            <w:tcW w:w="130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($)(2)</w:t>
            </w:r>
          </w:p>
        </w:tc>
        <w:tc>
          <w:tcPr>
            <w:tcW w:w="4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Vesting (#)(3)</w:t>
            </w:r>
          </w:p>
        </w:tc>
        <w:tc>
          <w:tcPr>
            <w:tcW w:w="12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($)(4)</w:t>
            </w:r>
          </w:p>
        </w:tc>
      </w:tr>
      <w:tr>
        <w:trPr>
          <w:trHeight w:val="257"/>
        </w:trPr>
        <w:tc>
          <w:tcPr>
            <w:tcW w:w="4300" w:type="dxa"/>
            <w:vAlign w:val="bottom"/>
            <w:tcBorders>
              <w:bottom w:val="single" w:sz="8" w:color="D8D8D8"/>
            </w:tcBorders>
            <w:shd w:val="clear" w:color="auto" w:fill="D8D8D8"/>
          </w:tcPr>
          <w:p>
            <w:pPr>
              <w:spacing w:after="0"/>
              <w:rPr>
                <w:sz w:val="20"/>
                <w:szCs w:val="20"/>
                <w:color w:val="auto"/>
              </w:rPr>
            </w:pPr>
            <w:r>
              <w:rPr>
                <w:rFonts w:ascii="Arial" w:cs="Arial" w:eastAsia="Arial" w:hAnsi="Arial"/>
                <w:sz w:val="16"/>
                <w:szCs w:val="16"/>
                <w:color w:val="auto"/>
              </w:rPr>
              <w:t>Robert A. Livingston</w:t>
            </w:r>
          </w:p>
        </w:tc>
        <w:tc>
          <w:tcPr>
            <w:tcW w:w="1880" w:type="dxa"/>
            <w:vAlign w:val="bottom"/>
            <w:tcBorders>
              <w:bottom w:val="single" w:sz="8" w:color="D8D8D8"/>
            </w:tcBorders>
            <w:shd w:val="clear" w:color="auto" w:fill="D8D8D8"/>
          </w:tcPr>
          <w:p>
            <w:pPr>
              <w:spacing w:after="0"/>
              <w:rPr>
                <w:sz w:val="22"/>
                <w:szCs w:val="22"/>
                <w:color w:val="auto"/>
              </w:rPr>
            </w:pPr>
          </w:p>
        </w:tc>
        <w:tc>
          <w:tcPr>
            <w:tcW w:w="1300" w:type="dxa"/>
            <w:vAlign w:val="bottom"/>
            <w:tcBorders>
              <w:bottom w:val="single" w:sz="8" w:color="D8D8D8"/>
            </w:tcBorders>
            <w:shd w:val="clear" w:color="auto" w:fill="D8D8D8"/>
          </w:tcPr>
          <w:p>
            <w:pPr>
              <w:spacing w:after="0"/>
              <w:rPr>
                <w:sz w:val="22"/>
                <w:szCs w:val="22"/>
                <w:color w:val="auto"/>
              </w:rPr>
            </w:pPr>
          </w:p>
        </w:tc>
        <w:tc>
          <w:tcPr>
            <w:tcW w:w="460" w:type="dxa"/>
            <w:vAlign w:val="bottom"/>
            <w:tcBorders>
              <w:bottom w:val="single" w:sz="8" w:color="D8D8D8"/>
            </w:tcBorders>
            <w:shd w:val="clear" w:color="auto" w:fill="D8D8D8"/>
          </w:tcPr>
          <w:p>
            <w:pPr>
              <w:spacing w:after="0"/>
              <w:rPr>
                <w:sz w:val="22"/>
                <w:szCs w:val="22"/>
                <w:color w:val="auto"/>
              </w:rPr>
            </w:pPr>
          </w:p>
        </w:tc>
        <w:tc>
          <w:tcPr>
            <w:tcW w:w="1840" w:type="dxa"/>
            <w:vAlign w:val="bottom"/>
            <w:tcBorders>
              <w:bottom w:val="single" w:sz="8" w:color="D8D8D8"/>
            </w:tcBorders>
            <w:shd w:val="clear" w:color="auto" w:fill="D8D8D8"/>
          </w:tcPr>
          <w:p>
            <w:pPr>
              <w:jc w:val="right"/>
              <w:ind w:right="863"/>
              <w:spacing w:after="0"/>
              <w:rPr>
                <w:sz w:val="20"/>
                <w:szCs w:val="20"/>
                <w:color w:val="auto"/>
              </w:rPr>
            </w:pPr>
            <w:r>
              <w:rPr>
                <w:rFonts w:ascii="Arial" w:cs="Arial" w:eastAsia="Arial" w:hAnsi="Arial"/>
                <w:sz w:val="16"/>
                <w:szCs w:val="16"/>
                <w:color w:val="auto"/>
              </w:rPr>
              <w:t>18,734</w:t>
            </w:r>
          </w:p>
        </w:tc>
        <w:tc>
          <w:tcPr>
            <w:tcW w:w="1220" w:type="dxa"/>
            <w:vAlign w:val="bottom"/>
            <w:tcBorders>
              <w:bottom w:val="single" w:sz="8" w:color="D8D8D8"/>
            </w:tcBorders>
            <w:shd w:val="clear" w:color="auto" w:fill="D8D8D8"/>
          </w:tcPr>
          <w:p>
            <w:pPr>
              <w:jc w:val="right"/>
              <w:ind w:right="222"/>
              <w:spacing w:after="0"/>
              <w:rPr>
                <w:sz w:val="20"/>
                <w:szCs w:val="20"/>
                <w:color w:val="auto"/>
              </w:rPr>
            </w:pPr>
            <w:r>
              <w:rPr>
                <w:rFonts w:ascii="Arial" w:cs="Arial" w:eastAsia="Arial" w:hAnsi="Arial"/>
                <w:sz w:val="16"/>
                <w:szCs w:val="16"/>
                <w:color w:val="auto"/>
              </w:rPr>
              <w:t>1,465,053</w:t>
            </w:r>
          </w:p>
        </w:tc>
      </w:tr>
      <w:tr>
        <w:trPr>
          <w:trHeight w:val="237"/>
        </w:trPr>
        <w:tc>
          <w:tcPr>
            <w:tcW w:w="4300" w:type="dxa"/>
            <w:vAlign w:val="bottom"/>
          </w:tcPr>
          <w:p>
            <w:pPr>
              <w:spacing w:after="0"/>
              <w:rPr>
                <w:sz w:val="20"/>
                <w:szCs w:val="20"/>
                <w:color w:val="auto"/>
              </w:rPr>
            </w:pPr>
            <w:r>
              <w:rPr>
                <w:rFonts w:ascii="Arial" w:cs="Arial" w:eastAsia="Arial" w:hAnsi="Arial"/>
                <w:sz w:val="16"/>
                <w:szCs w:val="16"/>
                <w:color w:val="auto"/>
              </w:rPr>
              <w:t>Brad M. Cerepak</w:t>
            </w:r>
          </w:p>
        </w:tc>
        <w:tc>
          <w:tcPr>
            <w:tcW w:w="18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40" w:type="dxa"/>
            <w:vAlign w:val="bottom"/>
          </w:tcPr>
          <w:p>
            <w:pPr>
              <w:jc w:val="right"/>
              <w:ind w:right="863"/>
              <w:spacing w:after="0"/>
              <w:rPr>
                <w:sz w:val="20"/>
                <w:szCs w:val="20"/>
                <w:color w:val="auto"/>
              </w:rPr>
            </w:pPr>
            <w:r>
              <w:rPr>
                <w:rFonts w:ascii="Arial" w:cs="Arial" w:eastAsia="Arial" w:hAnsi="Arial"/>
                <w:sz w:val="16"/>
                <w:szCs w:val="16"/>
                <w:color w:val="auto"/>
              </w:rPr>
              <w:t>5,251</w:t>
            </w:r>
          </w:p>
        </w:tc>
        <w:tc>
          <w:tcPr>
            <w:tcW w:w="1220" w:type="dxa"/>
            <w:vAlign w:val="bottom"/>
          </w:tcPr>
          <w:p>
            <w:pPr>
              <w:jc w:val="right"/>
              <w:ind w:right="222"/>
              <w:spacing w:after="0"/>
              <w:rPr>
                <w:sz w:val="20"/>
                <w:szCs w:val="20"/>
                <w:color w:val="auto"/>
              </w:rPr>
            </w:pPr>
            <w:r>
              <w:rPr>
                <w:rFonts w:ascii="Arial" w:cs="Arial" w:eastAsia="Arial" w:hAnsi="Arial"/>
                <w:sz w:val="16"/>
                <w:szCs w:val="16"/>
                <w:color w:val="auto"/>
              </w:rPr>
              <w:t>410,768</w:t>
            </w:r>
          </w:p>
        </w:tc>
      </w:tr>
      <w:tr>
        <w:trPr>
          <w:trHeight w:val="46"/>
        </w:trPr>
        <w:tc>
          <w:tcPr>
            <w:tcW w:w="4300" w:type="dxa"/>
            <w:vAlign w:val="bottom"/>
          </w:tcPr>
          <w:p>
            <w:pPr>
              <w:spacing w:after="0"/>
              <w:rPr>
                <w:sz w:val="4"/>
                <w:szCs w:val="4"/>
                <w:color w:val="auto"/>
              </w:rPr>
            </w:pPr>
          </w:p>
        </w:tc>
        <w:tc>
          <w:tcPr>
            <w:tcW w:w="18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220" w:type="dxa"/>
            <w:vAlign w:val="bottom"/>
          </w:tcPr>
          <w:p>
            <w:pPr>
              <w:spacing w:after="0"/>
              <w:rPr>
                <w:sz w:val="4"/>
                <w:szCs w:val="4"/>
                <w:color w:val="auto"/>
              </w:rPr>
            </w:pPr>
          </w:p>
        </w:tc>
      </w:tr>
      <w:tr>
        <w:trPr>
          <w:trHeight w:val="263"/>
        </w:trPr>
        <w:tc>
          <w:tcPr>
            <w:tcW w:w="4300" w:type="dxa"/>
            <w:vAlign w:val="bottom"/>
            <w:tcBorders>
              <w:bottom w:val="single" w:sz="8" w:color="D8D8D8"/>
            </w:tcBorders>
            <w:shd w:val="clear" w:color="auto" w:fill="D8D8D8"/>
          </w:tcPr>
          <w:p>
            <w:pPr>
              <w:spacing w:after="0"/>
              <w:rPr>
                <w:sz w:val="20"/>
                <w:szCs w:val="20"/>
                <w:color w:val="auto"/>
              </w:rPr>
            </w:pPr>
            <w:r>
              <w:rPr>
                <w:rFonts w:ascii="Arial" w:cs="Arial" w:eastAsia="Arial" w:hAnsi="Arial"/>
                <w:sz w:val="16"/>
                <w:szCs w:val="16"/>
                <w:color w:val="auto"/>
              </w:rPr>
              <w:t>C. Anderson Fincher</w:t>
            </w:r>
          </w:p>
        </w:tc>
        <w:tc>
          <w:tcPr>
            <w:tcW w:w="1880" w:type="dxa"/>
            <w:vAlign w:val="bottom"/>
            <w:tcBorders>
              <w:bottom w:val="single" w:sz="8" w:color="D8D8D8"/>
            </w:tcBorders>
            <w:shd w:val="clear" w:color="auto" w:fill="D8D8D8"/>
          </w:tcPr>
          <w:p>
            <w:pPr>
              <w:ind w:left="520"/>
              <w:spacing w:after="0"/>
              <w:rPr>
                <w:sz w:val="20"/>
                <w:szCs w:val="20"/>
                <w:color w:val="auto"/>
              </w:rPr>
            </w:pPr>
            <w:r>
              <w:rPr>
                <w:rFonts w:ascii="Arial" w:cs="Arial" w:eastAsia="Arial" w:hAnsi="Arial"/>
                <w:sz w:val="16"/>
                <w:szCs w:val="16"/>
                <w:color w:val="auto"/>
              </w:rPr>
              <w:t>44,727</w:t>
            </w:r>
          </w:p>
        </w:tc>
        <w:tc>
          <w:tcPr>
            <w:tcW w:w="1300" w:type="dxa"/>
            <w:vAlign w:val="bottom"/>
            <w:tcBorders>
              <w:bottom w:val="single" w:sz="8" w:color="D8D8D8"/>
            </w:tcBorders>
            <w:shd w:val="clear" w:color="auto" w:fill="D8D8D8"/>
          </w:tcPr>
          <w:p>
            <w:pPr>
              <w:jc w:val="right"/>
              <w:ind w:right="204"/>
              <w:spacing w:after="0"/>
              <w:rPr>
                <w:sz w:val="20"/>
                <w:szCs w:val="20"/>
                <w:color w:val="auto"/>
              </w:rPr>
            </w:pPr>
            <w:r>
              <w:rPr>
                <w:rFonts w:ascii="Arial" w:cs="Arial" w:eastAsia="Arial" w:hAnsi="Arial"/>
                <w:sz w:val="16"/>
                <w:szCs w:val="16"/>
                <w:color w:val="auto"/>
              </w:rPr>
              <w:t>2,166,297</w:t>
            </w:r>
          </w:p>
        </w:tc>
        <w:tc>
          <w:tcPr>
            <w:tcW w:w="460" w:type="dxa"/>
            <w:vAlign w:val="bottom"/>
            <w:tcBorders>
              <w:bottom w:val="single" w:sz="8" w:color="D8D8D8"/>
            </w:tcBorders>
            <w:shd w:val="clear" w:color="auto" w:fill="D8D8D8"/>
          </w:tcPr>
          <w:p>
            <w:pPr>
              <w:spacing w:after="0"/>
              <w:rPr>
                <w:sz w:val="22"/>
                <w:szCs w:val="22"/>
                <w:color w:val="auto"/>
              </w:rPr>
            </w:pPr>
          </w:p>
        </w:tc>
        <w:tc>
          <w:tcPr>
            <w:tcW w:w="1840" w:type="dxa"/>
            <w:vAlign w:val="bottom"/>
            <w:tcBorders>
              <w:bottom w:val="single" w:sz="8" w:color="D8D8D8"/>
            </w:tcBorders>
            <w:shd w:val="clear" w:color="auto" w:fill="D8D8D8"/>
          </w:tcPr>
          <w:p>
            <w:pPr>
              <w:jc w:val="right"/>
              <w:ind w:right="863"/>
              <w:spacing w:after="0"/>
              <w:rPr>
                <w:sz w:val="20"/>
                <w:szCs w:val="20"/>
                <w:color w:val="auto"/>
              </w:rPr>
            </w:pPr>
            <w:r>
              <w:rPr>
                <w:rFonts w:ascii="Arial" w:cs="Arial" w:eastAsia="Arial" w:hAnsi="Arial"/>
                <w:sz w:val="16"/>
                <w:szCs w:val="16"/>
                <w:color w:val="auto"/>
              </w:rPr>
              <w:t>5,190</w:t>
            </w:r>
          </w:p>
        </w:tc>
        <w:tc>
          <w:tcPr>
            <w:tcW w:w="1220" w:type="dxa"/>
            <w:vAlign w:val="bottom"/>
            <w:tcBorders>
              <w:bottom w:val="single" w:sz="8" w:color="D8D8D8"/>
            </w:tcBorders>
            <w:shd w:val="clear" w:color="auto" w:fill="D8D8D8"/>
          </w:tcPr>
          <w:p>
            <w:pPr>
              <w:jc w:val="right"/>
              <w:ind w:right="222"/>
              <w:spacing w:after="0"/>
              <w:rPr>
                <w:sz w:val="20"/>
                <w:szCs w:val="20"/>
                <w:color w:val="auto"/>
              </w:rPr>
            </w:pPr>
            <w:r>
              <w:rPr>
                <w:rFonts w:ascii="Arial" w:cs="Arial" w:eastAsia="Arial" w:hAnsi="Arial"/>
                <w:sz w:val="16"/>
                <w:szCs w:val="16"/>
                <w:color w:val="auto"/>
              </w:rPr>
              <w:t>453,851</w:t>
            </w:r>
          </w:p>
        </w:tc>
      </w:tr>
      <w:tr>
        <w:trPr>
          <w:trHeight w:val="237"/>
        </w:trPr>
        <w:tc>
          <w:tcPr>
            <w:tcW w:w="4300" w:type="dxa"/>
            <w:vAlign w:val="bottom"/>
          </w:tcPr>
          <w:p>
            <w:pPr>
              <w:spacing w:after="0"/>
              <w:rPr>
                <w:sz w:val="20"/>
                <w:szCs w:val="20"/>
                <w:color w:val="auto"/>
              </w:rPr>
            </w:pPr>
            <w:r>
              <w:rPr>
                <w:rFonts w:ascii="Arial" w:cs="Arial" w:eastAsia="Arial" w:hAnsi="Arial"/>
                <w:sz w:val="16"/>
                <w:szCs w:val="16"/>
                <w:color w:val="auto"/>
              </w:rPr>
              <w:t>Sivasankaran Somasundaram</w:t>
            </w:r>
          </w:p>
        </w:tc>
        <w:tc>
          <w:tcPr>
            <w:tcW w:w="18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40" w:type="dxa"/>
            <w:vAlign w:val="bottom"/>
          </w:tcPr>
          <w:p>
            <w:pPr>
              <w:jc w:val="right"/>
              <w:ind w:right="863"/>
              <w:spacing w:after="0"/>
              <w:rPr>
                <w:sz w:val="20"/>
                <w:szCs w:val="20"/>
                <w:color w:val="auto"/>
              </w:rPr>
            </w:pPr>
            <w:r>
              <w:rPr>
                <w:rFonts w:ascii="Arial" w:cs="Arial" w:eastAsia="Arial" w:hAnsi="Arial"/>
                <w:sz w:val="16"/>
                <w:szCs w:val="16"/>
                <w:color w:val="auto"/>
              </w:rPr>
              <w:t>3,090</w:t>
            </w:r>
          </w:p>
        </w:tc>
        <w:tc>
          <w:tcPr>
            <w:tcW w:w="1220" w:type="dxa"/>
            <w:vAlign w:val="bottom"/>
          </w:tcPr>
          <w:p>
            <w:pPr>
              <w:jc w:val="right"/>
              <w:ind w:right="222"/>
              <w:spacing w:after="0"/>
              <w:rPr>
                <w:sz w:val="20"/>
                <w:szCs w:val="20"/>
                <w:color w:val="auto"/>
              </w:rPr>
            </w:pPr>
            <w:r>
              <w:rPr>
                <w:rFonts w:ascii="Arial" w:cs="Arial" w:eastAsia="Arial" w:hAnsi="Arial"/>
                <w:sz w:val="16"/>
                <w:szCs w:val="16"/>
                <w:color w:val="auto"/>
              </w:rPr>
              <w:t>241,772</w:t>
            </w:r>
          </w:p>
        </w:tc>
      </w:tr>
      <w:tr>
        <w:trPr>
          <w:trHeight w:val="46"/>
        </w:trPr>
        <w:tc>
          <w:tcPr>
            <w:tcW w:w="4300" w:type="dxa"/>
            <w:vAlign w:val="bottom"/>
          </w:tcPr>
          <w:p>
            <w:pPr>
              <w:spacing w:after="0"/>
              <w:rPr>
                <w:sz w:val="4"/>
                <w:szCs w:val="4"/>
                <w:color w:val="auto"/>
              </w:rPr>
            </w:pPr>
          </w:p>
        </w:tc>
        <w:tc>
          <w:tcPr>
            <w:tcW w:w="18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220" w:type="dxa"/>
            <w:vAlign w:val="bottom"/>
          </w:tcPr>
          <w:p>
            <w:pPr>
              <w:spacing w:after="0"/>
              <w:rPr>
                <w:sz w:val="4"/>
                <w:szCs w:val="4"/>
                <w:color w:val="auto"/>
              </w:rPr>
            </w:pPr>
          </w:p>
        </w:tc>
      </w:tr>
      <w:tr>
        <w:trPr>
          <w:trHeight w:val="263"/>
        </w:trPr>
        <w:tc>
          <w:tcPr>
            <w:tcW w:w="4300" w:type="dxa"/>
            <w:vAlign w:val="bottom"/>
            <w:tcBorders>
              <w:bottom w:val="single" w:sz="8" w:color="D8D8D8"/>
            </w:tcBorders>
            <w:shd w:val="clear" w:color="auto" w:fill="D8D8D8"/>
          </w:tcPr>
          <w:p>
            <w:pPr>
              <w:spacing w:after="0"/>
              <w:rPr>
                <w:sz w:val="20"/>
                <w:szCs w:val="20"/>
                <w:color w:val="auto"/>
              </w:rPr>
            </w:pPr>
            <w:r>
              <w:rPr>
                <w:rFonts w:ascii="Arial" w:cs="Arial" w:eastAsia="Arial" w:hAnsi="Arial"/>
                <w:sz w:val="16"/>
                <w:szCs w:val="16"/>
                <w:color w:val="auto"/>
              </w:rPr>
              <w:t>William W. Spurgeon, Jr.</w:t>
            </w:r>
          </w:p>
        </w:tc>
        <w:tc>
          <w:tcPr>
            <w:tcW w:w="1880" w:type="dxa"/>
            <w:vAlign w:val="bottom"/>
            <w:tcBorders>
              <w:bottom w:val="single" w:sz="8" w:color="D8D8D8"/>
            </w:tcBorders>
            <w:shd w:val="clear" w:color="auto" w:fill="D8D8D8"/>
          </w:tcPr>
          <w:p>
            <w:pPr>
              <w:ind w:left="520"/>
              <w:spacing w:after="0"/>
              <w:rPr>
                <w:sz w:val="20"/>
                <w:szCs w:val="20"/>
                <w:color w:val="auto"/>
              </w:rPr>
            </w:pPr>
            <w:r>
              <w:rPr>
                <w:rFonts w:ascii="Arial" w:cs="Arial" w:eastAsia="Arial" w:hAnsi="Arial"/>
                <w:sz w:val="16"/>
                <w:szCs w:val="16"/>
                <w:color w:val="auto"/>
              </w:rPr>
              <w:t>61,912</w:t>
            </w:r>
          </w:p>
        </w:tc>
        <w:tc>
          <w:tcPr>
            <w:tcW w:w="1300" w:type="dxa"/>
            <w:vAlign w:val="bottom"/>
            <w:tcBorders>
              <w:bottom w:val="single" w:sz="8" w:color="D8D8D8"/>
            </w:tcBorders>
            <w:shd w:val="clear" w:color="auto" w:fill="D8D8D8"/>
          </w:tcPr>
          <w:p>
            <w:pPr>
              <w:jc w:val="right"/>
              <w:ind w:right="204"/>
              <w:spacing w:after="0"/>
              <w:rPr>
                <w:sz w:val="20"/>
                <w:szCs w:val="20"/>
                <w:color w:val="auto"/>
              </w:rPr>
            </w:pPr>
            <w:r>
              <w:rPr>
                <w:rFonts w:ascii="Arial" w:cs="Arial" w:eastAsia="Arial" w:hAnsi="Arial"/>
                <w:sz w:val="16"/>
                <w:szCs w:val="16"/>
                <w:color w:val="auto"/>
              </w:rPr>
              <w:t>1,846,829</w:t>
            </w:r>
          </w:p>
        </w:tc>
        <w:tc>
          <w:tcPr>
            <w:tcW w:w="460" w:type="dxa"/>
            <w:vAlign w:val="bottom"/>
            <w:tcBorders>
              <w:bottom w:val="single" w:sz="8" w:color="D8D8D8"/>
            </w:tcBorders>
            <w:shd w:val="clear" w:color="auto" w:fill="D8D8D8"/>
          </w:tcPr>
          <w:p>
            <w:pPr>
              <w:spacing w:after="0"/>
              <w:rPr>
                <w:sz w:val="22"/>
                <w:szCs w:val="22"/>
                <w:color w:val="auto"/>
              </w:rPr>
            </w:pPr>
          </w:p>
        </w:tc>
        <w:tc>
          <w:tcPr>
            <w:tcW w:w="1840" w:type="dxa"/>
            <w:vAlign w:val="bottom"/>
            <w:tcBorders>
              <w:bottom w:val="single" w:sz="8" w:color="D8D8D8"/>
            </w:tcBorders>
            <w:shd w:val="clear" w:color="auto" w:fill="D8D8D8"/>
          </w:tcPr>
          <w:p>
            <w:pPr>
              <w:jc w:val="right"/>
              <w:ind w:right="863"/>
              <w:spacing w:after="0"/>
              <w:rPr>
                <w:sz w:val="20"/>
                <w:szCs w:val="20"/>
                <w:color w:val="auto"/>
              </w:rPr>
            </w:pPr>
            <w:r>
              <w:rPr>
                <w:rFonts w:ascii="Arial" w:cs="Arial" w:eastAsia="Arial" w:hAnsi="Arial"/>
                <w:sz w:val="16"/>
                <w:szCs w:val="16"/>
                <w:color w:val="auto"/>
              </w:rPr>
              <w:t>3,090</w:t>
            </w:r>
          </w:p>
        </w:tc>
        <w:tc>
          <w:tcPr>
            <w:tcW w:w="1220" w:type="dxa"/>
            <w:vAlign w:val="bottom"/>
            <w:tcBorders>
              <w:bottom w:val="single" w:sz="8" w:color="D8D8D8"/>
            </w:tcBorders>
            <w:shd w:val="clear" w:color="auto" w:fill="D8D8D8"/>
          </w:tcPr>
          <w:p>
            <w:pPr>
              <w:jc w:val="right"/>
              <w:ind w:right="222"/>
              <w:spacing w:after="0"/>
              <w:rPr>
                <w:sz w:val="20"/>
                <w:szCs w:val="20"/>
                <w:color w:val="auto"/>
              </w:rPr>
            </w:pPr>
            <w:r>
              <w:rPr>
                <w:rFonts w:ascii="Arial" w:cs="Arial" w:eastAsia="Arial" w:hAnsi="Arial"/>
                <w:sz w:val="16"/>
                <w:szCs w:val="16"/>
                <w:color w:val="auto"/>
              </w:rPr>
              <w:t>241,772</w:t>
            </w:r>
          </w:p>
        </w:tc>
      </w:tr>
      <w:tr>
        <w:trPr>
          <w:trHeight w:val="20"/>
        </w:trPr>
        <w:tc>
          <w:tcPr>
            <w:tcW w:w="4300" w:type="dxa"/>
            <w:vAlign w:val="bottom"/>
            <w:shd w:val="clear" w:color="auto" w:fill="000000"/>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r>
    </w:tbl>
    <w:p>
      <w:pPr>
        <w:spacing w:after="0" w:line="53" w:lineRule="exact"/>
        <w:rPr>
          <w:sz w:val="20"/>
          <w:szCs w:val="20"/>
          <w:color w:val="auto"/>
        </w:rPr>
      </w:pPr>
    </w:p>
    <w:p>
      <w:pPr>
        <w:ind w:left="540" w:right="60" w:hanging="330"/>
        <w:spacing w:after="0" w:line="256" w:lineRule="auto"/>
        <w:tabs>
          <w:tab w:leader="none" w:pos="540" w:val="left"/>
        </w:tabs>
        <w:numPr>
          <w:ilvl w:val="0"/>
          <w:numId w:val="50"/>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exercise of SSARs; number of shares reported as acquired is the total number of shares underlying the SAR, rather than the net number of shares received by the NEO.</w:t>
      </w:r>
    </w:p>
    <w:p>
      <w:pPr>
        <w:spacing w:after="0" w:line="1" w:lineRule="exact"/>
        <w:rPr>
          <w:rFonts w:ascii="Arial" w:cs="Arial" w:eastAsia="Arial" w:hAnsi="Arial"/>
          <w:sz w:val="16"/>
          <w:szCs w:val="16"/>
          <w:i w:val="1"/>
          <w:iCs w:val="1"/>
          <w:color w:val="auto"/>
        </w:rPr>
      </w:pPr>
    </w:p>
    <w:p>
      <w:pPr>
        <w:ind w:left="540" w:hanging="330"/>
        <w:spacing w:after="0" w:line="246" w:lineRule="auto"/>
        <w:tabs>
          <w:tab w:leader="none" w:pos="540" w:val="left"/>
        </w:tabs>
        <w:numPr>
          <w:ilvl w:val="0"/>
          <w:numId w:val="50"/>
        </w:numPr>
        <w:rPr>
          <w:rFonts w:ascii="Arial" w:cs="Arial" w:eastAsia="Arial" w:hAnsi="Arial"/>
          <w:sz w:val="16"/>
          <w:szCs w:val="16"/>
          <w:i w:val="1"/>
          <w:iCs w:val="1"/>
          <w:color w:val="auto"/>
        </w:rPr>
      </w:pPr>
      <w:r>
        <w:rPr>
          <w:rFonts w:ascii="Arial" w:cs="Arial" w:eastAsia="Arial" w:hAnsi="Arial"/>
          <w:sz w:val="16"/>
          <w:szCs w:val="16"/>
          <w:i w:val="1"/>
          <w:iCs w:val="1"/>
          <w:color w:val="auto"/>
        </w:rPr>
        <w:t>The “value realized on exercise” provided in the table represents the difference between the average of the high and low trading price on the exercise date and the exercise or base price, multiplied by the number of shares acquired upon exercise of the award.</w:t>
      </w:r>
    </w:p>
    <w:p>
      <w:pPr>
        <w:ind w:left="540" w:right="160" w:hanging="330"/>
        <w:spacing w:after="0" w:line="246" w:lineRule="auto"/>
        <w:tabs>
          <w:tab w:leader="none" w:pos="540" w:val="left"/>
        </w:tabs>
        <w:numPr>
          <w:ilvl w:val="0"/>
          <w:numId w:val="50"/>
        </w:numPr>
        <w:rPr>
          <w:rFonts w:ascii="Arial" w:cs="Arial" w:eastAsia="Arial" w:hAnsi="Arial"/>
          <w:sz w:val="16"/>
          <w:szCs w:val="16"/>
          <w:i w:val="1"/>
          <w:iCs w:val="1"/>
          <w:color w:val="auto"/>
        </w:rPr>
      </w:pPr>
      <w:r>
        <w:rPr>
          <w:rFonts w:ascii="Arial" w:cs="Arial" w:eastAsia="Arial" w:hAnsi="Arial"/>
          <w:sz w:val="16"/>
          <w:szCs w:val="16"/>
          <w:i w:val="1"/>
          <w:iCs w:val="1"/>
          <w:color w:val="auto"/>
        </w:rPr>
        <w:t>This column represents the vesting of a portion of the 2014, 2015, and 2016 grants of restricted stock units, and for Mr. Fincher, a Performance Share payout for the performance period ended 12/31/2017 multiplied by $100.99, the closing price of our common stock on December 29, 2017. The number of shares reported as acquired is the full number of restricted stock units, shares of restricted stock vested or performance shares paid out, not the net number of shares received by the NEO after withholding shares for satisfaction of taxes.</w:t>
      </w:r>
    </w:p>
    <w:p>
      <w:pPr>
        <w:spacing w:after="0" w:line="1" w:lineRule="exact"/>
        <w:rPr>
          <w:rFonts w:ascii="Arial" w:cs="Arial" w:eastAsia="Arial" w:hAnsi="Arial"/>
          <w:sz w:val="16"/>
          <w:szCs w:val="16"/>
          <w:i w:val="1"/>
          <w:iCs w:val="1"/>
          <w:color w:val="auto"/>
        </w:rPr>
      </w:pPr>
    </w:p>
    <w:p>
      <w:pPr>
        <w:ind w:left="540" w:right="640" w:hanging="330"/>
        <w:spacing w:after="0" w:line="260" w:lineRule="auto"/>
        <w:tabs>
          <w:tab w:leader="none" w:pos="540" w:val="left"/>
        </w:tabs>
        <w:numPr>
          <w:ilvl w:val="0"/>
          <w:numId w:val="50"/>
        </w:numPr>
        <w:rPr>
          <w:rFonts w:ascii="Arial" w:cs="Arial" w:eastAsia="Arial" w:hAnsi="Arial"/>
          <w:sz w:val="16"/>
          <w:szCs w:val="16"/>
          <w:i w:val="1"/>
          <w:iCs w:val="1"/>
          <w:color w:val="auto"/>
        </w:rPr>
      </w:pPr>
      <w:r>
        <w:rPr>
          <w:rFonts w:ascii="Arial" w:cs="Arial" w:eastAsia="Arial" w:hAnsi="Arial"/>
          <w:sz w:val="16"/>
          <w:szCs w:val="16"/>
          <w:i w:val="1"/>
          <w:iCs w:val="1"/>
          <w:color w:val="auto"/>
        </w:rPr>
        <w:t>This value represents the difference between the average of the high and low trading price on the date of vesting multiplied by the number of restricted stock units and performance shares, as applicable.</w:t>
      </w:r>
    </w:p>
    <w:p>
      <w:pPr>
        <w:spacing w:after="0" w:line="10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60</w:t>
      </w:r>
    </w:p>
    <w:p>
      <w:pPr>
        <w:sectPr>
          <w:pgSz w:w="11900" w:h="16838" w:orient="portrait"/>
          <w:cols w:equalWidth="0" w:num="1">
            <w:col w:w="11220"/>
          </w:cols>
          <w:pgMar w:left="240" w:top="459" w:right="4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EXECUTIVE COMPENSATION TABLES</w:t>
      </w:r>
    </w:p>
    <w:p>
      <w:pPr>
        <w:spacing w:after="0" w:line="139"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32406B"/>
        </w:rPr>
        <w:t>Pension Benefits through 2017</w:t>
      </w:r>
    </w:p>
    <w:p>
      <w:pPr>
        <w:spacing w:after="0" w:line="245"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394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ind w:left="280"/>
              <w:spacing w:after="0"/>
              <w:rPr>
                <w:sz w:val="20"/>
                <w:szCs w:val="20"/>
                <w:color w:val="auto"/>
              </w:rPr>
            </w:pPr>
            <w:r>
              <w:rPr>
                <w:rFonts w:ascii="Arial" w:cs="Arial" w:eastAsia="Arial" w:hAnsi="Arial"/>
                <w:sz w:val="14"/>
                <w:szCs w:val="14"/>
                <w:b w:val="1"/>
                <w:bCs w:val="1"/>
                <w:color w:val="auto"/>
              </w:rPr>
              <w:t>Present</w:t>
            </w:r>
          </w:p>
        </w:tc>
        <w:tc>
          <w:tcPr>
            <w:tcW w:w="12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00" w:type="dxa"/>
            <w:vAlign w:val="bottom"/>
          </w:tcPr>
          <w:p>
            <w:pPr>
              <w:ind w:left="240"/>
              <w:spacing w:after="0"/>
              <w:rPr>
                <w:sz w:val="20"/>
                <w:szCs w:val="20"/>
                <w:color w:val="auto"/>
              </w:rPr>
            </w:pPr>
            <w:r>
              <w:rPr>
                <w:rFonts w:ascii="Arial" w:cs="Arial" w:eastAsia="Arial" w:hAnsi="Arial"/>
                <w:sz w:val="14"/>
                <w:szCs w:val="14"/>
                <w:b w:val="1"/>
                <w:bCs w:val="1"/>
                <w:color w:val="auto"/>
              </w:rPr>
              <w:t>Number of</w:t>
            </w:r>
          </w:p>
        </w:tc>
        <w:tc>
          <w:tcPr>
            <w:tcW w:w="1280" w:type="dxa"/>
            <w:vAlign w:val="bottom"/>
          </w:tcPr>
          <w:p>
            <w:pPr>
              <w:ind w:left="260"/>
              <w:spacing w:after="0"/>
              <w:rPr>
                <w:sz w:val="20"/>
                <w:szCs w:val="20"/>
                <w:color w:val="auto"/>
              </w:rPr>
            </w:pPr>
            <w:r>
              <w:rPr>
                <w:rFonts w:ascii="Arial" w:cs="Arial" w:eastAsia="Arial" w:hAnsi="Arial"/>
                <w:sz w:val="14"/>
                <w:szCs w:val="14"/>
                <w:b w:val="1"/>
                <w:bCs w:val="1"/>
                <w:color w:val="auto"/>
              </w:rPr>
              <w:t>Normal</w:t>
            </w:r>
          </w:p>
        </w:tc>
        <w:tc>
          <w:tcPr>
            <w:tcW w:w="1340" w:type="dxa"/>
            <w:vAlign w:val="bottom"/>
          </w:tcPr>
          <w:p>
            <w:pPr>
              <w:ind w:left="280"/>
              <w:spacing w:after="0"/>
              <w:rPr>
                <w:sz w:val="20"/>
                <w:szCs w:val="20"/>
                <w:color w:val="auto"/>
              </w:rPr>
            </w:pPr>
            <w:r>
              <w:rPr>
                <w:rFonts w:ascii="Arial" w:cs="Arial" w:eastAsia="Arial" w:hAnsi="Arial"/>
                <w:sz w:val="14"/>
                <w:szCs w:val="14"/>
                <w:b w:val="1"/>
                <w:bCs w:val="1"/>
                <w:color w:val="auto"/>
              </w:rPr>
              <w:t>Value of</w:t>
            </w:r>
          </w:p>
        </w:tc>
        <w:tc>
          <w:tcPr>
            <w:tcW w:w="1280" w:type="dxa"/>
            <w:vAlign w:val="bottom"/>
          </w:tcPr>
          <w:p>
            <w:pPr>
              <w:ind w:left="180"/>
              <w:spacing w:after="0"/>
              <w:rPr>
                <w:sz w:val="20"/>
                <w:szCs w:val="20"/>
                <w:color w:val="auto"/>
              </w:rPr>
            </w:pPr>
            <w:r>
              <w:rPr>
                <w:rFonts w:ascii="Arial" w:cs="Arial" w:eastAsia="Arial" w:hAnsi="Arial"/>
                <w:sz w:val="14"/>
                <w:szCs w:val="14"/>
                <w:b w:val="1"/>
                <w:bCs w:val="1"/>
                <w:color w:val="auto"/>
              </w:rPr>
              <w:t>Payments</w:t>
            </w:r>
          </w:p>
        </w:tc>
        <w:tc>
          <w:tcPr>
            <w:tcW w:w="0" w:type="dxa"/>
            <w:vAlign w:val="bottom"/>
          </w:tcPr>
          <w:p>
            <w:pPr>
              <w:spacing w:after="0"/>
              <w:rPr>
                <w:sz w:val="1"/>
                <w:szCs w:val="1"/>
                <w:color w:val="auto"/>
              </w:rPr>
            </w:pPr>
          </w:p>
        </w:tc>
      </w:tr>
      <w:tr>
        <w:trPr>
          <w:trHeight w:val="162"/>
        </w:trPr>
        <w:tc>
          <w:tcPr>
            <w:tcW w:w="39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00" w:type="dxa"/>
            <w:vAlign w:val="bottom"/>
          </w:tcPr>
          <w:p>
            <w:pPr>
              <w:ind w:left="240"/>
              <w:spacing w:after="0"/>
              <w:rPr>
                <w:sz w:val="20"/>
                <w:szCs w:val="20"/>
                <w:color w:val="auto"/>
              </w:rPr>
            </w:pPr>
            <w:r>
              <w:rPr>
                <w:rFonts w:ascii="Arial" w:cs="Arial" w:eastAsia="Arial" w:hAnsi="Arial"/>
                <w:sz w:val="14"/>
                <w:szCs w:val="14"/>
                <w:b w:val="1"/>
                <w:bCs w:val="1"/>
                <w:color w:val="auto"/>
              </w:rPr>
              <w:t>Years Credited</w:t>
            </w:r>
          </w:p>
        </w:tc>
        <w:tc>
          <w:tcPr>
            <w:tcW w:w="1280" w:type="dxa"/>
            <w:vAlign w:val="bottom"/>
          </w:tcPr>
          <w:p>
            <w:pPr>
              <w:ind w:left="260"/>
              <w:spacing w:after="0"/>
              <w:rPr>
                <w:sz w:val="20"/>
                <w:szCs w:val="20"/>
                <w:color w:val="auto"/>
              </w:rPr>
            </w:pPr>
            <w:r>
              <w:rPr>
                <w:rFonts w:ascii="Arial" w:cs="Arial" w:eastAsia="Arial" w:hAnsi="Arial"/>
                <w:sz w:val="14"/>
                <w:szCs w:val="14"/>
                <w:b w:val="1"/>
                <w:bCs w:val="1"/>
                <w:color w:val="auto"/>
              </w:rPr>
              <w:t>Retirement</w:t>
            </w:r>
          </w:p>
        </w:tc>
        <w:tc>
          <w:tcPr>
            <w:tcW w:w="1340" w:type="dxa"/>
            <w:vAlign w:val="bottom"/>
          </w:tcPr>
          <w:p>
            <w:pPr>
              <w:ind w:left="280"/>
              <w:spacing w:after="0"/>
              <w:rPr>
                <w:sz w:val="20"/>
                <w:szCs w:val="20"/>
                <w:color w:val="auto"/>
              </w:rPr>
            </w:pPr>
            <w:r>
              <w:rPr>
                <w:rFonts w:ascii="Arial" w:cs="Arial" w:eastAsia="Arial" w:hAnsi="Arial"/>
                <w:sz w:val="14"/>
                <w:szCs w:val="14"/>
                <w:b w:val="1"/>
                <w:bCs w:val="1"/>
                <w:color w:val="auto"/>
              </w:rPr>
              <w:t>Accumulated</w:t>
            </w:r>
          </w:p>
        </w:tc>
        <w:tc>
          <w:tcPr>
            <w:tcW w:w="1280" w:type="dxa"/>
            <w:vAlign w:val="bottom"/>
          </w:tcPr>
          <w:p>
            <w:pPr>
              <w:ind w:left="180"/>
              <w:spacing w:after="0"/>
              <w:rPr>
                <w:sz w:val="20"/>
                <w:szCs w:val="20"/>
                <w:color w:val="auto"/>
              </w:rPr>
            </w:pPr>
            <w:r>
              <w:rPr>
                <w:rFonts w:ascii="Arial" w:cs="Arial" w:eastAsia="Arial" w:hAnsi="Arial"/>
                <w:sz w:val="14"/>
                <w:szCs w:val="14"/>
                <w:b w:val="1"/>
                <w:bCs w:val="1"/>
                <w:color w:val="auto"/>
              </w:rPr>
              <w:t>During Last</w:t>
            </w:r>
          </w:p>
        </w:tc>
        <w:tc>
          <w:tcPr>
            <w:tcW w:w="0" w:type="dxa"/>
            <w:vAlign w:val="bottom"/>
          </w:tcPr>
          <w:p>
            <w:pPr>
              <w:spacing w:after="0"/>
              <w:rPr>
                <w:sz w:val="1"/>
                <w:szCs w:val="1"/>
                <w:color w:val="auto"/>
              </w:rPr>
            </w:pPr>
          </w:p>
        </w:tc>
      </w:tr>
      <w:tr>
        <w:trPr>
          <w:trHeight w:val="162"/>
        </w:trPr>
        <w:tc>
          <w:tcPr>
            <w:tcW w:w="39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00" w:type="dxa"/>
            <w:vAlign w:val="bottom"/>
          </w:tcPr>
          <w:p>
            <w:pPr>
              <w:ind w:left="240"/>
              <w:spacing w:after="0"/>
              <w:rPr>
                <w:sz w:val="20"/>
                <w:szCs w:val="20"/>
                <w:color w:val="auto"/>
              </w:rPr>
            </w:pPr>
            <w:r>
              <w:rPr>
                <w:rFonts w:ascii="Arial" w:cs="Arial" w:eastAsia="Arial" w:hAnsi="Arial"/>
                <w:sz w:val="14"/>
                <w:szCs w:val="14"/>
                <w:b w:val="1"/>
                <w:bCs w:val="1"/>
                <w:color w:val="auto"/>
              </w:rPr>
              <w:t>Service</w:t>
            </w:r>
          </w:p>
        </w:tc>
        <w:tc>
          <w:tcPr>
            <w:tcW w:w="1280" w:type="dxa"/>
            <w:vAlign w:val="bottom"/>
          </w:tcPr>
          <w:p>
            <w:pPr>
              <w:ind w:left="260"/>
              <w:spacing w:after="0"/>
              <w:rPr>
                <w:sz w:val="20"/>
                <w:szCs w:val="20"/>
                <w:color w:val="auto"/>
              </w:rPr>
            </w:pPr>
            <w:r>
              <w:rPr>
                <w:rFonts w:ascii="Arial" w:cs="Arial" w:eastAsia="Arial" w:hAnsi="Arial"/>
                <w:sz w:val="14"/>
                <w:szCs w:val="14"/>
                <w:b w:val="1"/>
                <w:bCs w:val="1"/>
                <w:color w:val="auto"/>
              </w:rPr>
              <w:t>Age</w:t>
            </w:r>
          </w:p>
        </w:tc>
        <w:tc>
          <w:tcPr>
            <w:tcW w:w="1340" w:type="dxa"/>
            <w:vAlign w:val="bottom"/>
          </w:tcPr>
          <w:p>
            <w:pPr>
              <w:ind w:left="280"/>
              <w:spacing w:after="0"/>
              <w:rPr>
                <w:sz w:val="20"/>
                <w:szCs w:val="20"/>
                <w:color w:val="auto"/>
              </w:rPr>
            </w:pPr>
            <w:r>
              <w:rPr>
                <w:rFonts w:ascii="Arial" w:cs="Arial" w:eastAsia="Arial" w:hAnsi="Arial"/>
                <w:sz w:val="14"/>
                <w:szCs w:val="14"/>
                <w:b w:val="1"/>
                <w:bCs w:val="1"/>
                <w:color w:val="auto"/>
              </w:rPr>
              <w:t>Benefit</w:t>
            </w:r>
          </w:p>
        </w:tc>
        <w:tc>
          <w:tcPr>
            <w:tcW w:w="1280" w:type="dxa"/>
            <w:vAlign w:val="bottom"/>
          </w:tcPr>
          <w:p>
            <w:pPr>
              <w:ind w:left="180"/>
              <w:spacing w:after="0"/>
              <w:rPr>
                <w:sz w:val="20"/>
                <w:szCs w:val="20"/>
                <w:color w:val="auto"/>
              </w:rPr>
            </w:pPr>
            <w:r>
              <w:rPr>
                <w:rFonts w:ascii="Arial" w:cs="Arial" w:eastAsia="Arial" w:hAnsi="Arial"/>
                <w:sz w:val="14"/>
                <w:szCs w:val="14"/>
                <w:b w:val="1"/>
                <w:bCs w:val="1"/>
                <w:color w:val="auto"/>
              </w:rPr>
              <w:t>Fiscal Year</w:t>
            </w:r>
          </w:p>
        </w:tc>
        <w:tc>
          <w:tcPr>
            <w:tcW w:w="0" w:type="dxa"/>
            <w:vAlign w:val="bottom"/>
          </w:tcPr>
          <w:p>
            <w:pPr>
              <w:spacing w:after="0"/>
              <w:rPr>
                <w:sz w:val="1"/>
                <w:szCs w:val="1"/>
                <w:color w:val="auto"/>
              </w:rPr>
            </w:pPr>
          </w:p>
        </w:tc>
      </w:tr>
      <w:tr>
        <w:trPr>
          <w:trHeight w:val="189"/>
        </w:trPr>
        <w:tc>
          <w:tcPr>
            <w:tcW w:w="3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4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Plan Name</w:t>
            </w:r>
          </w:p>
        </w:tc>
        <w:tc>
          <w:tcPr>
            <w:tcW w:w="150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w:t>
            </w:r>
          </w:p>
        </w:tc>
        <w:tc>
          <w:tcPr>
            <w:tcW w:w="134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($)(1)</w:t>
            </w:r>
          </w:p>
        </w:tc>
        <w:tc>
          <w:tcPr>
            <w:tcW w:w="128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0"/>
        </w:trPr>
        <w:tc>
          <w:tcPr>
            <w:tcW w:w="3940" w:type="dxa"/>
            <w:vAlign w:val="bottom"/>
            <w:vMerge w:val="restart"/>
            <w:shd w:val="clear" w:color="auto" w:fill="D8D8D8"/>
          </w:tcPr>
          <w:p>
            <w:pPr>
              <w:spacing w:after="0"/>
              <w:rPr>
                <w:sz w:val="20"/>
                <w:szCs w:val="20"/>
                <w:color w:val="auto"/>
              </w:rPr>
            </w:pPr>
            <w:r>
              <w:rPr>
                <w:rFonts w:ascii="Arial" w:cs="Arial" w:eastAsia="Arial" w:hAnsi="Arial"/>
                <w:sz w:val="16"/>
                <w:szCs w:val="16"/>
                <w:color w:val="auto"/>
              </w:rPr>
              <w:t>Robert A. Livingston (2), (3), (4)</w:t>
            </w:r>
          </w:p>
        </w:tc>
        <w:tc>
          <w:tcPr>
            <w:tcW w:w="460" w:type="dxa"/>
            <w:vAlign w:val="bottom"/>
            <w:shd w:val="clear" w:color="auto" w:fill="D8D8D8"/>
          </w:tcPr>
          <w:p>
            <w:pPr>
              <w:spacing w:after="0"/>
              <w:rPr>
                <w:sz w:val="20"/>
                <w:szCs w:val="20"/>
                <w:color w:val="auto"/>
              </w:rPr>
            </w:pPr>
          </w:p>
        </w:tc>
        <w:tc>
          <w:tcPr>
            <w:tcW w:w="1200" w:type="dxa"/>
            <w:vAlign w:val="bottom"/>
            <w:shd w:val="clear" w:color="auto" w:fill="D8D8D8"/>
          </w:tcPr>
          <w:p>
            <w:pPr>
              <w:spacing w:after="0"/>
              <w:rPr>
                <w:sz w:val="20"/>
                <w:szCs w:val="20"/>
                <w:color w:val="auto"/>
              </w:rPr>
            </w:pPr>
            <w:r>
              <w:rPr>
                <w:rFonts w:ascii="Arial" w:cs="Arial" w:eastAsia="Arial" w:hAnsi="Arial"/>
                <w:sz w:val="16"/>
                <w:szCs w:val="16"/>
                <w:color w:val="auto"/>
              </w:rPr>
              <w:t>Pension Plan</w:t>
            </w:r>
          </w:p>
        </w:tc>
        <w:tc>
          <w:tcPr>
            <w:tcW w:w="1500" w:type="dxa"/>
            <w:vAlign w:val="bottom"/>
            <w:shd w:val="clear" w:color="auto" w:fill="D8D8D8"/>
          </w:tcPr>
          <w:p>
            <w:pPr>
              <w:jc w:val="right"/>
              <w:ind w:right="182"/>
              <w:spacing w:after="0"/>
              <w:rPr>
                <w:sz w:val="20"/>
                <w:szCs w:val="20"/>
                <w:color w:val="auto"/>
              </w:rPr>
            </w:pPr>
            <w:r>
              <w:rPr>
                <w:rFonts w:ascii="Arial" w:cs="Arial" w:eastAsia="Arial" w:hAnsi="Arial"/>
                <w:sz w:val="16"/>
                <w:szCs w:val="16"/>
                <w:color w:val="auto"/>
              </w:rPr>
              <w:t>16</w:t>
            </w:r>
          </w:p>
        </w:tc>
        <w:tc>
          <w:tcPr>
            <w:tcW w:w="1280" w:type="dxa"/>
            <w:vAlign w:val="bottom"/>
            <w:shd w:val="clear" w:color="auto" w:fill="D8D8D8"/>
          </w:tcPr>
          <w:p>
            <w:pPr>
              <w:jc w:val="right"/>
              <w:ind w:right="182"/>
              <w:spacing w:after="0"/>
              <w:rPr>
                <w:sz w:val="20"/>
                <w:szCs w:val="20"/>
                <w:color w:val="auto"/>
              </w:rPr>
            </w:pPr>
            <w:r>
              <w:rPr>
                <w:rFonts w:ascii="Arial" w:cs="Arial" w:eastAsia="Arial" w:hAnsi="Arial"/>
                <w:sz w:val="16"/>
                <w:szCs w:val="16"/>
                <w:color w:val="auto"/>
              </w:rPr>
              <w:t>65</w:t>
            </w:r>
          </w:p>
        </w:tc>
        <w:tc>
          <w:tcPr>
            <w:tcW w:w="1340" w:type="dxa"/>
            <w:vAlign w:val="bottom"/>
            <w:shd w:val="clear" w:color="auto" w:fill="D8D8D8"/>
          </w:tcPr>
          <w:p>
            <w:pPr>
              <w:jc w:val="right"/>
              <w:ind w:right="82"/>
              <w:spacing w:after="0"/>
              <w:rPr>
                <w:sz w:val="20"/>
                <w:szCs w:val="20"/>
                <w:color w:val="auto"/>
              </w:rPr>
            </w:pPr>
            <w:r>
              <w:rPr>
                <w:rFonts w:ascii="Arial" w:cs="Arial" w:eastAsia="Arial" w:hAnsi="Arial"/>
                <w:sz w:val="16"/>
                <w:szCs w:val="16"/>
                <w:color w:val="auto"/>
              </w:rPr>
              <w:t>624,230</w:t>
            </w:r>
          </w:p>
        </w:tc>
        <w:tc>
          <w:tcPr>
            <w:tcW w:w="1280" w:type="dxa"/>
            <w:vAlign w:val="bottom"/>
            <w:shd w:val="clear" w:color="auto" w:fill="D8D8D8"/>
          </w:tcPr>
          <w:p>
            <w:pPr>
              <w:ind w:left="240"/>
              <w:spacing w:after="0"/>
              <w:rPr>
                <w:sz w:val="20"/>
                <w:szCs w:val="20"/>
                <w:color w:val="auto"/>
              </w:rPr>
            </w:pPr>
            <w:r>
              <w:rPr>
                <w:rFonts w:ascii="Arial" w:cs="Arial" w:eastAsia="Arial" w:hAnsi="Arial"/>
                <w:sz w:val="16"/>
                <w:szCs w:val="16"/>
                <w:color w:val="auto"/>
              </w:rPr>
              <w:t>Not Offered</w:t>
            </w:r>
          </w:p>
        </w:tc>
        <w:tc>
          <w:tcPr>
            <w:tcW w:w="0" w:type="dxa"/>
            <w:vAlign w:val="bottom"/>
          </w:tcPr>
          <w:p>
            <w:pPr>
              <w:spacing w:after="0"/>
              <w:rPr>
                <w:sz w:val="1"/>
                <w:szCs w:val="1"/>
                <w:color w:val="auto"/>
              </w:rPr>
            </w:pPr>
          </w:p>
        </w:tc>
      </w:tr>
      <w:tr>
        <w:trPr>
          <w:trHeight w:val="148"/>
        </w:trPr>
        <w:tc>
          <w:tcPr>
            <w:tcW w:w="3940" w:type="dxa"/>
            <w:vAlign w:val="bottom"/>
            <w:vMerge w:val="continue"/>
            <w:shd w:val="clear" w:color="auto" w:fill="D8D8D8"/>
          </w:tcPr>
          <w:p>
            <w:pPr>
              <w:spacing w:after="0"/>
              <w:rPr>
                <w:sz w:val="12"/>
                <w:szCs w:val="12"/>
                <w:color w:val="auto"/>
              </w:rPr>
            </w:pPr>
          </w:p>
        </w:tc>
        <w:tc>
          <w:tcPr>
            <w:tcW w:w="460" w:type="dxa"/>
            <w:vAlign w:val="bottom"/>
            <w:shd w:val="clear" w:color="auto" w:fill="D8D8D8"/>
          </w:tcPr>
          <w:p>
            <w:pPr>
              <w:spacing w:after="0"/>
              <w:rPr>
                <w:sz w:val="12"/>
                <w:szCs w:val="12"/>
                <w:color w:val="auto"/>
              </w:rPr>
            </w:pPr>
          </w:p>
        </w:tc>
        <w:tc>
          <w:tcPr>
            <w:tcW w:w="1200" w:type="dxa"/>
            <w:vAlign w:val="bottom"/>
            <w:vMerge w:val="restart"/>
            <w:shd w:val="clear" w:color="auto" w:fill="D8D8D8"/>
          </w:tcPr>
          <w:p>
            <w:pPr>
              <w:spacing w:after="0"/>
              <w:rPr>
                <w:sz w:val="20"/>
                <w:szCs w:val="20"/>
                <w:color w:val="auto"/>
              </w:rPr>
            </w:pPr>
            <w:r>
              <w:rPr>
                <w:rFonts w:ascii="Arial" w:cs="Arial" w:eastAsia="Arial" w:hAnsi="Arial"/>
                <w:sz w:val="16"/>
                <w:szCs w:val="16"/>
                <w:color w:val="auto"/>
              </w:rPr>
              <w:t>PRP</w:t>
            </w:r>
          </w:p>
        </w:tc>
        <w:tc>
          <w:tcPr>
            <w:tcW w:w="1500" w:type="dxa"/>
            <w:vAlign w:val="bottom"/>
            <w:vMerge w:val="restart"/>
            <w:shd w:val="clear" w:color="auto" w:fill="D8D8D8"/>
          </w:tcPr>
          <w:p>
            <w:pPr>
              <w:jc w:val="right"/>
              <w:ind w:right="182"/>
              <w:spacing w:after="0"/>
              <w:rPr>
                <w:sz w:val="20"/>
                <w:szCs w:val="20"/>
                <w:color w:val="auto"/>
              </w:rPr>
            </w:pPr>
            <w:r>
              <w:rPr>
                <w:rFonts w:ascii="Arial" w:cs="Arial" w:eastAsia="Arial" w:hAnsi="Arial"/>
                <w:sz w:val="16"/>
                <w:szCs w:val="16"/>
                <w:color w:val="auto"/>
              </w:rPr>
              <w:t>30</w:t>
            </w:r>
          </w:p>
        </w:tc>
        <w:tc>
          <w:tcPr>
            <w:tcW w:w="1280" w:type="dxa"/>
            <w:vAlign w:val="bottom"/>
            <w:vMerge w:val="restart"/>
            <w:shd w:val="clear" w:color="auto" w:fill="D8D8D8"/>
          </w:tcPr>
          <w:p>
            <w:pPr>
              <w:jc w:val="right"/>
              <w:ind w:right="182"/>
              <w:spacing w:after="0"/>
              <w:rPr>
                <w:sz w:val="20"/>
                <w:szCs w:val="20"/>
                <w:color w:val="auto"/>
              </w:rPr>
            </w:pPr>
            <w:r>
              <w:rPr>
                <w:rFonts w:ascii="Arial" w:cs="Arial" w:eastAsia="Arial" w:hAnsi="Arial"/>
                <w:sz w:val="16"/>
                <w:szCs w:val="16"/>
                <w:color w:val="auto"/>
              </w:rPr>
              <w:t>65</w:t>
            </w:r>
          </w:p>
        </w:tc>
        <w:tc>
          <w:tcPr>
            <w:tcW w:w="1340" w:type="dxa"/>
            <w:vAlign w:val="bottom"/>
            <w:vMerge w:val="restart"/>
            <w:shd w:val="clear" w:color="auto" w:fill="D8D8D8"/>
          </w:tcPr>
          <w:p>
            <w:pPr>
              <w:jc w:val="right"/>
              <w:ind w:right="82"/>
              <w:spacing w:after="0"/>
              <w:rPr>
                <w:sz w:val="20"/>
                <w:szCs w:val="20"/>
                <w:color w:val="auto"/>
              </w:rPr>
            </w:pPr>
            <w:r>
              <w:rPr>
                <w:rFonts w:ascii="Arial" w:cs="Arial" w:eastAsia="Arial" w:hAnsi="Arial"/>
                <w:sz w:val="16"/>
                <w:szCs w:val="16"/>
                <w:color w:val="auto"/>
              </w:rPr>
              <w:t>16,287,170</w:t>
            </w:r>
          </w:p>
        </w:tc>
        <w:tc>
          <w:tcPr>
            <w:tcW w:w="1280" w:type="dxa"/>
            <w:vAlign w:val="bottom"/>
            <w:vMerge w:val="restart"/>
            <w:shd w:val="clear" w:color="auto" w:fill="D8D8D8"/>
          </w:tcPr>
          <w:p>
            <w:pPr>
              <w:ind w:left="240"/>
              <w:spacing w:after="0"/>
              <w:rPr>
                <w:sz w:val="20"/>
                <w:szCs w:val="20"/>
                <w:color w:val="auto"/>
              </w:rPr>
            </w:pPr>
            <w:r>
              <w:rPr>
                <w:rFonts w:ascii="Arial" w:cs="Arial" w:eastAsia="Arial" w:hAnsi="Arial"/>
                <w:sz w:val="16"/>
                <w:szCs w:val="16"/>
                <w:color w:val="auto"/>
              </w:rPr>
              <w:t>Not Offered</w:t>
            </w:r>
          </w:p>
        </w:tc>
        <w:tc>
          <w:tcPr>
            <w:tcW w:w="0" w:type="dxa"/>
            <w:vAlign w:val="bottom"/>
          </w:tcPr>
          <w:p>
            <w:pPr>
              <w:spacing w:after="0"/>
              <w:rPr>
                <w:sz w:val="1"/>
                <w:szCs w:val="1"/>
                <w:color w:val="auto"/>
              </w:rPr>
            </w:pPr>
          </w:p>
        </w:tc>
      </w:tr>
      <w:tr>
        <w:trPr>
          <w:trHeight w:val="175"/>
        </w:trPr>
        <w:tc>
          <w:tcPr>
            <w:tcW w:w="3940" w:type="dxa"/>
            <w:vAlign w:val="bottom"/>
            <w:tcBorders>
              <w:bottom w:val="single" w:sz="8" w:color="D8D8D8"/>
            </w:tcBorders>
            <w:shd w:val="clear" w:color="auto" w:fill="D8D8D8"/>
          </w:tcPr>
          <w:p>
            <w:pPr>
              <w:spacing w:after="0"/>
              <w:rPr>
                <w:sz w:val="15"/>
                <w:szCs w:val="15"/>
                <w:color w:val="auto"/>
              </w:rPr>
            </w:pPr>
          </w:p>
        </w:tc>
        <w:tc>
          <w:tcPr>
            <w:tcW w:w="460" w:type="dxa"/>
            <w:vAlign w:val="bottom"/>
            <w:tcBorders>
              <w:bottom w:val="single" w:sz="8" w:color="D8D8D8"/>
            </w:tcBorders>
            <w:shd w:val="clear" w:color="auto" w:fill="D8D8D8"/>
          </w:tcPr>
          <w:p>
            <w:pPr>
              <w:spacing w:after="0"/>
              <w:rPr>
                <w:sz w:val="15"/>
                <w:szCs w:val="15"/>
                <w:color w:val="auto"/>
              </w:rPr>
            </w:pPr>
          </w:p>
        </w:tc>
        <w:tc>
          <w:tcPr>
            <w:tcW w:w="1200" w:type="dxa"/>
            <w:vAlign w:val="bottom"/>
            <w:tcBorders>
              <w:bottom w:val="single" w:sz="8" w:color="D8D8D8"/>
            </w:tcBorders>
            <w:vMerge w:val="continue"/>
            <w:shd w:val="clear" w:color="auto" w:fill="D8D8D8"/>
          </w:tcPr>
          <w:p>
            <w:pPr>
              <w:spacing w:after="0"/>
              <w:rPr>
                <w:sz w:val="15"/>
                <w:szCs w:val="15"/>
                <w:color w:val="auto"/>
              </w:rPr>
            </w:pPr>
          </w:p>
        </w:tc>
        <w:tc>
          <w:tcPr>
            <w:tcW w:w="1500" w:type="dxa"/>
            <w:vAlign w:val="bottom"/>
            <w:tcBorders>
              <w:bottom w:val="single" w:sz="8" w:color="D8D8D8"/>
            </w:tcBorders>
            <w:vMerge w:val="continue"/>
            <w:shd w:val="clear" w:color="auto" w:fill="D8D8D8"/>
          </w:tcPr>
          <w:p>
            <w:pPr>
              <w:spacing w:after="0"/>
              <w:rPr>
                <w:sz w:val="15"/>
                <w:szCs w:val="15"/>
                <w:color w:val="auto"/>
              </w:rPr>
            </w:pPr>
          </w:p>
        </w:tc>
        <w:tc>
          <w:tcPr>
            <w:tcW w:w="1280" w:type="dxa"/>
            <w:vAlign w:val="bottom"/>
            <w:tcBorders>
              <w:bottom w:val="single" w:sz="8" w:color="D8D8D8"/>
            </w:tcBorders>
            <w:vMerge w:val="continue"/>
            <w:shd w:val="clear" w:color="auto" w:fill="D8D8D8"/>
          </w:tcPr>
          <w:p>
            <w:pPr>
              <w:spacing w:after="0"/>
              <w:rPr>
                <w:sz w:val="15"/>
                <w:szCs w:val="15"/>
                <w:color w:val="auto"/>
              </w:rPr>
            </w:pPr>
          </w:p>
        </w:tc>
        <w:tc>
          <w:tcPr>
            <w:tcW w:w="1340" w:type="dxa"/>
            <w:vAlign w:val="bottom"/>
            <w:tcBorders>
              <w:bottom w:val="single" w:sz="8" w:color="D8D8D8"/>
            </w:tcBorders>
            <w:vMerge w:val="continue"/>
            <w:shd w:val="clear" w:color="auto" w:fill="D8D8D8"/>
          </w:tcPr>
          <w:p>
            <w:pPr>
              <w:spacing w:after="0"/>
              <w:rPr>
                <w:sz w:val="15"/>
                <w:szCs w:val="15"/>
                <w:color w:val="auto"/>
              </w:rPr>
            </w:pPr>
          </w:p>
        </w:tc>
        <w:tc>
          <w:tcPr>
            <w:tcW w:w="1280" w:type="dxa"/>
            <w:vAlign w:val="bottom"/>
            <w:tcBorders>
              <w:bottom w:val="single" w:sz="8" w:color="D8D8D8"/>
            </w:tcBorders>
            <w:vMerge w:val="continue"/>
            <w:shd w:val="clear" w:color="auto" w:fill="D8D8D8"/>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940" w:type="dxa"/>
            <w:vAlign w:val="bottom"/>
            <w:vMerge w:val="restart"/>
          </w:tcPr>
          <w:p>
            <w:pPr>
              <w:spacing w:after="0"/>
              <w:rPr>
                <w:sz w:val="20"/>
                <w:szCs w:val="20"/>
                <w:color w:val="auto"/>
              </w:rPr>
            </w:pPr>
            <w:r>
              <w:rPr>
                <w:rFonts w:ascii="Arial" w:cs="Arial" w:eastAsia="Arial" w:hAnsi="Arial"/>
                <w:sz w:val="16"/>
                <w:szCs w:val="16"/>
                <w:color w:val="auto"/>
              </w:rPr>
              <w:t>Brad M. Cerepak</w:t>
            </w:r>
          </w:p>
        </w:tc>
        <w:tc>
          <w:tcPr>
            <w:tcW w:w="46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6"/>
                <w:szCs w:val="16"/>
                <w:color w:val="auto"/>
              </w:rPr>
              <w:t>Pension Plan</w:t>
            </w:r>
          </w:p>
        </w:tc>
        <w:tc>
          <w:tcPr>
            <w:tcW w:w="1500" w:type="dxa"/>
            <w:vAlign w:val="bottom"/>
          </w:tcPr>
          <w:p>
            <w:pPr>
              <w:jc w:val="right"/>
              <w:ind w:right="182"/>
              <w:spacing w:after="0"/>
              <w:rPr>
                <w:sz w:val="20"/>
                <w:szCs w:val="20"/>
                <w:color w:val="auto"/>
              </w:rPr>
            </w:pPr>
            <w:r>
              <w:rPr>
                <w:rFonts w:ascii="Arial" w:cs="Arial" w:eastAsia="Arial" w:hAnsi="Arial"/>
                <w:sz w:val="16"/>
                <w:szCs w:val="16"/>
                <w:color w:val="auto"/>
              </w:rPr>
              <w:t>9</w:t>
            </w:r>
          </w:p>
        </w:tc>
        <w:tc>
          <w:tcPr>
            <w:tcW w:w="1280" w:type="dxa"/>
            <w:vAlign w:val="bottom"/>
          </w:tcPr>
          <w:p>
            <w:pPr>
              <w:jc w:val="right"/>
              <w:ind w:right="182"/>
              <w:spacing w:after="0"/>
              <w:rPr>
                <w:sz w:val="20"/>
                <w:szCs w:val="20"/>
                <w:color w:val="auto"/>
              </w:rPr>
            </w:pPr>
            <w:r>
              <w:rPr>
                <w:rFonts w:ascii="Arial" w:cs="Arial" w:eastAsia="Arial" w:hAnsi="Arial"/>
                <w:sz w:val="16"/>
                <w:szCs w:val="16"/>
                <w:color w:val="auto"/>
              </w:rPr>
              <w:t>65</w:t>
            </w:r>
          </w:p>
        </w:tc>
        <w:tc>
          <w:tcPr>
            <w:tcW w:w="1340" w:type="dxa"/>
            <w:vAlign w:val="bottom"/>
          </w:tcPr>
          <w:p>
            <w:pPr>
              <w:jc w:val="right"/>
              <w:ind w:right="82"/>
              <w:spacing w:after="0"/>
              <w:rPr>
                <w:sz w:val="20"/>
                <w:szCs w:val="20"/>
                <w:color w:val="auto"/>
              </w:rPr>
            </w:pPr>
            <w:r>
              <w:rPr>
                <w:rFonts w:ascii="Arial" w:cs="Arial" w:eastAsia="Arial" w:hAnsi="Arial"/>
                <w:sz w:val="16"/>
                <w:szCs w:val="16"/>
                <w:color w:val="auto"/>
              </w:rPr>
              <w:t>347,713</w:t>
            </w:r>
          </w:p>
        </w:tc>
        <w:tc>
          <w:tcPr>
            <w:tcW w:w="1280" w:type="dxa"/>
            <w:vAlign w:val="bottom"/>
          </w:tcPr>
          <w:p>
            <w:pPr>
              <w:ind w:left="240"/>
              <w:spacing w:after="0"/>
              <w:rPr>
                <w:sz w:val="20"/>
                <w:szCs w:val="20"/>
                <w:color w:val="auto"/>
              </w:rPr>
            </w:pPr>
            <w:r>
              <w:rPr>
                <w:rFonts w:ascii="Arial" w:cs="Arial" w:eastAsia="Arial" w:hAnsi="Arial"/>
                <w:sz w:val="16"/>
                <w:szCs w:val="16"/>
                <w:color w:val="auto"/>
              </w:rPr>
              <w:t>Not Offered</w:t>
            </w:r>
          </w:p>
        </w:tc>
        <w:tc>
          <w:tcPr>
            <w:tcW w:w="0" w:type="dxa"/>
            <w:vAlign w:val="bottom"/>
          </w:tcPr>
          <w:p>
            <w:pPr>
              <w:spacing w:after="0"/>
              <w:rPr>
                <w:sz w:val="1"/>
                <w:szCs w:val="1"/>
                <w:color w:val="auto"/>
              </w:rPr>
            </w:pPr>
          </w:p>
        </w:tc>
      </w:tr>
      <w:tr>
        <w:trPr>
          <w:trHeight w:val="46"/>
        </w:trPr>
        <w:tc>
          <w:tcPr>
            <w:tcW w:w="3940" w:type="dxa"/>
            <w:vAlign w:val="bottom"/>
            <w:vMerge w:val="continue"/>
          </w:tcPr>
          <w:p>
            <w:pPr>
              <w:spacing w:after="0"/>
              <w:rPr>
                <w:sz w:val="4"/>
                <w:szCs w:val="4"/>
                <w:color w:val="auto"/>
              </w:rPr>
            </w:pPr>
          </w:p>
        </w:tc>
        <w:tc>
          <w:tcPr>
            <w:tcW w:w="460" w:type="dxa"/>
            <w:vAlign w:val="bottom"/>
            <w:tcBorders>
              <w:bottom w:val="single" w:sz="8" w:color="999999"/>
            </w:tcBorders>
          </w:tcPr>
          <w:p>
            <w:pPr>
              <w:spacing w:after="0"/>
              <w:rPr>
                <w:sz w:val="4"/>
                <w:szCs w:val="4"/>
                <w:color w:val="auto"/>
              </w:rPr>
            </w:pPr>
          </w:p>
        </w:tc>
        <w:tc>
          <w:tcPr>
            <w:tcW w:w="1200" w:type="dxa"/>
            <w:vAlign w:val="bottom"/>
            <w:tcBorders>
              <w:bottom w:val="single" w:sz="8" w:color="999999"/>
            </w:tcBorders>
          </w:tcPr>
          <w:p>
            <w:pPr>
              <w:spacing w:after="0"/>
              <w:rPr>
                <w:sz w:val="4"/>
                <w:szCs w:val="4"/>
                <w:color w:val="auto"/>
              </w:rPr>
            </w:pPr>
          </w:p>
        </w:tc>
        <w:tc>
          <w:tcPr>
            <w:tcW w:w="1500" w:type="dxa"/>
            <w:vAlign w:val="bottom"/>
            <w:tcBorders>
              <w:bottom w:val="single" w:sz="8" w:color="999999"/>
            </w:tcBorders>
          </w:tcPr>
          <w:p>
            <w:pPr>
              <w:spacing w:after="0"/>
              <w:rPr>
                <w:sz w:val="4"/>
                <w:szCs w:val="4"/>
                <w:color w:val="auto"/>
              </w:rPr>
            </w:pPr>
          </w:p>
        </w:tc>
        <w:tc>
          <w:tcPr>
            <w:tcW w:w="1280" w:type="dxa"/>
            <w:vAlign w:val="bottom"/>
            <w:tcBorders>
              <w:bottom w:val="single" w:sz="8" w:color="999999"/>
            </w:tcBorders>
          </w:tcPr>
          <w:p>
            <w:pPr>
              <w:spacing w:after="0"/>
              <w:rPr>
                <w:sz w:val="4"/>
                <w:szCs w:val="4"/>
                <w:color w:val="auto"/>
              </w:rPr>
            </w:pPr>
          </w:p>
        </w:tc>
        <w:tc>
          <w:tcPr>
            <w:tcW w:w="1340" w:type="dxa"/>
            <w:vAlign w:val="bottom"/>
            <w:tcBorders>
              <w:bottom w:val="single" w:sz="8" w:color="999999"/>
            </w:tcBorders>
          </w:tcPr>
          <w:p>
            <w:pPr>
              <w:spacing w:after="0"/>
              <w:rPr>
                <w:sz w:val="4"/>
                <w:szCs w:val="4"/>
                <w:color w:val="auto"/>
              </w:rPr>
            </w:pPr>
          </w:p>
        </w:tc>
        <w:tc>
          <w:tcPr>
            <w:tcW w:w="1280" w:type="dxa"/>
            <w:vAlign w:val="bottom"/>
            <w:tcBorders>
              <w:bottom w:val="single" w:sz="8" w:color="999999"/>
            </w:tcBorders>
          </w:tcPr>
          <w:p>
            <w:pPr>
              <w:spacing w:after="0"/>
              <w:rPr>
                <w:sz w:val="4"/>
                <w:szCs w:val="4"/>
                <w:color w:val="auto"/>
              </w:rPr>
            </w:pPr>
          </w:p>
        </w:tc>
        <w:tc>
          <w:tcPr>
            <w:tcW w:w="0" w:type="dxa"/>
            <w:vAlign w:val="bottom"/>
          </w:tcPr>
          <w:p>
            <w:pPr>
              <w:spacing w:after="0"/>
              <w:rPr>
                <w:sz w:val="1"/>
                <w:szCs w:val="1"/>
                <w:color w:val="auto"/>
              </w:rPr>
            </w:pPr>
          </w:p>
        </w:tc>
      </w:tr>
      <w:tr>
        <w:trPr>
          <w:trHeight w:val="82"/>
        </w:trPr>
        <w:tc>
          <w:tcPr>
            <w:tcW w:w="394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1200" w:type="dxa"/>
            <w:vAlign w:val="bottom"/>
            <w:vMerge w:val="restart"/>
          </w:tcPr>
          <w:p>
            <w:pPr>
              <w:spacing w:after="0"/>
              <w:rPr>
                <w:sz w:val="20"/>
                <w:szCs w:val="20"/>
                <w:color w:val="auto"/>
              </w:rPr>
            </w:pPr>
            <w:r>
              <w:rPr>
                <w:rFonts w:ascii="Arial" w:cs="Arial" w:eastAsia="Arial" w:hAnsi="Arial"/>
                <w:sz w:val="16"/>
                <w:szCs w:val="16"/>
                <w:color w:val="auto"/>
              </w:rPr>
              <w:t>PRP</w:t>
            </w:r>
          </w:p>
        </w:tc>
        <w:tc>
          <w:tcPr>
            <w:tcW w:w="1500" w:type="dxa"/>
            <w:vAlign w:val="bottom"/>
            <w:vMerge w:val="restart"/>
          </w:tcPr>
          <w:p>
            <w:pPr>
              <w:jc w:val="right"/>
              <w:ind w:right="182"/>
              <w:spacing w:after="0"/>
              <w:rPr>
                <w:sz w:val="20"/>
                <w:szCs w:val="20"/>
                <w:color w:val="auto"/>
              </w:rPr>
            </w:pPr>
            <w:r>
              <w:rPr>
                <w:rFonts w:ascii="Arial" w:cs="Arial" w:eastAsia="Arial" w:hAnsi="Arial"/>
                <w:sz w:val="16"/>
                <w:szCs w:val="16"/>
                <w:color w:val="auto"/>
              </w:rPr>
              <w:t>8.6</w:t>
            </w:r>
          </w:p>
        </w:tc>
        <w:tc>
          <w:tcPr>
            <w:tcW w:w="1280" w:type="dxa"/>
            <w:vAlign w:val="bottom"/>
            <w:vMerge w:val="restart"/>
          </w:tcPr>
          <w:p>
            <w:pPr>
              <w:jc w:val="right"/>
              <w:ind w:right="182"/>
              <w:spacing w:after="0"/>
              <w:rPr>
                <w:sz w:val="20"/>
                <w:szCs w:val="20"/>
                <w:color w:val="auto"/>
              </w:rPr>
            </w:pPr>
            <w:r>
              <w:rPr>
                <w:rFonts w:ascii="Arial" w:cs="Arial" w:eastAsia="Arial" w:hAnsi="Arial"/>
                <w:sz w:val="16"/>
                <w:szCs w:val="16"/>
                <w:color w:val="auto"/>
              </w:rPr>
              <w:t>65</w:t>
            </w:r>
          </w:p>
        </w:tc>
        <w:tc>
          <w:tcPr>
            <w:tcW w:w="1340" w:type="dxa"/>
            <w:vAlign w:val="bottom"/>
            <w:vMerge w:val="restart"/>
          </w:tcPr>
          <w:p>
            <w:pPr>
              <w:jc w:val="right"/>
              <w:ind w:right="82"/>
              <w:spacing w:after="0"/>
              <w:rPr>
                <w:sz w:val="20"/>
                <w:szCs w:val="20"/>
                <w:color w:val="auto"/>
              </w:rPr>
            </w:pPr>
            <w:r>
              <w:rPr>
                <w:rFonts w:ascii="Arial" w:cs="Arial" w:eastAsia="Arial" w:hAnsi="Arial"/>
                <w:sz w:val="16"/>
                <w:szCs w:val="16"/>
                <w:color w:val="auto"/>
              </w:rPr>
              <w:t>1,397,242</w:t>
            </w:r>
          </w:p>
        </w:tc>
        <w:tc>
          <w:tcPr>
            <w:tcW w:w="1280" w:type="dxa"/>
            <w:vAlign w:val="bottom"/>
            <w:vMerge w:val="restart"/>
          </w:tcPr>
          <w:p>
            <w:pPr>
              <w:ind w:left="240"/>
              <w:spacing w:after="0"/>
              <w:rPr>
                <w:sz w:val="20"/>
                <w:szCs w:val="20"/>
                <w:color w:val="auto"/>
              </w:rPr>
            </w:pPr>
            <w:r>
              <w:rPr>
                <w:rFonts w:ascii="Arial" w:cs="Arial" w:eastAsia="Arial" w:hAnsi="Arial"/>
                <w:sz w:val="16"/>
                <w:szCs w:val="16"/>
                <w:color w:val="auto"/>
              </w:rPr>
              <w:t>Not Offered</w:t>
            </w:r>
          </w:p>
        </w:tc>
        <w:tc>
          <w:tcPr>
            <w:tcW w:w="0" w:type="dxa"/>
            <w:vAlign w:val="bottom"/>
          </w:tcPr>
          <w:p>
            <w:pPr>
              <w:spacing w:after="0"/>
              <w:rPr>
                <w:sz w:val="1"/>
                <w:szCs w:val="1"/>
                <w:color w:val="auto"/>
              </w:rPr>
            </w:pPr>
          </w:p>
        </w:tc>
      </w:tr>
      <w:tr>
        <w:trPr>
          <w:trHeight w:val="148"/>
        </w:trPr>
        <w:tc>
          <w:tcPr>
            <w:tcW w:w="39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500" w:type="dxa"/>
            <w:vAlign w:val="bottom"/>
            <w:vMerge w:val="continue"/>
          </w:tcPr>
          <w:p>
            <w:pPr>
              <w:spacing w:after="0"/>
              <w:rPr>
                <w:sz w:val="12"/>
                <w:szCs w:val="12"/>
                <w:color w:val="auto"/>
              </w:rPr>
            </w:pPr>
          </w:p>
        </w:tc>
        <w:tc>
          <w:tcPr>
            <w:tcW w:w="1280" w:type="dxa"/>
            <w:vAlign w:val="bottom"/>
            <w:vMerge w:val="continue"/>
          </w:tcPr>
          <w:p>
            <w:pPr>
              <w:spacing w:after="0"/>
              <w:rPr>
                <w:sz w:val="12"/>
                <w:szCs w:val="12"/>
                <w:color w:val="auto"/>
              </w:rPr>
            </w:pPr>
          </w:p>
        </w:tc>
        <w:tc>
          <w:tcPr>
            <w:tcW w:w="1340" w:type="dxa"/>
            <w:vAlign w:val="bottom"/>
            <w:vMerge w:val="continue"/>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6"/>
        </w:trPr>
        <w:tc>
          <w:tcPr>
            <w:tcW w:w="39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3940" w:type="dxa"/>
            <w:vAlign w:val="bottom"/>
            <w:vMerge w:val="restart"/>
            <w:shd w:val="clear" w:color="auto" w:fill="D8D8D8"/>
          </w:tcPr>
          <w:p>
            <w:pPr>
              <w:spacing w:after="0"/>
              <w:rPr>
                <w:sz w:val="20"/>
                <w:szCs w:val="20"/>
                <w:color w:val="auto"/>
              </w:rPr>
            </w:pPr>
            <w:r>
              <w:rPr>
                <w:rFonts w:ascii="Arial" w:cs="Arial" w:eastAsia="Arial" w:hAnsi="Arial"/>
                <w:sz w:val="16"/>
                <w:szCs w:val="16"/>
                <w:color w:val="auto"/>
              </w:rPr>
              <w:t>C. Anderson Fincher (2), (6)</w:t>
            </w:r>
          </w:p>
        </w:tc>
        <w:tc>
          <w:tcPr>
            <w:tcW w:w="460" w:type="dxa"/>
            <w:vAlign w:val="bottom"/>
            <w:shd w:val="clear" w:color="auto" w:fill="D8D8D8"/>
          </w:tcPr>
          <w:p>
            <w:pPr>
              <w:spacing w:after="0"/>
              <w:rPr>
                <w:sz w:val="20"/>
                <w:szCs w:val="20"/>
                <w:color w:val="auto"/>
              </w:rPr>
            </w:pPr>
          </w:p>
        </w:tc>
        <w:tc>
          <w:tcPr>
            <w:tcW w:w="1200" w:type="dxa"/>
            <w:vAlign w:val="bottom"/>
            <w:shd w:val="clear" w:color="auto" w:fill="D8D8D8"/>
          </w:tcPr>
          <w:p>
            <w:pPr>
              <w:spacing w:after="0"/>
              <w:rPr>
                <w:sz w:val="20"/>
                <w:szCs w:val="20"/>
                <w:color w:val="auto"/>
              </w:rPr>
            </w:pPr>
            <w:r>
              <w:rPr>
                <w:rFonts w:ascii="Arial" w:cs="Arial" w:eastAsia="Arial" w:hAnsi="Arial"/>
                <w:sz w:val="16"/>
                <w:szCs w:val="16"/>
                <w:color w:val="auto"/>
              </w:rPr>
              <w:t>Pension Plan</w:t>
            </w:r>
          </w:p>
        </w:tc>
        <w:tc>
          <w:tcPr>
            <w:tcW w:w="1500" w:type="dxa"/>
            <w:vAlign w:val="bottom"/>
            <w:shd w:val="clear" w:color="auto" w:fill="D8D8D8"/>
          </w:tcPr>
          <w:p>
            <w:pPr>
              <w:jc w:val="right"/>
              <w:ind w:right="182"/>
              <w:spacing w:after="0"/>
              <w:rPr>
                <w:sz w:val="20"/>
                <w:szCs w:val="20"/>
                <w:color w:val="auto"/>
              </w:rPr>
            </w:pPr>
            <w:r>
              <w:rPr>
                <w:rFonts w:ascii="Arial" w:cs="Arial" w:eastAsia="Arial" w:hAnsi="Arial"/>
                <w:sz w:val="16"/>
                <w:szCs w:val="16"/>
                <w:color w:val="auto"/>
              </w:rPr>
              <w:t>24</w:t>
            </w:r>
          </w:p>
        </w:tc>
        <w:tc>
          <w:tcPr>
            <w:tcW w:w="1280" w:type="dxa"/>
            <w:vAlign w:val="bottom"/>
            <w:shd w:val="clear" w:color="auto" w:fill="D8D8D8"/>
          </w:tcPr>
          <w:p>
            <w:pPr>
              <w:jc w:val="right"/>
              <w:ind w:right="182"/>
              <w:spacing w:after="0"/>
              <w:rPr>
                <w:sz w:val="20"/>
                <w:szCs w:val="20"/>
                <w:color w:val="auto"/>
              </w:rPr>
            </w:pPr>
            <w:r>
              <w:rPr>
                <w:rFonts w:ascii="Arial" w:cs="Arial" w:eastAsia="Arial" w:hAnsi="Arial"/>
                <w:sz w:val="16"/>
                <w:szCs w:val="16"/>
                <w:color w:val="auto"/>
              </w:rPr>
              <w:t>65</w:t>
            </w:r>
          </w:p>
        </w:tc>
        <w:tc>
          <w:tcPr>
            <w:tcW w:w="1340" w:type="dxa"/>
            <w:vAlign w:val="bottom"/>
            <w:shd w:val="clear" w:color="auto" w:fill="D8D8D8"/>
          </w:tcPr>
          <w:p>
            <w:pPr>
              <w:jc w:val="right"/>
              <w:ind w:right="82"/>
              <w:spacing w:after="0"/>
              <w:rPr>
                <w:sz w:val="20"/>
                <w:szCs w:val="20"/>
                <w:color w:val="auto"/>
              </w:rPr>
            </w:pPr>
            <w:r>
              <w:rPr>
                <w:rFonts w:ascii="Arial" w:cs="Arial" w:eastAsia="Arial" w:hAnsi="Arial"/>
                <w:sz w:val="16"/>
                <w:szCs w:val="16"/>
                <w:color w:val="auto"/>
              </w:rPr>
              <w:t>548,969</w:t>
            </w:r>
          </w:p>
        </w:tc>
        <w:tc>
          <w:tcPr>
            <w:tcW w:w="1280" w:type="dxa"/>
            <w:vAlign w:val="bottom"/>
            <w:shd w:val="clear" w:color="auto" w:fill="D8D8D8"/>
          </w:tcPr>
          <w:p>
            <w:pPr>
              <w:ind w:left="240"/>
              <w:spacing w:after="0"/>
              <w:rPr>
                <w:sz w:val="20"/>
                <w:szCs w:val="20"/>
                <w:color w:val="auto"/>
              </w:rPr>
            </w:pPr>
            <w:r>
              <w:rPr>
                <w:rFonts w:ascii="Arial" w:cs="Arial" w:eastAsia="Arial" w:hAnsi="Arial"/>
                <w:sz w:val="16"/>
                <w:szCs w:val="16"/>
                <w:color w:val="auto"/>
              </w:rPr>
              <w:t>Not Offered</w:t>
            </w:r>
          </w:p>
        </w:tc>
        <w:tc>
          <w:tcPr>
            <w:tcW w:w="0" w:type="dxa"/>
            <w:vAlign w:val="bottom"/>
          </w:tcPr>
          <w:p>
            <w:pPr>
              <w:spacing w:after="0"/>
              <w:rPr>
                <w:sz w:val="1"/>
                <w:szCs w:val="1"/>
                <w:color w:val="auto"/>
              </w:rPr>
            </w:pPr>
          </w:p>
        </w:tc>
      </w:tr>
      <w:tr>
        <w:trPr>
          <w:trHeight w:val="148"/>
        </w:trPr>
        <w:tc>
          <w:tcPr>
            <w:tcW w:w="3940" w:type="dxa"/>
            <w:vAlign w:val="bottom"/>
            <w:vMerge w:val="continue"/>
            <w:shd w:val="clear" w:color="auto" w:fill="D8D8D8"/>
          </w:tcPr>
          <w:p>
            <w:pPr>
              <w:spacing w:after="0"/>
              <w:rPr>
                <w:sz w:val="12"/>
                <w:szCs w:val="12"/>
                <w:color w:val="auto"/>
              </w:rPr>
            </w:pPr>
          </w:p>
        </w:tc>
        <w:tc>
          <w:tcPr>
            <w:tcW w:w="460" w:type="dxa"/>
            <w:vAlign w:val="bottom"/>
            <w:shd w:val="clear" w:color="auto" w:fill="D8D8D8"/>
          </w:tcPr>
          <w:p>
            <w:pPr>
              <w:spacing w:after="0"/>
              <w:rPr>
                <w:sz w:val="12"/>
                <w:szCs w:val="12"/>
                <w:color w:val="auto"/>
              </w:rPr>
            </w:pPr>
          </w:p>
        </w:tc>
        <w:tc>
          <w:tcPr>
            <w:tcW w:w="1200" w:type="dxa"/>
            <w:vAlign w:val="bottom"/>
            <w:vMerge w:val="restart"/>
            <w:shd w:val="clear" w:color="auto" w:fill="D8D8D8"/>
          </w:tcPr>
          <w:p>
            <w:pPr>
              <w:spacing w:after="0"/>
              <w:rPr>
                <w:sz w:val="20"/>
                <w:szCs w:val="20"/>
                <w:color w:val="auto"/>
              </w:rPr>
            </w:pPr>
            <w:r>
              <w:rPr>
                <w:rFonts w:ascii="Arial" w:cs="Arial" w:eastAsia="Arial" w:hAnsi="Arial"/>
                <w:sz w:val="16"/>
                <w:szCs w:val="16"/>
                <w:color w:val="auto"/>
              </w:rPr>
              <w:t>PRP</w:t>
            </w:r>
          </w:p>
        </w:tc>
        <w:tc>
          <w:tcPr>
            <w:tcW w:w="1500" w:type="dxa"/>
            <w:vAlign w:val="bottom"/>
            <w:vMerge w:val="restart"/>
            <w:shd w:val="clear" w:color="auto" w:fill="D8D8D8"/>
          </w:tcPr>
          <w:p>
            <w:pPr>
              <w:jc w:val="right"/>
              <w:ind w:right="182"/>
              <w:spacing w:after="0"/>
              <w:rPr>
                <w:sz w:val="20"/>
                <w:szCs w:val="20"/>
                <w:color w:val="auto"/>
              </w:rPr>
            </w:pPr>
            <w:r>
              <w:rPr>
                <w:rFonts w:ascii="Arial" w:cs="Arial" w:eastAsia="Arial" w:hAnsi="Arial"/>
                <w:sz w:val="16"/>
                <w:szCs w:val="16"/>
                <w:color w:val="auto"/>
              </w:rPr>
              <w:t>23.9</w:t>
            </w:r>
          </w:p>
        </w:tc>
        <w:tc>
          <w:tcPr>
            <w:tcW w:w="1280" w:type="dxa"/>
            <w:vAlign w:val="bottom"/>
            <w:vMerge w:val="restart"/>
            <w:shd w:val="clear" w:color="auto" w:fill="D8D8D8"/>
          </w:tcPr>
          <w:p>
            <w:pPr>
              <w:jc w:val="right"/>
              <w:ind w:right="182"/>
              <w:spacing w:after="0"/>
              <w:rPr>
                <w:sz w:val="20"/>
                <w:szCs w:val="20"/>
                <w:color w:val="auto"/>
              </w:rPr>
            </w:pPr>
            <w:r>
              <w:rPr>
                <w:rFonts w:ascii="Arial" w:cs="Arial" w:eastAsia="Arial" w:hAnsi="Arial"/>
                <w:sz w:val="16"/>
                <w:szCs w:val="16"/>
                <w:color w:val="auto"/>
              </w:rPr>
              <w:t>65</w:t>
            </w:r>
          </w:p>
        </w:tc>
        <w:tc>
          <w:tcPr>
            <w:tcW w:w="1340" w:type="dxa"/>
            <w:vAlign w:val="bottom"/>
            <w:vMerge w:val="restart"/>
            <w:shd w:val="clear" w:color="auto" w:fill="D8D8D8"/>
          </w:tcPr>
          <w:p>
            <w:pPr>
              <w:jc w:val="right"/>
              <w:ind w:right="82"/>
              <w:spacing w:after="0"/>
              <w:rPr>
                <w:sz w:val="20"/>
                <w:szCs w:val="20"/>
                <w:color w:val="auto"/>
              </w:rPr>
            </w:pPr>
            <w:r>
              <w:rPr>
                <w:rFonts w:ascii="Arial" w:cs="Arial" w:eastAsia="Arial" w:hAnsi="Arial"/>
                <w:sz w:val="16"/>
                <w:szCs w:val="16"/>
                <w:color w:val="auto"/>
              </w:rPr>
              <w:t>1,870,377</w:t>
            </w:r>
          </w:p>
        </w:tc>
        <w:tc>
          <w:tcPr>
            <w:tcW w:w="1280" w:type="dxa"/>
            <w:vAlign w:val="bottom"/>
            <w:vMerge w:val="restart"/>
            <w:shd w:val="clear" w:color="auto" w:fill="D8D8D8"/>
          </w:tcPr>
          <w:p>
            <w:pPr>
              <w:ind w:left="240"/>
              <w:spacing w:after="0"/>
              <w:rPr>
                <w:sz w:val="20"/>
                <w:szCs w:val="20"/>
                <w:color w:val="auto"/>
              </w:rPr>
            </w:pPr>
            <w:r>
              <w:rPr>
                <w:rFonts w:ascii="Arial" w:cs="Arial" w:eastAsia="Arial" w:hAnsi="Arial"/>
                <w:sz w:val="16"/>
                <w:szCs w:val="16"/>
                <w:color w:val="auto"/>
              </w:rPr>
              <w:t>Not Offered</w:t>
            </w:r>
          </w:p>
        </w:tc>
        <w:tc>
          <w:tcPr>
            <w:tcW w:w="0" w:type="dxa"/>
            <w:vAlign w:val="bottom"/>
          </w:tcPr>
          <w:p>
            <w:pPr>
              <w:spacing w:after="0"/>
              <w:rPr>
                <w:sz w:val="1"/>
                <w:szCs w:val="1"/>
                <w:color w:val="auto"/>
              </w:rPr>
            </w:pPr>
          </w:p>
        </w:tc>
      </w:tr>
      <w:tr>
        <w:trPr>
          <w:trHeight w:val="175"/>
        </w:trPr>
        <w:tc>
          <w:tcPr>
            <w:tcW w:w="3940" w:type="dxa"/>
            <w:vAlign w:val="bottom"/>
            <w:tcBorders>
              <w:bottom w:val="single" w:sz="8" w:color="D8D8D8"/>
            </w:tcBorders>
            <w:shd w:val="clear" w:color="auto" w:fill="D8D8D8"/>
          </w:tcPr>
          <w:p>
            <w:pPr>
              <w:spacing w:after="0"/>
              <w:rPr>
                <w:sz w:val="15"/>
                <w:szCs w:val="15"/>
                <w:color w:val="auto"/>
              </w:rPr>
            </w:pPr>
          </w:p>
        </w:tc>
        <w:tc>
          <w:tcPr>
            <w:tcW w:w="460" w:type="dxa"/>
            <w:vAlign w:val="bottom"/>
            <w:tcBorders>
              <w:bottom w:val="single" w:sz="8" w:color="D8D8D8"/>
            </w:tcBorders>
            <w:shd w:val="clear" w:color="auto" w:fill="D8D8D8"/>
          </w:tcPr>
          <w:p>
            <w:pPr>
              <w:spacing w:after="0"/>
              <w:rPr>
                <w:sz w:val="15"/>
                <w:szCs w:val="15"/>
                <w:color w:val="auto"/>
              </w:rPr>
            </w:pPr>
          </w:p>
        </w:tc>
        <w:tc>
          <w:tcPr>
            <w:tcW w:w="1200" w:type="dxa"/>
            <w:vAlign w:val="bottom"/>
            <w:tcBorders>
              <w:bottom w:val="single" w:sz="8" w:color="D8D8D8"/>
            </w:tcBorders>
            <w:vMerge w:val="continue"/>
            <w:shd w:val="clear" w:color="auto" w:fill="D8D8D8"/>
          </w:tcPr>
          <w:p>
            <w:pPr>
              <w:spacing w:after="0"/>
              <w:rPr>
                <w:sz w:val="15"/>
                <w:szCs w:val="15"/>
                <w:color w:val="auto"/>
              </w:rPr>
            </w:pPr>
          </w:p>
        </w:tc>
        <w:tc>
          <w:tcPr>
            <w:tcW w:w="1500" w:type="dxa"/>
            <w:vAlign w:val="bottom"/>
            <w:tcBorders>
              <w:bottom w:val="single" w:sz="8" w:color="D8D8D8"/>
            </w:tcBorders>
            <w:vMerge w:val="continue"/>
            <w:shd w:val="clear" w:color="auto" w:fill="D8D8D8"/>
          </w:tcPr>
          <w:p>
            <w:pPr>
              <w:spacing w:after="0"/>
              <w:rPr>
                <w:sz w:val="15"/>
                <w:szCs w:val="15"/>
                <w:color w:val="auto"/>
              </w:rPr>
            </w:pPr>
          </w:p>
        </w:tc>
        <w:tc>
          <w:tcPr>
            <w:tcW w:w="1280" w:type="dxa"/>
            <w:vAlign w:val="bottom"/>
            <w:tcBorders>
              <w:bottom w:val="single" w:sz="8" w:color="D8D8D8"/>
            </w:tcBorders>
            <w:vMerge w:val="continue"/>
            <w:shd w:val="clear" w:color="auto" w:fill="D8D8D8"/>
          </w:tcPr>
          <w:p>
            <w:pPr>
              <w:spacing w:after="0"/>
              <w:rPr>
                <w:sz w:val="15"/>
                <w:szCs w:val="15"/>
                <w:color w:val="auto"/>
              </w:rPr>
            </w:pPr>
          </w:p>
        </w:tc>
        <w:tc>
          <w:tcPr>
            <w:tcW w:w="1340" w:type="dxa"/>
            <w:vAlign w:val="bottom"/>
            <w:tcBorders>
              <w:bottom w:val="single" w:sz="8" w:color="D8D8D8"/>
            </w:tcBorders>
            <w:vMerge w:val="continue"/>
            <w:shd w:val="clear" w:color="auto" w:fill="D8D8D8"/>
          </w:tcPr>
          <w:p>
            <w:pPr>
              <w:spacing w:after="0"/>
              <w:rPr>
                <w:sz w:val="15"/>
                <w:szCs w:val="15"/>
                <w:color w:val="auto"/>
              </w:rPr>
            </w:pPr>
          </w:p>
        </w:tc>
        <w:tc>
          <w:tcPr>
            <w:tcW w:w="1280" w:type="dxa"/>
            <w:vAlign w:val="bottom"/>
            <w:tcBorders>
              <w:bottom w:val="single" w:sz="8" w:color="D8D8D8"/>
            </w:tcBorders>
            <w:vMerge w:val="continue"/>
            <w:shd w:val="clear" w:color="auto" w:fill="D8D8D8"/>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940" w:type="dxa"/>
            <w:vAlign w:val="bottom"/>
            <w:vMerge w:val="restart"/>
          </w:tcPr>
          <w:p>
            <w:pPr>
              <w:spacing w:after="0"/>
              <w:rPr>
                <w:sz w:val="20"/>
                <w:szCs w:val="20"/>
                <w:color w:val="auto"/>
              </w:rPr>
            </w:pPr>
            <w:r>
              <w:rPr>
                <w:rFonts w:ascii="Arial" w:cs="Arial" w:eastAsia="Arial" w:hAnsi="Arial"/>
                <w:sz w:val="16"/>
                <w:szCs w:val="16"/>
                <w:color w:val="auto"/>
              </w:rPr>
              <w:t>Sivasankaran Somasundaram (2), (7)</w:t>
            </w:r>
          </w:p>
        </w:tc>
        <w:tc>
          <w:tcPr>
            <w:tcW w:w="46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6"/>
                <w:szCs w:val="16"/>
                <w:color w:val="auto"/>
              </w:rPr>
              <w:t>Pension Plan</w:t>
            </w:r>
          </w:p>
        </w:tc>
        <w:tc>
          <w:tcPr>
            <w:tcW w:w="1500" w:type="dxa"/>
            <w:vAlign w:val="bottom"/>
          </w:tcPr>
          <w:p>
            <w:pPr>
              <w:jc w:val="right"/>
              <w:ind w:right="182"/>
              <w:spacing w:after="0"/>
              <w:rPr>
                <w:sz w:val="20"/>
                <w:szCs w:val="20"/>
                <w:color w:val="auto"/>
              </w:rPr>
            </w:pPr>
            <w:r>
              <w:rPr>
                <w:rFonts w:ascii="Arial" w:cs="Arial" w:eastAsia="Arial" w:hAnsi="Arial"/>
                <w:sz w:val="16"/>
                <w:szCs w:val="16"/>
                <w:color w:val="auto"/>
              </w:rPr>
              <w:t>14</w:t>
            </w:r>
          </w:p>
        </w:tc>
        <w:tc>
          <w:tcPr>
            <w:tcW w:w="1280" w:type="dxa"/>
            <w:vAlign w:val="bottom"/>
          </w:tcPr>
          <w:p>
            <w:pPr>
              <w:jc w:val="right"/>
              <w:ind w:right="182"/>
              <w:spacing w:after="0"/>
              <w:rPr>
                <w:sz w:val="20"/>
                <w:szCs w:val="20"/>
                <w:color w:val="auto"/>
              </w:rPr>
            </w:pPr>
            <w:r>
              <w:rPr>
                <w:rFonts w:ascii="Arial" w:cs="Arial" w:eastAsia="Arial" w:hAnsi="Arial"/>
                <w:sz w:val="16"/>
                <w:szCs w:val="16"/>
                <w:color w:val="auto"/>
              </w:rPr>
              <w:t>65</w:t>
            </w:r>
          </w:p>
        </w:tc>
        <w:tc>
          <w:tcPr>
            <w:tcW w:w="1340" w:type="dxa"/>
            <w:vAlign w:val="bottom"/>
          </w:tcPr>
          <w:p>
            <w:pPr>
              <w:jc w:val="right"/>
              <w:ind w:right="82"/>
              <w:spacing w:after="0"/>
              <w:rPr>
                <w:sz w:val="20"/>
                <w:szCs w:val="20"/>
                <w:color w:val="auto"/>
              </w:rPr>
            </w:pPr>
            <w:r>
              <w:rPr>
                <w:rFonts w:ascii="Arial" w:cs="Arial" w:eastAsia="Arial" w:hAnsi="Arial"/>
                <w:sz w:val="16"/>
                <w:szCs w:val="16"/>
                <w:color w:val="auto"/>
              </w:rPr>
              <w:t>429,803</w:t>
            </w:r>
          </w:p>
        </w:tc>
        <w:tc>
          <w:tcPr>
            <w:tcW w:w="1280" w:type="dxa"/>
            <w:vAlign w:val="bottom"/>
          </w:tcPr>
          <w:p>
            <w:pPr>
              <w:ind w:left="240"/>
              <w:spacing w:after="0"/>
              <w:rPr>
                <w:sz w:val="20"/>
                <w:szCs w:val="20"/>
                <w:color w:val="auto"/>
              </w:rPr>
            </w:pPr>
            <w:r>
              <w:rPr>
                <w:rFonts w:ascii="Arial" w:cs="Arial" w:eastAsia="Arial" w:hAnsi="Arial"/>
                <w:sz w:val="16"/>
                <w:szCs w:val="16"/>
                <w:color w:val="auto"/>
              </w:rPr>
              <w:t>Not Offered</w:t>
            </w:r>
          </w:p>
        </w:tc>
        <w:tc>
          <w:tcPr>
            <w:tcW w:w="0" w:type="dxa"/>
            <w:vAlign w:val="bottom"/>
          </w:tcPr>
          <w:p>
            <w:pPr>
              <w:spacing w:after="0"/>
              <w:rPr>
                <w:sz w:val="1"/>
                <w:szCs w:val="1"/>
                <w:color w:val="auto"/>
              </w:rPr>
            </w:pPr>
          </w:p>
        </w:tc>
      </w:tr>
      <w:tr>
        <w:trPr>
          <w:trHeight w:val="46"/>
        </w:trPr>
        <w:tc>
          <w:tcPr>
            <w:tcW w:w="3940" w:type="dxa"/>
            <w:vAlign w:val="bottom"/>
            <w:vMerge w:val="continue"/>
          </w:tcPr>
          <w:p>
            <w:pPr>
              <w:spacing w:after="0"/>
              <w:rPr>
                <w:sz w:val="4"/>
                <w:szCs w:val="4"/>
                <w:color w:val="auto"/>
              </w:rPr>
            </w:pPr>
          </w:p>
        </w:tc>
        <w:tc>
          <w:tcPr>
            <w:tcW w:w="460" w:type="dxa"/>
            <w:vAlign w:val="bottom"/>
            <w:tcBorders>
              <w:bottom w:val="single" w:sz="8" w:color="999999"/>
            </w:tcBorders>
          </w:tcPr>
          <w:p>
            <w:pPr>
              <w:spacing w:after="0"/>
              <w:rPr>
                <w:sz w:val="4"/>
                <w:szCs w:val="4"/>
                <w:color w:val="auto"/>
              </w:rPr>
            </w:pPr>
          </w:p>
        </w:tc>
        <w:tc>
          <w:tcPr>
            <w:tcW w:w="1200" w:type="dxa"/>
            <w:vAlign w:val="bottom"/>
            <w:tcBorders>
              <w:bottom w:val="single" w:sz="8" w:color="999999"/>
            </w:tcBorders>
          </w:tcPr>
          <w:p>
            <w:pPr>
              <w:spacing w:after="0"/>
              <w:rPr>
                <w:sz w:val="4"/>
                <w:szCs w:val="4"/>
                <w:color w:val="auto"/>
              </w:rPr>
            </w:pPr>
          </w:p>
        </w:tc>
        <w:tc>
          <w:tcPr>
            <w:tcW w:w="1500" w:type="dxa"/>
            <w:vAlign w:val="bottom"/>
            <w:tcBorders>
              <w:bottom w:val="single" w:sz="8" w:color="999999"/>
            </w:tcBorders>
          </w:tcPr>
          <w:p>
            <w:pPr>
              <w:spacing w:after="0"/>
              <w:rPr>
                <w:sz w:val="4"/>
                <w:szCs w:val="4"/>
                <w:color w:val="auto"/>
              </w:rPr>
            </w:pPr>
          </w:p>
        </w:tc>
        <w:tc>
          <w:tcPr>
            <w:tcW w:w="1280" w:type="dxa"/>
            <w:vAlign w:val="bottom"/>
            <w:tcBorders>
              <w:bottom w:val="single" w:sz="8" w:color="999999"/>
            </w:tcBorders>
          </w:tcPr>
          <w:p>
            <w:pPr>
              <w:spacing w:after="0"/>
              <w:rPr>
                <w:sz w:val="4"/>
                <w:szCs w:val="4"/>
                <w:color w:val="auto"/>
              </w:rPr>
            </w:pPr>
          </w:p>
        </w:tc>
        <w:tc>
          <w:tcPr>
            <w:tcW w:w="1340" w:type="dxa"/>
            <w:vAlign w:val="bottom"/>
            <w:tcBorders>
              <w:bottom w:val="single" w:sz="8" w:color="999999"/>
            </w:tcBorders>
          </w:tcPr>
          <w:p>
            <w:pPr>
              <w:spacing w:after="0"/>
              <w:rPr>
                <w:sz w:val="4"/>
                <w:szCs w:val="4"/>
                <w:color w:val="auto"/>
              </w:rPr>
            </w:pPr>
          </w:p>
        </w:tc>
        <w:tc>
          <w:tcPr>
            <w:tcW w:w="1280" w:type="dxa"/>
            <w:vAlign w:val="bottom"/>
            <w:tcBorders>
              <w:bottom w:val="single" w:sz="8" w:color="999999"/>
            </w:tcBorders>
          </w:tcPr>
          <w:p>
            <w:pPr>
              <w:spacing w:after="0"/>
              <w:rPr>
                <w:sz w:val="4"/>
                <w:szCs w:val="4"/>
                <w:color w:val="auto"/>
              </w:rPr>
            </w:pPr>
          </w:p>
        </w:tc>
        <w:tc>
          <w:tcPr>
            <w:tcW w:w="0" w:type="dxa"/>
            <w:vAlign w:val="bottom"/>
          </w:tcPr>
          <w:p>
            <w:pPr>
              <w:spacing w:after="0"/>
              <w:rPr>
                <w:sz w:val="1"/>
                <w:szCs w:val="1"/>
                <w:color w:val="auto"/>
              </w:rPr>
            </w:pPr>
          </w:p>
        </w:tc>
      </w:tr>
      <w:tr>
        <w:trPr>
          <w:trHeight w:val="82"/>
        </w:trPr>
        <w:tc>
          <w:tcPr>
            <w:tcW w:w="394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1200" w:type="dxa"/>
            <w:vAlign w:val="bottom"/>
            <w:vMerge w:val="restart"/>
          </w:tcPr>
          <w:p>
            <w:pPr>
              <w:spacing w:after="0"/>
              <w:rPr>
                <w:sz w:val="20"/>
                <w:szCs w:val="20"/>
                <w:color w:val="auto"/>
              </w:rPr>
            </w:pPr>
            <w:r>
              <w:rPr>
                <w:rFonts w:ascii="Arial" w:cs="Arial" w:eastAsia="Arial" w:hAnsi="Arial"/>
                <w:sz w:val="16"/>
                <w:szCs w:val="16"/>
                <w:color w:val="auto"/>
              </w:rPr>
              <w:t>PRP</w:t>
            </w:r>
          </w:p>
        </w:tc>
        <w:tc>
          <w:tcPr>
            <w:tcW w:w="1500" w:type="dxa"/>
            <w:vAlign w:val="bottom"/>
            <w:vMerge w:val="restart"/>
          </w:tcPr>
          <w:p>
            <w:pPr>
              <w:jc w:val="right"/>
              <w:ind w:right="182"/>
              <w:spacing w:after="0"/>
              <w:rPr>
                <w:sz w:val="20"/>
                <w:szCs w:val="20"/>
                <w:color w:val="auto"/>
              </w:rPr>
            </w:pPr>
            <w:r>
              <w:rPr>
                <w:rFonts w:ascii="Arial" w:cs="Arial" w:eastAsia="Arial" w:hAnsi="Arial"/>
                <w:sz w:val="16"/>
                <w:szCs w:val="16"/>
                <w:color w:val="auto"/>
              </w:rPr>
              <w:t>13.8</w:t>
            </w:r>
          </w:p>
        </w:tc>
        <w:tc>
          <w:tcPr>
            <w:tcW w:w="1280" w:type="dxa"/>
            <w:vAlign w:val="bottom"/>
            <w:vMerge w:val="restart"/>
          </w:tcPr>
          <w:p>
            <w:pPr>
              <w:jc w:val="right"/>
              <w:ind w:right="182"/>
              <w:spacing w:after="0"/>
              <w:rPr>
                <w:sz w:val="20"/>
                <w:szCs w:val="20"/>
                <w:color w:val="auto"/>
              </w:rPr>
            </w:pPr>
            <w:r>
              <w:rPr>
                <w:rFonts w:ascii="Arial" w:cs="Arial" w:eastAsia="Arial" w:hAnsi="Arial"/>
                <w:sz w:val="16"/>
                <w:szCs w:val="16"/>
                <w:color w:val="auto"/>
              </w:rPr>
              <w:t>65</w:t>
            </w:r>
          </w:p>
        </w:tc>
        <w:tc>
          <w:tcPr>
            <w:tcW w:w="1340" w:type="dxa"/>
            <w:vAlign w:val="bottom"/>
            <w:vMerge w:val="restart"/>
          </w:tcPr>
          <w:p>
            <w:pPr>
              <w:jc w:val="right"/>
              <w:ind w:right="82"/>
              <w:spacing w:after="0"/>
              <w:rPr>
                <w:sz w:val="20"/>
                <w:szCs w:val="20"/>
                <w:color w:val="auto"/>
              </w:rPr>
            </w:pPr>
            <w:r>
              <w:rPr>
                <w:rFonts w:ascii="Arial" w:cs="Arial" w:eastAsia="Arial" w:hAnsi="Arial"/>
                <w:sz w:val="16"/>
                <w:szCs w:val="16"/>
                <w:color w:val="auto"/>
              </w:rPr>
              <w:t>1,068,509</w:t>
            </w:r>
          </w:p>
        </w:tc>
        <w:tc>
          <w:tcPr>
            <w:tcW w:w="1280" w:type="dxa"/>
            <w:vAlign w:val="bottom"/>
            <w:vMerge w:val="restart"/>
          </w:tcPr>
          <w:p>
            <w:pPr>
              <w:ind w:left="240"/>
              <w:spacing w:after="0"/>
              <w:rPr>
                <w:sz w:val="20"/>
                <w:szCs w:val="20"/>
                <w:color w:val="auto"/>
              </w:rPr>
            </w:pPr>
            <w:r>
              <w:rPr>
                <w:rFonts w:ascii="Arial" w:cs="Arial" w:eastAsia="Arial" w:hAnsi="Arial"/>
                <w:sz w:val="16"/>
                <w:szCs w:val="16"/>
                <w:color w:val="auto"/>
              </w:rPr>
              <w:t>Not Offered</w:t>
            </w:r>
          </w:p>
        </w:tc>
        <w:tc>
          <w:tcPr>
            <w:tcW w:w="0" w:type="dxa"/>
            <w:vAlign w:val="bottom"/>
          </w:tcPr>
          <w:p>
            <w:pPr>
              <w:spacing w:after="0"/>
              <w:rPr>
                <w:sz w:val="1"/>
                <w:szCs w:val="1"/>
                <w:color w:val="auto"/>
              </w:rPr>
            </w:pPr>
          </w:p>
        </w:tc>
      </w:tr>
      <w:tr>
        <w:trPr>
          <w:trHeight w:val="148"/>
        </w:trPr>
        <w:tc>
          <w:tcPr>
            <w:tcW w:w="39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500" w:type="dxa"/>
            <w:vAlign w:val="bottom"/>
            <w:vMerge w:val="continue"/>
          </w:tcPr>
          <w:p>
            <w:pPr>
              <w:spacing w:after="0"/>
              <w:rPr>
                <w:sz w:val="12"/>
                <w:szCs w:val="12"/>
                <w:color w:val="auto"/>
              </w:rPr>
            </w:pPr>
          </w:p>
        </w:tc>
        <w:tc>
          <w:tcPr>
            <w:tcW w:w="1280" w:type="dxa"/>
            <w:vAlign w:val="bottom"/>
            <w:vMerge w:val="continue"/>
          </w:tcPr>
          <w:p>
            <w:pPr>
              <w:spacing w:after="0"/>
              <w:rPr>
                <w:sz w:val="12"/>
                <w:szCs w:val="12"/>
                <w:color w:val="auto"/>
              </w:rPr>
            </w:pPr>
          </w:p>
        </w:tc>
        <w:tc>
          <w:tcPr>
            <w:tcW w:w="1340" w:type="dxa"/>
            <w:vAlign w:val="bottom"/>
            <w:vMerge w:val="continue"/>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6"/>
        </w:trPr>
        <w:tc>
          <w:tcPr>
            <w:tcW w:w="39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3940" w:type="dxa"/>
            <w:vAlign w:val="bottom"/>
            <w:vMerge w:val="restart"/>
            <w:shd w:val="clear" w:color="auto" w:fill="D8D8D8"/>
          </w:tcPr>
          <w:p>
            <w:pPr>
              <w:spacing w:after="0"/>
              <w:rPr>
                <w:sz w:val="20"/>
                <w:szCs w:val="20"/>
                <w:color w:val="auto"/>
              </w:rPr>
            </w:pPr>
            <w:r>
              <w:rPr>
                <w:rFonts w:ascii="Arial" w:cs="Arial" w:eastAsia="Arial" w:hAnsi="Arial"/>
                <w:sz w:val="16"/>
                <w:szCs w:val="16"/>
                <w:color w:val="auto"/>
              </w:rPr>
              <w:t>William W. Spurgeon, Jr. (2), (5)</w:t>
            </w:r>
          </w:p>
        </w:tc>
        <w:tc>
          <w:tcPr>
            <w:tcW w:w="460" w:type="dxa"/>
            <w:vAlign w:val="bottom"/>
            <w:shd w:val="clear" w:color="auto" w:fill="D8D8D8"/>
          </w:tcPr>
          <w:p>
            <w:pPr>
              <w:spacing w:after="0"/>
              <w:rPr>
                <w:sz w:val="20"/>
                <w:szCs w:val="20"/>
                <w:color w:val="auto"/>
              </w:rPr>
            </w:pPr>
          </w:p>
        </w:tc>
        <w:tc>
          <w:tcPr>
            <w:tcW w:w="1200" w:type="dxa"/>
            <w:vAlign w:val="bottom"/>
            <w:shd w:val="clear" w:color="auto" w:fill="D8D8D8"/>
          </w:tcPr>
          <w:p>
            <w:pPr>
              <w:spacing w:after="0"/>
              <w:rPr>
                <w:sz w:val="20"/>
                <w:szCs w:val="20"/>
                <w:color w:val="auto"/>
              </w:rPr>
            </w:pPr>
            <w:r>
              <w:rPr>
                <w:rFonts w:ascii="Arial" w:cs="Arial" w:eastAsia="Arial" w:hAnsi="Arial"/>
                <w:sz w:val="16"/>
                <w:szCs w:val="16"/>
                <w:color w:val="auto"/>
              </w:rPr>
              <w:t>Pension Plan</w:t>
            </w:r>
          </w:p>
        </w:tc>
        <w:tc>
          <w:tcPr>
            <w:tcW w:w="1500" w:type="dxa"/>
            <w:vAlign w:val="bottom"/>
            <w:shd w:val="clear" w:color="auto" w:fill="D8D8D8"/>
          </w:tcPr>
          <w:p>
            <w:pPr>
              <w:jc w:val="right"/>
              <w:ind w:right="182"/>
              <w:spacing w:after="0"/>
              <w:rPr>
                <w:sz w:val="20"/>
                <w:szCs w:val="20"/>
                <w:color w:val="auto"/>
              </w:rPr>
            </w:pPr>
            <w:r>
              <w:rPr>
                <w:rFonts w:ascii="Arial" w:cs="Arial" w:eastAsia="Arial" w:hAnsi="Arial"/>
                <w:sz w:val="16"/>
                <w:szCs w:val="16"/>
                <w:color w:val="auto"/>
              </w:rPr>
              <w:t>25</w:t>
            </w:r>
          </w:p>
        </w:tc>
        <w:tc>
          <w:tcPr>
            <w:tcW w:w="1280" w:type="dxa"/>
            <w:vAlign w:val="bottom"/>
            <w:shd w:val="clear" w:color="auto" w:fill="D8D8D8"/>
          </w:tcPr>
          <w:p>
            <w:pPr>
              <w:jc w:val="right"/>
              <w:ind w:right="182"/>
              <w:spacing w:after="0"/>
              <w:rPr>
                <w:sz w:val="20"/>
                <w:szCs w:val="20"/>
                <w:color w:val="auto"/>
              </w:rPr>
            </w:pPr>
            <w:r>
              <w:rPr>
                <w:rFonts w:ascii="Arial" w:cs="Arial" w:eastAsia="Arial" w:hAnsi="Arial"/>
                <w:sz w:val="16"/>
                <w:szCs w:val="16"/>
                <w:color w:val="auto"/>
              </w:rPr>
              <w:t>65</w:t>
            </w:r>
          </w:p>
        </w:tc>
        <w:tc>
          <w:tcPr>
            <w:tcW w:w="1340" w:type="dxa"/>
            <w:vAlign w:val="bottom"/>
            <w:shd w:val="clear" w:color="auto" w:fill="D8D8D8"/>
          </w:tcPr>
          <w:p>
            <w:pPr>
              <w:jc w:val="right"/>
              <w:ind w:right="82"/>
              <w:spacing w:after="0"/>
              <w:rPr>
                <w:sz w:val="20"/>
                <w:szCs w:val="20"/>
                <w:color w:val="auto"/>
              </w:rPr>
            </w:pPr>
            <w:r>
              <w:rPr>
                <w:rFonts w:ascii="Arial" w:cs="Arial" w:eastAsia="Arial" w:hAnsi="Arial"/>
                <w:sz w:val="16"/>
                <w:szCs w:val="16"/>
                <w:color w:val="auto"/>
              </w:rPr>
              <w:t>968,715</w:t>
            </w:r>
          </w:p>
        </w:tc>
        <w:tc>
          <w:tcPr>
            <w:tcW w:w="1280" w:type="dxa"/>
            <w:vAlign w:val="bottom"/>
            <w:shd w:val="clear" w:color="auto" w:fill="D8D8D8"/>
          </w:tcPr>
          <w:p>
            <w:pPr>
              <w:ind w:left="240"/>
              <w:spacing w:after="0"/>
              <w:rPr>
                <w:sz w:val="20"/>
                <w:szCs w:val="20"/>
                <w:color w:val="auto"/>
              </w:rPr>
            </w:pPr>
            <w:r>
              <w:rPr>
                <w:rFonts w:ascii="Arial" w:cs="Arial" w:eastAsia="Arial" w:hAnsi="Arial"/>
                <w:sz w:val="16"/>
                <w:szCs w:val="16"/>
                <w:color w:val="auto"/>
              </w:rPr>
              <w:t>Not Offered</w:t>
            </w:r>
          </w:p>
        </w:tc>
        <w:tc>
          <w:tcPr>
            <w:tcW w:w="0" w:type="dxa"/>
            <w:vAlign w:val="bottom"/>
          </w:tcPr>
          <w:p>
            <w:pPr>
              <w:spacing w:after="0"/>
              <w:rPr>
                <w:sz w:val="1"/>
                <w:szCs w:val="1"/>
                <w:color w:val="auto"/>
              </w:rPr>
            </w:pPr>
          </w:p>
        </w:tc>
      </w:tr>
      <w:tr>
        <w:trPr>
          <w:trHeight w:val="148"/>
        </w:trPr>
        <w:tc>
          <w:tcPr>
            <w:tcW w:w="3940" w:type="dxa"/>
            <w:vAlign w:val="bottom"/>
            <w:vMerge w:val="continue"/>
            <w:shd w:val="clear" w:color="auto" w:fill="D8D8D8"/>
          </w:tcPr>
          <w:p>
            <w:pPr>
              <w:spacing w:after="0"/>
              <w:rPr>
                <w:sz w:val="12"/>
                <w:szCs w:val="12"/>
                <w:color w:val="auto"/>
              </w:rPr>
            </w:pPr>
          </w:p>
        </w:tc>
        <w:tc>
          <w:tcPr>
            <w:tcW w:w="460" w:type="dxa"/>
            <w:vAlign w:val="bottom"/>
            <w:shd w:val="clear" w:color="auto" w:fill="D8D8D8"/>
          </w:tcPr>
          <w:p>
            <w:pPr>
              <w:spacing w:after="0"/>
              <w:rPr>
                <w:sz w:val="12"/>
                <w:szCs w:val="12"/>
                <w:color w:val="auto"/>
              </w:rPr>
            </w:pPr>
          </w:p>
        </w:tc>
        <w:tc>
          <w:tcPr>
            <w:tcW w:w="1200" w:type="dxa"/>
            <w:vAlign w:val="bottom"/>
            <w:vMerge w:val="restart"/>
            <w:shd w:val="clear" w:color="auto" w:fill="D8D8D8"/>
          </w:tcPr>
          <w:p>
            <w:pPr>
              <w:spacing w:after="0"/>
              <w:rPr>
                <w:sz w:val="20"/>
                <w:szCs w:val="20"/>
                <w:color w:val="auto"/>
              </w:rPr>
            </w:pPr>
            <w:r>
              <w:rPr>
                <w:rFonts w:ascii="Arial" w:cs="Arial" w:eastAsia="Arial" w:hAnsi="Arial"/>
                <w:sz w:val="16"/>
                <w:szCs w:val="16"/>
                <w:color w:val="auto"/>
              </w:rPr>
              <w:t>PRP</w:t>
            </w:r>
          </w:p>
        </w:tc>
        <w:tc>
          <w:tcPr>
            <w:tcW w:w="1500" w:type="dxa"/>
            <w:vAlign w:val="bottom"/>
            <w:vMerge w:val="restart"/>
            <w:shd w:val="clear" w:color="auto" w:fill="D8D8D8"/>
          </w:tcPr>
          <w:p>
            <w:pPr>
              <w:jc w:val="right"/>
              <w:ind w:right="182"/>
              <w:spacing w:after="0"/>
              <w:rPr>
                <w:sz w:val="20"/>
                <w:szCs w:val="20"/>
                <w:color w:val="auto"/>
              </w:rPr>
            </w:pPr>
            <w:r>
              <w:rPr>
                <w:rFonts w:ascii="Arial" w:cs="Arial" w:eastAsia="Arial" w:hAnsi="Arial"/>
                <w:sz w:val="16"/>
                <w:szCs w:val="16"/>
                <w:color w:val="auto"/>
              </w:rPr>
              <w:t>24.9</w:t>
            </w:r>
          </w:p>
        </w:tc>
        <w:tc>
          <w:tcPr>
            <w:tcW w:w="1280" w:type="dxa"/>
            <w:vAlign w:val="bottom"/>
            <w:vMerge w:val="restart"/>
            <w:shd w:val="clear" w:color="auto" w:fill="D8D8D8"/>
          </w:tcPr>
          <w:p>
            <w:pPr>
              <w:jc w:val="right"/>
              <w:ind w:right="182"/>
              <w:spacing w:after="0"/>
              <w:rPr>
                <w:sz w:val="20"/>
                <w:szCs w:val="20"/>
                <w:color w:val="auto"/>
              </w:rPr>
            </w:pPr>
            <w:r>
              <w:rPr>
                <w:rFonts w:ascii="Arial" w:cs="Arial" w:eastAsia="Arial" w:hAnsi="Arial"/>
                <w:sz w:val="16"/>
                <w:szCs w:val="16"/>
                <w:color w:val="auto"/>
              </w:rPr>
              <w:t>65</w:t>
            </w:r>
          </w:p>
        </w:tc>
        <w:tc>
          <w:tcPr>
            <w:tcW w:w="1340" w:type="dxa"/>
            <w:vAlign w:val="bottom"/>
            <w:vMerge w:val="restart"/>
            <w:shd w:val="clear" w:color="auto" w:fill="D8D8D8"/>
          </w:tcPr>
          <w:p>
            <w:pPr>
              <w:jc w:val="right"/>
              <w:ind w:right="82"/>
              <w:spacing w:after="0"/>
              <w:rPr>
                <w:sz w:val="20"/>
                <w:szCs w:val="20"/>
                <w:color w:val="auto"/>
              </w:rPr>
            </w:pPr>
            <w:r>
              <w:rPr>
                <w:rFonts w:ascii="Arial" w:cs="Arial" w:eastAsia="Arial" w:hAnsi="Arial"/>
                <w:sz w:val="16"/>
                <w:szCs w:val="16"/>
                <w:color w:val="auto"/>
              </w:rPr>
              <w:t>6,312,737</w:t>
            </w:r>
          </w:p>
        </w:tc>
        <w:tc>
          <w:tcPr>
            <w:tcW w:w="1280" w:type="dxa"/>
            <w:vAlign w:val="bottom"/>
            <w:vMerge w:val="restart"/>
            <w:shd w:val="clear" w:color="auto" w:fill="D8D8D8"/>
          </w:tcPr>
          <w:p>
            <w:pPr>
              <w:ind w:left="240"/>
              <w:spacing w:after="0"/>
              <w:rPr>
                <w:sz w:val="20"/>
                <w:szCs w:val="20"/>
                <w:color w:val="auto"/>
              </w:rPr>
            </w:pPr>
            <w:r>
              <w:rPr>
                <w:rFonts w:ascii="Arial" w:cs="Arial" w:eastAsia="Arial" w:hAnsi="Arial"/>
                <w:sz w:val="16"/>
                <w:szCs w:val="16"/>
                <w:color w:val="auto"/>
              </w:rPr>
              <w:t>Not Offered</w:t>
            </w:r>
          </w:p>
        </w:tc>
        <w:tc>
          <w:tcPr>
            <w:tcW w:w="0" w:type="dxa"/>
            <w:vAlign w:val="bottom"/>
          </w:tcPr>
          <w:p>
            <w:pPr>
              <w:spacing w:after="0"/>
              <w:rPr>
                <w:sz w:val="1"/>
                <w:szCs w:val="1"/>
                <w:color w:val="auto"/>
              </w:rPr>
            </w:pPr>
          </w:p>
        </w:tc>
      </w:tr>
      <w:tr>
        <w:trPr>
          <w:trHeight w:val="175"/>
        </w:trPr>
        <w:tc>
          <w:tcPr>
            <w:tcW w:w="3940" w:type="dxa"/>
            <w:vAlign w:val="bottom"/>
            <w:tcBorders>
              <w:bottom w:val="single" w:sz="8" w:color="D8D8D8"/>
            </w:tcBorders>
            <w:shd w:val="clear" w:color="auto" w:fill="D8D8D8"/>
          </w:tcPr>
          <w:p>
            <w:pPr>
              <w:spacing w:after="0"/>
              <w:rPr>
                <w:sz w:val="15"/>
                <w:szCs w:val="15"/>
                <w:color w:val="auto"/>
              </w:rPr>
            </w:pPr>
          </w:p>
        </w:tc>
        <w:tc>
          <w:tcPr>
            <w:tcW w:w="460" w:type="dxa"/>
            <w:vAlign w:val="bottom"/>
            <w:tcBorders>
              <w:bottom w:val="single" w:sz="8" w:color="D8D8D8"/>
            </w:tcBorders>
            <w:shd w:val="clear" w:color="auto" w:fill="D8D8D8"/>
          </w:tcPr>
          <w:p>
            <w:pPr>
              <w:spacing w:after="0"/>
              <w:rPr>
                <w:sz w:val="15"/>
                <w:szCs w:val="15"/>
                <w:color w:val="auto"/>
              </w:rPr>
            </w:pPr>
          </w:p>
        </w:tc>
        <w:tc>
          <w:tcPr>
            <w:tcW w:w="1200" w:type="dxa"/>
            <w:vAlign w:val="bottom"/>
            <w:tcBorders>
              <w:bottom w:val="single" w:sz="8" w:color="D8D8D8"/>
            </w:tcBorders>
            <w:vMerge w:val="continue"/>
            <w:shd w:val="clear" w:color="auto" w:fill="D8D8D8"/>
          </w:tcPr>
          <w:p>
            <w:pPr>
              <w:spacing w:after="0"/>
              <w:rPr>
                <w:sz w:val="15"/>
                <w:szCs w:val="15"/>
                <w:color w:val="auto"/>
              </w:rPr>
            </w:pPr>
          </w:p>
        </w:tc>
        <w:tc>
          <w:tcPr>
            <w:tcW w:w="1500" w:type="dxa"/>
            <w:vAlign w:val="bottom"/>
            <w:tcBorders>
              <w:bottom w:val="single" w:sz="8" w:color="D8D8D8"/>
            </w:tcBorders>
            <w:vMerge w:val="continue"/>
            <w:shd w:val="clear" w:color="auto" w:fill="D8D8D8"/>
          </w:tcPr>
          <w:p>
            <w:pPr>
              <w:spacing w:after="0"/>
              <w:rPr>
                <w:sz w:val="15"/>
                <w:szCs w:val="15"/>
                <w:color w:val="auto"/>
              </w:rPr>
            </w:pPr>
          </w:p>
        </w:tc>
        <w:tc>
          <w:tcPr>
            <w:tcW w:w="1280" w:type="dxa"/>
            <w:vAlign w:val="bottom"/>
            <w:tcBorders>
              <w:bottom w:val="single" w:sz="8" w:color="D8D8D8"/>
            </w:tcBorders>
            <w:vMerge w:val="continue"/>
            <w:shd w:val="clear" w:color="auto" w:fill="D8D8D8"/>
          </w:tcPr>
          <w:p>
            <w:pPr>
              <w:spacing w:after="0"/>
              <w:rPr>
                <w:sz w:val="15"/>
                <w:szCs w:val="15"/>
                <w:color w:val="auto"/>
              </w:rPr>
            </w:pPr>
          </w:p>
        </w:tc>
        <w:tc>
          <w:tcPr>
            <w:tcW w:w="1340" w:type="dxa"/>
            <w:vAlign w:val="bottom"/>
            <w:tcBorders>
              <w:bottom w:val="single" w:sz="8" w:color="D8D8D8"/>
            </w:tcBorders>
            <w:vMerge w:val="continue"/>
            <w:shd w:val="clear" w:color="auto" w:fill="D8D8D8"/>
          </w:tcPr>
          <w:p>
            <w:pPr>
              <w:spacing w:after="0"/>
              <w:rPr>
                <w:sz w:val="15"/>
                <w:szCs w:val="15"/>
                <w:color w:val="auto"/>
              </w:rPr>
            </w:pPr>
          </w:p>
        </w:tc>
        <w:tc>
          <w:tcPr>
            <w:tcW w:w="1280" w:type="dxa"/>
            <w:vAlign w:val="bottom"/>
            <w:tcBorders>
              <w:bottom w:val="single" w:sz="8" w:color="D8D8D8"/>
            </w:tcBorders>
            <w:vMerge w:val="continue"/>
            <w:shd w:val="clear" w:color="auto" w:fill="D8D8D8"/>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9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2643505</wp:posOffset>
            </wp:positionH>
            <wp:positionV relativeFrom="paragraph">
              <wp:posOffset>-196215</wp:posOffset>
            </wp:positionV>
            <wp:extent cx="447992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479925" cy="8255"/>
                    </a:xfrm>
                    <a:prstGeom prst="rect">
                      <a:avLst/>
                    </a:prstGeom>
                    <a:noFill/>
                  </pic:spPr>
                </pic:pic>
              </a:graphicData>
            </a:graphic>
          </wp:anchor>
        </w:drawing>
        <w:drawing>
          <wp:anchor simplePos="0" relativeHeight="251657728" behindDoc="1" locked="0" layoutInCell="0" allowOverlap="1">
            <wp:simplePos x="0" y="0"/>
            <wp:positionH relativeFrom="column">
              <wp:posOffset>2643505</wp:posOffset>
            </wp:positionH>
            <wp:positionV relativeFrom="paragraph">
              <wp:posOffset>-932815</wp:posOffset>
            </wp:positionV>
            <wp:extent cx="447992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479925" cy="8255"/>
                    </a:xfrm>
                    <a:prstGeom prst="rect">
                      <a:avLst/>
                    </a:prstGeom>
                    <a:noFill/>
                  </pic:spPr>
                </pic:pic>
              </a:graphicData>
            </a:graphic>
          </wp:anchor>
        </w:drawing>
        <w:drawing>
          <wp:anchor simplePos="0" relativeHeight="251657728" behindDoc="1" locked="0" layoutInCell="0" allowOverlap="1">
            <wp:simplePos x="0" y="0"/>
            <wp:positionH relativeFrom="column">
              <wp:posOffset>2643505</wp:posOffset>
            </wp:positionH>
            <wp:positionV relativeFrom="paragraph">
              <wp:posOffset>-1669415</wp:posOffset>
            </wp:positionV>
            <wp:extent cx="447992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479925" cy="8255"/>
                    </a:xfrm>
                    <a:prstGeom prst="rect">
                      <a:avLst/>
                    </a:prstGeom>
                    <a:noFill/>
                  </pic:spPr>
                </pic:pic>
              </a:graphicData>
            </a:graphic>
          </wp:anchor>
        </w:drawing>
      </w:r>
    </w:p>
    <w:p>
      <w:pPr>
        <w:spacing w:after="0" w:line="33" w:lineRule="exact"/>
        <w:rPr>
          <w:sz w:val="20"/>
          <w:szCs w:val="20"/>
          <w:color w:val="auto"/>
        </w:rPr>
      </w:pPr>
    </w:p>
    <w:p>
      <w:pPr>
        <w:ind w:left="540" w:right="60" w:hanging="330"/>
        <w:spacing w:after="0" w:line="256" w:lineRule="auto"/>
        <w:tabs>
          <w:tab w:leader="none" w:pos="540" w:val="left"/>
        </w:tabs>
        <w:numPr>
          <w:ilvl w:val="0"/>
          <w:numId w:val="51"/>
        </w:numPr>
        <w:rPr>
          <w:rFonts w:ascii="Arial" w:cs="Arial" w:eastAsia="Arial" w:hAnsi="Arial"/>
          <w:sz w:val="16"/>
          <w:szCs w:val="16"/>
          <w:i w:val="1"/>
          <w:iCs w:val="1"/>
          <w:color w:val="auto"/>
        </w:rPr>
      </w:pPr>
      <w:r>
        <w:rPr>
          <w:rFonts w:ascii="Arial" w:cs="Arial" w:eastAsia="Arial" w:hAnsi="Arial"/>
          <w:sz w:val="16"/>
          <w:szCs w:val="16"/>
          <w:i w:val="1"/>
          <w:iCs w:val="1"/>
          <w:color w:val="auto"/>
        </w:rPr>
        <w:t>This amount was earned by the NEO over his years of service. The present value of benefits was calculated assuming that the executive will receive a single lump sum payment upon retirement at the later of his current age or age 65.</w:t>
      </w:r>
    </w:p>
    <w:p>
      <w:pPr>
        <w:spacing w:after="0" w:line="1" w:lineRule="exact"/>
        <w:rPr>
          <w:rFonts w:ascii="Arial" w:cs="Arial" w:eastAsia="Arial" w:hAnsi="Arial"/>
          <w:sz w:val="16"/>
          <w:szCs w:val="16"/>
          <w:i w:val="1"/>
          <w:iCs w:val="1"/>
          <w:color w:val="auto"/>
        </w:rPr>
      </w:pPr>
    </w:p>
    <w:p>
      <w:pPr>
        <w:ind w:left="540" w:hanging="330"/>
        <w:spacing w:after="0"/>
        <w:tabs>
          <w:tab w:leader="none" w:pos="540" w:val="left"/>
        </w:tabs>
        <w:numPr>
          <w:ilvl w:val="0"/>
          <w:numId w:val="51"/>
        </w:numPr>
        <w:rPr>
          <w:rFonts w:ascii="Arial" w:cs="Arial" w:eastAsia="Arial" w:hAnsi="Arial"/>
          <w:sz w:val="16"/>
          <w:szCs w:val="16"/>
          <w:i w:val="1"/>
          <w:iCs w:val="1"/>
          <w:color w:val="auto"/>
        </w:rPr>
      </w:pPr>
      <w:r>
        <w:rPr>
          <w:rFonts w:ascii="Arial" w:cs="Arial" w:eastAsia="Arial" w:hAnsi="Arial"/>
          <w:sz w:val="16"/>
          <w:szCs w:val="16"/>
          <w:i w:val="1"/>
          <w:iCs w:val="1"/>
          <w:color w:val="auto"/>
        </w:rPr>
        <w:t>Eligible to retire with the portion of his PRP benefit accrued through December 31, 2009 payable unreduced at age 62 with 10 years of service.</w:t>
      </w:r>
    </w:p>
    <w:p>
      <w:pPr>
        <w:spacing w:after="0" w:line="4" w:lineRule="exact"/>
        <w:rPr>
          <w:rFonts w:ascii="Arial" w:cs="Arial" w:eastAsia="Arial" w:hAnsi="Arial"/>
          <w:sz w:val="16"/>
          <w:szCs w:val="16"/>
          <w:i w:val="1"/>
          <w:iCs w:val="1"/>
          <w:color w:val="auto"/>
        </w:rPr>
      </w:pPr>
    </w:p>
    <w:p>
      <w:pPr>
        <w:ind w:left="540" w:right="220" w:hanging="330"/>
        <w:spacing w:after="0" w:line="246" w:lineRule="auto"/>
        <w:tabs>
          <w:tab w:leader="none" w:pos="540" w:val="left"/>
        </w:tabs>
        <w:numPr>
          <w:ilvl w:val="0"/>
          <w:numId w:val="51"/>
        </w:numPr>
        <w:rPr>
          <w:rFonts w:ascii="Arial" w:cs="Arial" w:eastAsia="Arial" w:hAnsi="Arial"/>
          <w:sz w:val="16"/>
          <w:szCs w:val="16"/>
          <w:i w:val="1"/>
          <w:iCs w:val="1"/>
          <w:color w:val="auto"/>
        </w:rPr>
      </w:pPr>
      <w:r>
        <w:rPr>
          <w:rFonts w:ascii="Arial" w:cs="Arial" w:eastAsia="Arial" w:hAnsi="Arial"/>
          <w:sz w:val="16"/>
          <w:szCs w:val="16"/>
          <w:i w:val="1"/>
          <w:iCs w:val="1"/>
          <w:color w:val="auto"/>
        </w:rPr>
        <w:t>Mr. Livingston’s benefit under the Dover pension plan is based on 13.25 years of service while at Dover (August 1, 1983 through October 31, 1987 and service after January 1, 2009) and 2.75 years which was earned prior to the date the company he worked for was acquired by Dover. The present value of Mr. Livingston’s PRP benefits assuming retirement at age 64 is $17,315,193.</w:t>
      </w:r>
    </w:p>
    <w:p>
      <w:pPr>
        <w:ind w:left="540" w:hanging="330"/>
        <w:spacing w:after="0"/>
        <w:tabs>
          <w:tab w:leader="none" w:pos="540" w:val="left"/>
        </w:tabs>
        <w:numPr>
          <w:ilvl w:val="0"/>
          <w:numId w:val="51"/>
        </w:numPr>
        <w:rPr>
          <w:rFonts w:ascii="Arial" w:cs="Arial" w:eastAsia="Arial" w:hAnsi="Arial"/>
          <w:sz w:val="16"/>
          <w:szCs w:val="16"/>
          <w:i w:val="1"/>
          <w:iCs w:val="1"/>
          <w:color w:val="auto"/>
        </w:rPr>
      </w:pPr>
      <w:r>
        <w:rPr>
          <w:rFonts w:ascii="Arial" w:cs="Arial" w:eastAsia="Arial" w:hAnsi="Arial"/>
          <w:sz w:val="16"/>
          <w:szCs w:val="16"/>
          <w:i w:val="1"/>
          <w:iCs w:val="1"/>
          <w:color w:val="auto"/>
        </w:rPr>
        <w:t>Mr. Livingston’s PRP service has been capped at 30 years per the plan document.</w:t>
      </w:r>
    </w:p>
    <w:p>
      <w:pPr>
        <w:spacing w:after="0" w:line="4" w:lineRule="exact"/>
        <w:rPr>
          <w:rFonts w:ascii="Arial" w:cs="Arial" w:eastAsia="Arial" w:hAnsi="Arial"/>
          <w:sz w:val="16"/>
          <w:szCs w:val="16"/>
          <w:i w:val="1"/>
          <w:iCs w:val="1"/>
          <w:color w:val="auto"/>
        </w:rPr>
      </w:pPr>
    </w:p>
    <w:p>
      <w:pPr>
        <w:ind w:left="540" w:hanging="330"/>
        <w:spacing w:after="0"/>
        <w:tabs>
          <w:tab w:leader="none" w:pos="540" w:val="left"/>
        </w:tabs>
        <w:numPr>
          <w:ilvl w:val="0"/>
          <w:numId w:val="51"/>
        </w:numPr>
        <w:rPr>
          <w:rFonts w:ascii="Arial" w:cs="Arial" w:eastAsia="Arial" w:hAnsi="Arial"/>
          <w:sz w:val="16"/>
          <w:szCs w:val="16"/>
          <w:i w:val="1"/>
          <w:iCs w:val="1"/>
          <w:color w:val="auto"/>
        </w:rPr>
      </w:pPr>
      <w:r>
        <w:rPr>
          <w:rFonts w:ascii="Arial" w:cs="Arial" w:eastAsia="Arial" w:hAnsi="Arial"/>
          <w:sz w:val="16"/>
          <w:szCs w:val="16"/>
          <w:i w:val="1"/>
          <w:iCs w:val="1"/>
          <w:color w:val="auto"/>
        </w:rPr>
        <w:t>The present value of Mr. Spurgeon’s PRP benefits assuming age 62 retirement age is $7,494,647.</w:t>
      </w:r>
    </w:p>
    <w:p>
      <w:pPr>
        <w:spacing w:after="0" w:line="4" w:lineRule="exact"/>
        <w:rPr>
          <w:rFonts w:ascii="Arial" w:cs="Arial" w:eastAsia="Arial" w:hAnsi="Arial"/>
          <w:sz w:val="16"/>
          <w:szCs w:val="16"/>
          <w:i w:val="1"/>
          <w:iCs w:val="1"/>
          <w:color w:val="auto"/>
        </w:rPr>
      </w:pPr>
    </w:p>
    <w:p>
      <w:pPr>
        <w:ind w:left="540" w:hanging="330"/>
        <w:spacing w:after="0"/>
        <w:tabs>
          <w:tab w:leader="none" w:pos="540" w:val="left"/>
        </w:tabs>
        <w:numPr>
          <w:ilvl w:val="0"/>
          <w:numId w:val="51"/>
        </w:numPr>
        <w:rPr>
          <w:rFonts w:ascii="Arial" w:cs="Arial" w:eastAsia="Arial" w:hAnsi="Arial"/>
          <w:sz w:val="16"/>
          <w:szCs w:val="16"/>
          <w:i w:val="1"/>
          <w:iCs w:val="1"/>
          <w:color w:val="auto"/>
        </w:rPr>
      </w:pPr>
      <w:r>
        <w:rPr>
          <w:rFonts w:ascii="Arial" w:cs="Arial" w:eastAsia="Arial" w:hAnsi="Arial"/>
          <w:sz w:val="16"/>
          <w:szCs w:val="16"/>
          <w:i w:val="1"/>
          <w:iCs w:val="1"/>
          <w:color w:val="auto"/>
        </w:rPr>
        <w:t>The present value of Mr. Fincher’s PRP benefits assuming age 62 retirement age is $2,324,747.</w:t>
      </w:r>
    </w:p>
    <w:p>
      <w:pPr>
        <w:spacing w:after="0" w:line="4" w:lineRule="exact"/>
        <w:rPr>
          <w:rFonts w:ascii="Arial" w:cs="Arial" w:eastAsia="Arial" w:hAnsi="Arial"/>
          <w:sz w:val="16"/>
          <w:szCs w:val="16"/>
          <w:i w:val="1"/>
          <w:iCs w:val="1"/>
          <w:color w:val="auto"/>
        </w:rPr>
      </w:pPr>
    </w:p>
    <w:p>
      <w:pPr>
        <w:ind w:left="540" w:hanging="330"/>
        <w:spacing w:after="0"/>
        <w:tabs>
          <w:tab w:leader="none" w:pos="540" w:val="left"/>
        </w:tabs>
        <w:numPr>
          <w:ilvl w:val="0"/>
          <w:numId w:val="51"/>
        </w:numPr>
        <w:rPr>
          <w:rFonts w:ascii="Arial" w:cs="Arial" w:eastAsia="Arial" w:hAnsi="Arial"/>
          <w:sz w:val="16"/>
          <w:szCs w:val="16"/>
          <w:i w:val="1"/>
          <w:iCs w:val="1"/>
          <w:color w:val="auto"/>
        </w:rPr>
      </w:pPr>
      <w:r>
        <w:rPr>
          <w:rFonts w:ascii="Arial" w:cs="Arial" w:eastAsia="Arial" w:hAnsi="Arial"/>
          <w:sz w:val="16"/>
          <w:szCs w:val="16"/>
          <w:i w:val="1"/>
          <w:iCs w:val="1"/>
          <w:color w:val="auto"/>
        </w:rPr>
        <w:t>The present value of Mr. Somasundaram’s PRP benefits assuming age 62 retirement age is $1,255,473.</w:t>
      </w:r>
    </w:p>
    <w:p>
      <w:pPr>
        <w:spacing w:after="0" w:line="221" w:lineRule="exact"/>
        <w:rPr>
          <w:sz w:val="20"/>
          <w:szCs w:val="20"/>
          <w:color w:val="auto"/>
        </w:rPr>
      </w:pPr>
    </w:p>
    <w:p>
      <w:pPr>
        <w:ind w:left="220" w:right="20"/>
        <w:spacing w:after="0" w:line="248" w:lineRule="auto"/>
        <w:rPr>
          <w:sz w:val="20"/>
          <w:szCs w:val="20"/>
          <w:color w:val="auto"/>
        </w:rPr>
      </w:pPr>
      <w:r>
        <w:rPr>
          <w:rFonts w:ascii="Arial" w:cs="Arial" w:eastAsia="Arial" w:hAnsi="Arial"/>
          <w:sz w:val="16"/>
          <w:szCs w:val="16"/>
          <w:color w:val="auto"/>
        </w:rPr>
        <w:t>The amounts shown in the Pension Benefits table above are actuarial present values of the benefits accumulated through December 31, 2017. An actuarial present value is calculated by estimating expected future payments starting at an assumed retirement age, weighting the estimated payments by the estimated probability of surviving to each post-retirement age, and discounting the weighted payments at an assumed discount rate to reflect the time value of money. The actuarial present value represents an estimate of the amount which, if invested today at the assumed discount rate, would be sufficient on an average basis to provide estimated future payments totaling the current accumulated benefit. For purposes of the table, the assumed retirement age for each NEO is 65, the normal retirement age under each plan. Actual benefit present values will vary from these estimates depending on many factors, including an executive’s actual retirement age.</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32406B"/>
        </w:rPr>
        <w:t>Pension Plan</w:t>
      </w:r>
    </w:p>
    <w:p>
      <w:pPr>
        <w:spacing w:after="0" w:line="106" w:lineRule="exact"/>
        <w:rPr>
          <w:sz w:val="20"/>
          <w:szCs w:val="20"/>
          <w:color w:val="auto"/>
        </w:rPr>
      </w:pPr>
    </w:p>
    <w:p>
      <w:pPr>
        <w:ind w:left="220" w:right="120"/>
        <w:spacing w:after="0" w:line="253" w:lineRule="auto"/>
        <w:rPr>
          <w:sz w:val="20"/>
          <w:szCs w:val="20"/>
          <w:color w:val="auto"/>
        </w:rPr>
      </w:pPr>
      <w:r>
        <w:rPr>
          <w:rFonts w:ascii="Arial" w:cs="Arial" w:eastAsia="Arial" w:hAnsi="Arial"/>
          <w:sz w:val="16"/>
          <w:szCs w:val="16"/>
          <w:color w:val="auto"/>
        </w:rPr>
        <w:t>We have a pension plan for which Dover employees, and the salaried employees of our participating subsidiaries, were eligible to become participants after they completed one year of service. Benefits under the pension plan for Dover employees, including those for the applicable NEOs, are determined by multiplying a participant’s years of credited service (up to a maximum of 35 years) by a percentage of their final average compensation, subject to</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61</w:t>
      </w:r>
    </w:p>
    <w:p>
      <w:pPr>
        <w:sectPr>
          <w:pgSz w:w="11900" w:h="16838" w:orient="portrait"/>
          <w:cols w:equalWidth="0" w:num="1">
            <w:col w:w="11220"/>
          </w:cols>
          <w:pgMar w:left="240" w:top="459" w:right="4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EXECUTIVE COMPENSATION TABLES</w:t>
      </w:r>
    </w:p>
    <w:p>
      <w:pPr>
        <w:spacing w:after="0" w:line="173" w:lineRule="exact"/>
        <w:rPr>
          <w:sz w:val="20"/>
          <w:szCs w:val="20"/>
          <w:color w:val="auto"/>
        </w:rPr>
      </w:pPr>
    </w:p>
    <w:p>
      <w:pPr>
        <w:ind w:left="220" w:right="400"/>
        <w:spacing w:after="0" w:line="260" w:lineRule="auto"/>
        <w:rPr>
          <w:sz w:val="20"/>
          <w:szCs w:val="20"/>
          <w:color w:val="auto"/>
        </w:rPr>
      </w:pPr>
      <w:r>
        <w:rPr>
          <w:rFonts w:ascii="Arial" w:cs="Arial" w:eastAsia="Arial" w:hAnsi="Arial"/>
          <w:sz w:val="16"/>
          <w:szCs w:val="16"/>
          <w:color w:val="auto"/>
        </w:rPr>
        <w:t>statutory limits applicable to tax-qualified pension plans. Benefits for a number of the participating subsidiaries are determined under different benefit formulae.</w:t>
      </w:r>
    </w:p>
    <w:p>
      <w:pPr>
        <w:spacing w:after="0" w:line="168" w:lineRule="exact"/>
        <w:rPr>
          <w:sz w:val="20"/>
          <w:szCs w:val="20"/>
          <w:color w:val="auto"/>
        </w:rPr>
      </w:pPr>
    </w:p>
    <w:p>
      <w:pPr>
        <w:ind w:left="220" w:right="60"/>
        <w:spacing w:after="0" w:line="253" w:lineRule="auto"/>
        <w:rPr>
          <w:sz w:val="20"/>
          <w:szCs w:val="20"/>
          <w:color w:val="auto"/>
        </w:rPr>
      </w:pPr>
      <w:r>
        <w:rPr>
          <w:rFonts w:ascii="Arial" w:cs="Arial" w:eastAsia="Arial" w:hAnsi="Arial"/>
          <w:sz w:val="16"/>
          <w:szCs w:val="16"/>
          <w:color w:val="auto"/>
        </w:rPr>
        <w:t>Pension plan participants generally vest in their benefits after five years of employment or, if earlier, upon reaching age 65, which is the normal retirement age under the plan. All NEOs who participate in the pension plan are vested in their pension plan benefits and are eligible to begin receiving reduced benefits if their employment terminates before normal retirement age.</w:t>
      </w:r>
    </w:p>
    <w:p>
      <w:pPr>
        <w:spacing w:after="0" w:line="160" w:lineRule="exact"/>
        <w:rPr>
          <w:sz w:val="20"/>
          <w:szCs w:val="20"/>
          <w:color w:val="auto"/>
        </w:rPr>
      </w:pPr>
    </w:p>
    <w:p>
      <w:pPr>
        <w:ind w:left="220" w:right="20"/>
        <w:spacing w:after="0" w:line="253" w:lineRule="auto"/>
        <w:rPr>
          <w:sz w:val="20"/>
          <w:szCs w:val="20"/>
          <w:color w:val="auto"/>
        </w:rPr>
      </w:pPr>
      <w:r>
        <w:rPr>
          <w:rFonts w:ascii="Arial" w:cs="Arial" w:eastAsia="Arial" w:hAnsi="Arial"/>
          <w:sz w:val="16"/>
          <w:szCs w:val="16"/>
          <w:color w:val="auto"/>
        </w:rPr>
        <w:t>Effective December 31, 2013, the pension plan is closed to new employees. All pension eligible employees as of December 31, 2013 will continue to earn pension benefits through December 31, 2023 as long as they remain employed by an operating company participating in the plan. It is Dover’s present intention to eliminate any future benefit accruals after December 31, 2023.</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32406B"/>
        </w:rPr>
        <w:t>Pension Replacement Plan</w:t>
      </w:r>
    </w:p>
    <w:p>
      <w:pPr>
        <w:spacing w:after="0" w:line="92" w:lineRule="exact"/>
        <w:rPr>
          <w:sz w:val="20"/>
          <w:szCs w:val="20"/>
          <w:color w:val="auto"/>
        </w:rPr>
      </w:pPr>
    </w:p>
    <w:p>
      <w:pPr>
        <w:ind w:left="220" w:right="20"/>
        <w:spacing w:after="0" w:line="250" w:lineRule="auto"/>
        <w:rPr>
          <w:sz w:val="20"/>
          <w:szCs w:val="20"/>
          <w:color w:val="auto"/>
        </w:rPr>
      </w:pPr>
      <w:r>
        <w:rPr>
          <w:rFonts w:ascii="Arial" w:cs="Arial" w:eastAsia="Arial" w:hAnsi="Arial"/>
          <w:sz w:val="16"/>
          <w:szCs w:val="16"/>
          <w:color w:val="auto"/>
        </w:rPr>
        <w:t>We also maintain the PRP, which is a non-qualified plan for tax purposes, to provide benefits to certain employees whose compensation and pension plan benefits are greater than the compensation and benefit limits applicable to tax-qualified pension plans. Prior to January 1, 2010, our plan which provided non-qualified retirement benefits was the Supplemental Executive Retirement Plan (“SERP”). Effective January 1, 2010, the SERP was amended to provide reduced benefits that are more consistent with the benefits provided under the pension plan and its name was changed to the PRP.</w:t>
      </w:r>
    </w:p>
    <w:p>
      <w:pPr>
        <w:spacing w:after="0" w:line="178" w:lineRule="exact"/>
        <w:rPr>
          <w:sz w:val="20"/>
          <w:szCs w:val="20"/>
          <w:color w:val="auto"/>
        </w:rPr>
      </w:pPr>
    </w:p>
    <w:p>
      <w:pPr>
        <w:ind w:left="220" w:right="100"/>
        <w:spacing w:after="0" w:line="253" w:lineRule="auto"/>
        <w:rPr>
          <w:sz w:val="20"/>
          <w:szCs w:val="20"/>
          <w:color w:val="auto"/>
        </w:rPr>
      </w:pPr>
      <w:r>
        <w:rPr>
          <w:rFonts w:ascii="Arial" w:cs="Arial" w:eastAsia="Arial" w:hAnsi="Arial"/>
          <w:sz w:val="16"/>
          <w:szCs w:val="16"/>
          <w:color w:val="auto"/>
        </w:rPr>
        <w:t>Employees are eligible to participate in the PRP if they hold certain positions within Dover, or its subsidiaries, are U.S. taxpayers and earn more than a set percentage above the Internal Revenue Code’s compensation limits for tax-qualified pension plans. Dover’s CEO may designate other employees as eligible and may revoke the eligibility of participants.</w:t>
      </w:r>
    </w:p>
    <w:p>
      <w:pPr>
        <w:spacing w:after="0" w:line="160" w:lineRule="exact"/>
        <w:rPr>
          <w:sz w:val="20"/>
          <w:szCs w:val="20"/>
          <w:color w:val="auto"/>
        </w:rPr>
      </w:pPr>
    </w:p>
    <w:p>
      <w:pPr>
        <w:ind w:left="220" w:right="240"/>
        <w:spacing w:after="0" w:line="250" w:lineRule="auto"/>
        <w:rPr>
          <w:sz w:val="20"/>
          <w:szCs w:val="20"/>
          <w:color w:val="auto"/>
        </w:rPr>
      </w:pPr>
      <w:r>
        <w:rPr>
          <w:rFonts w:ascii="Arial" w:cs="Arial" w:eastAsia="Arial" w:hAnsi="Arial"/>
          <w:sz w:val="16"/>
          <w:szCs w:val="16"/>
          <w:color w:val="auto"/>
        </w:rPr>
        <w:t>The formula for determining benefits accrued under the PRP after December 31, 2009, before offsets, is determined using the same benefit formula as under the pension plan, except that the Internal Revenue Code’s limits on compensation and benefits applicable to tax-qualified pension plans will not apply. Benefits under the former SERP, before offsets, were determined by multiplying the participant’s years of actual service with Dover companies, plus, in limited cases, prior service credit by a percentage of the participant’s final average compensation as defined under the plan.</w:t>
      </w:r>
    </w:p>
    <w:p>
      <w:pPr>
        <w:spacing w:after="0" w:line="164" w:lineRule="exact"/>
        <w:rPr>
          <w:sz w:val="20"/>
          <w:szCs w:val="20"/>
          <w:color w:val="auto"/>
        </w:rPr>
      </w:pPr>
    </w:p>
    <w:p>
      <w:pPr>
        <w:ind w:left="220" w:right="180"/>
        <w:spacing w:after="0" w:line="249" w:lineRule="auto"/>
        <w:rPr>
          <w:sz w:val="20"/>
          <w:szCs w:val="20"/>
          <w:color w:val="auto"/>
        </w:rPr>
      </w:pPr>
      <w:r>
        <w:rPr>
          <w:rFonts w:ascii="Arial" w:cs="Arial" w:eastAsia="Arial" w:hAnsi="Arial"/>
          <w:sz w:val="16"/>
          <w:szCs w:val="16"/>
          <w:color w:val="auto"/>
        </w:rPr>
        <w:t>Benefits payable under the PRP or SERP are reduced by the amount of Company-provided benefits under any other retirement plans, including the pension plan, as well as the Company-paid portion of social security benefits. PRP participants must complete five years of service to vest in their benefits. All NEOs who participate in the PRP are fully vested in their benefits and will commence receiving benefits upon termination of employment. PRP benefits may be forfeited for “cause” (defined as conviction of a felony which places a Dover company at legal or other risk or is expected to cause substantial harm to the business of a Dover company or its relationships with employees, distributors, customers or suppliers).</w:t>
      </w:r>
    </w:p>
    <w:p>
      <w:pPr>
        <w:spacing w:after="0" w:line="179" w:lineRule="exact"/>
        <w:rPr>
          <w:sz w:val="20"/>
          <w:szCs w:val="20"/>
          <w:color w:val="auto"/>
        </w:rPr>
      </w:pPr>
    </w:p>
    <w:p>
      <w:pPr>
        <w:ind w:left="220" w:right="60"/>
        <w:spacing w:after="0" w:line="250" w:lineRule="auto"/>
        <w:rPr>
          <w:sz w:val="20"/>
          <w:szCs w:val="20"/>
          <w:color w:val="auto"/>
        </w:rPr>
      </w:pPr>
      <w:r>
        <w:rPr>
          <w:rFonts w:ascii="Arial" w:cs="Arial" w:eastAsia="Arial" w:hAnsi="Arial"/>
          <w:sz w:val="16"/>
          <w:szCs w:val="16"/>
          <w:color w:val="auto"/>
        </w:rPr>
        <w:t>Normal retirement age for purposes of the PRP is age 65. Certain employees who were participants on or before March 1, 2010 will be entitled to receive the portion of their benefits that accrued through December 31, 2009 without any reduction due to early retirement if they retire after they reach age 62 and complete 10 years of service. Generally, benefits accrued after December 31, 2009 will be subject to early retirement reduction factors consistent with the reduction factors in the pension plan.</w:t>
      </w:r>
    </w:p>
    <w:p>
      <w:pPr>
        <w:spacing w:after="0" w:line="164" w:lineRule="exact"/>
        <w:rPr>
          <w:sz w:val="20"/>
          <w:szCs w:val="20"/>
          <w:color w:val="auto"/>
        </w:rPr>
      </w:pPr>
    </w:p>
    <w:p>
      <w:pPr>
        <w:jc w:val="both"/>
        <w:ind w:left="220" w:right="300"/>
        <w:spacing w:after="0" w:line="253" w:lineRule="auto"/>
        <w:rPr>
          <w:sz w:val="20"/>
          <w:szCs w:val="20"/>
          <w:color w:val="auto"/>
        </w:rPr>
      </w:pPr>
      <w:r>
        <w:rPr>
          <w:rFonts w:ascii="Arial" w:cs="Arial" w:eastAsia="Arial" w:hAnsi="Arial"/>
          <w:sz w:val="16"/>
          <w:szCs w:val="16"/>
          <w:color w:val="auto"/>
        </w:rPr>
        <w:t>Effective December 31, 2013, the PRP is closed to new employees. All eligible employees as of December 31, 2013 will continue to earn to their PRP benefits through December 31, 2023 as long as they remain employed by Dover and its affiliates. It is Dover’s intention to eliminate any future benefit accruals after December 31, 2023, consistent with the freezing of benefit accruals under the pension plan.</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62</w:t>
      </w:r>
    </w:p>
    <w:p>
      <w:pPr>
        <w:sectPr>
          <w:pgSz w:w="11900" w:h="16838" w:orient="portrait"/>
          <w:cols w:equalWidth="0" w:num="1">
            <w:col w:w="11220"/>
          </w:cols>
          <w:pgMar w:left="240" w:top="459" w:right="4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EXECUTIVE COMPENSATION TABLES</w:t>
      </w:r>
    </w:p>
    <w:p>
      <w:pPr>
        <w:spacing w:after="0" w:line="139"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32406B"/>
        </w:rPr>
        <w:t>Nonqualified Deferred Compensation in 2017</w:t>
      </w:r>
    </w:p>
    <w:p>
      <w:pPr>
        <w:spacing w:after="0" w:line="245"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37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ind w:left="100"/>
              <w:spacing w:after="0"/>
              <w:rPr>
                <w:sz w:val="20"/>
                <w:szCs w:val="20"/>
                <w:color w:val="auto"/>
              </w:rPr>
            </w:pPr>
            <w:r>
              <w:rPr>
                <w:rFonts w:ascii="Arial" w:cs="Arial" w:eastAsia="Arial" w:hAnsi="Arial"/>
                <w:sz w:val="14"/>
                <w:szCs w:val="14"/>
                <w:b w:val="1"/>
                <w:bCs w:val="1"/>
                <w:color w:val="auto"/>
              </w:rPr>
              <w:t>Executive</w:t>
            </w:r>
          </w:p>
        </w:tc>
        <w:tc>
          <w:tcPr>
            <w:tcW w:w="1200" w:type="dxa"/>
            <w:vAlign w:val="bottom"/>
            <w:tcBorders>
              <w:top w:val="single" w:sz="8" w:color="auto"/>
            </w:tcBorders>
          </w:tcPr>
          <w:p>
            <w:pPr>
              <w:ind w:left="120"/>
              <w:spacing w:after="0"/>
              <w:rPr>
                <w:sz w:val="20"/>
                <w:szCs w:val="20"/>
                <w:color w:val="auto"/>
              </w:rPr>
            </w:pPr>
            <w:r>
              <w:rPr>
                <w:rFonts w:ascii="Arial" w:cs="Arial" w:eastAsia="Arial" w:hAnsi="Arial"/>
                <w:sz w:val="14"/>
                <w:szCs w:val="14"/>
                <w:b w:val="1"/>
                <w:bCs w:val="1"/>
                <w:color w:val="auto"/>
              </w:rPr>
              <w:t>Registrant</w:t>
            </w:r>
          </w:p>
        </w:tc>
        <w:tc>
          <w:tcPr>
            <w:tcW w:w="980" w:type="dxa"/>
            <w:vAlign w:val="bottom"/>
            <w:tcBorders>
              <w:top w:val="single" w:sz="8" w:color="auto"/>
            </w:tcBorders>
          </w:tcPr>
          <w:p>
            <w:pPr>
              <w:ind w:left="140"/>
              <w:spacing w:after="0"/>
              <w:rPr>
                <w:sz w:val="20"/>
                <w:szCs w:val="20"/>
                <w:color w:val="auto"/>
              </w:rPr>
            </w:pPr>
            <w:r>
              <w:rPr>
                <w:rFonts w:ascii="Arial" w:cs="Arial" w:eastAsia="Arial" w:hAnsi="Arial"/>
                <w:sz w:val="14"/>
                <w:szCs w:val="14"/>
                <w:b w:val="1"/>
                <w:bCs w:val="1"/>
                <w:color w:val="auto"/>
              </w:rPr>
              <w:t>Aggregate</w:t>
            </w:r>
          </w:p>
        </w:tc>
        <w:tc>
          <w:tcPr>
            <w:tcW w:w="1140" w:type="dxa"/>
            <w:vAlign w:val="bottom"/>
            <w:tcBorders>
              <w:top w:val="single" w:sz="8" w:color="auto"/>
            </w:tcBorders>
          </w:tcPr>
          <w:p>
            <w:pPr>
              <w:ind w:left="140"/>
              <w:spacing w:after="0"/>
              <w:rPr>
                <w:sz w:val="20"/>
                <w:szCs w:val="20"/>
                <w:color w:val="auto"/>
              </w:rPr>
            </w:pPr>
            <w:r>
              <w:rPr>
                <w:rFonts w:ascii="Arial" w:cs="Arial" w:eastAsia="Arial" w:hAnsi="Arial"/>
                <w:sz w:val="14"/>
                <w:szCs w:val="14"/>
                <w:b w:val="1"/>
                <w:bCs w:val="1"/>
                <w:color w:val="auto"/>
              </w:rPr>
              <w:t>Aggregate</w:t>
            </w:r>
          </w:p>
        </w:tc>
        <w:tc>
          <w:tcPr>
            <w:tcW w:w="980" w:type="dxa"/>
            <w:vAlign w:val="bottom"/>
            <w:tcBorders>
              <w:top w:val="single" w:sz="8" w:color="auto"/>
            </w:tcBorders>
          </w:tcPr>
          <w:p>
            <w:pPr>
              <w:ind w:left="8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80" w:type="dxa"/>
            <w:vAlign w:val="bottom"/>
          </w:tcPr>
          <w:p>
            <w:pPr>
              <w:ind w:left="100"/>
              <w:spacing w:after="0"/>
              <w:rPr>
                <w:sz w:val="20"/>
                <w:szCs w:val="20"/>
                <w:color w:val="auto"/>
              </w:rPr>
            </w:pPr>
            <w:r>
              <w:rPr>
                <w:rFonts w:ascii="Arial" w:cs="Arial" w:eastAsia="Arial" w:hAnsi="Arial"/>
                <w:sz w:val="14"/>
                <w:szCs w:val="14"/>
                <w:b w:val="1"/>
                <w:bCs w:val="1"/>
                <w:color w:val="auto"/>
              </w:rPr>
              <w:t>contributions</w:t>
            </w:r>
          </w:p>
        </w:tc>
        <w:tc>
          <w:tcPr>
            <w:tcW w:w="1200" w:type="dxa"/>
            <w:vAlign w:val="bottom"/>
          </w:tcPr>
          <w:p>
            <w:pPr>
              <w:ind w:left="120"/>
              <w:spacing w:after="0"/>
              <w:rPr>
                <w:sz w:val="20"/>
                <w:szCs w:val="20"/>
                <w:color w:val="auto"/>
              </w:rPr>
            </w:pPr>
            <w:r>
              <w:rPr>
                <w:rFonts w:ascii="Arial" w:cs="Arial" w:eastAsia="Arial" w:hAnsi="Arial"/>
                <w:sz w:val="14"/>
                <w:szCs w:val="14"/>
                <w:b w:val="1"/>
                <w:bCs w:val="1"/>
                <w:color w:val="auto"/>
              </w:rPr>
              <w:t>contributions</w:t>
            </w:r>
          </w:p>
        </w:tc>
        <w:tc>
          <w:tcPr>
            <w:tcW w:w="980" w:type="dxa"/>
            <w:vAlign w:val="bottom"/>
          </w:tcPr>
          <w:p>
            <w:pPr>
              <w:ind w:left="140"/>
              <w:spacing w:after="0"/>
              <w:rPr>
                <w:sz w:val="20"/>
                <w:szCs w:val="20"/>
                <w:color w:val="auto"/>
              </w:rPr>
            </w:pPr>
            <w:r>
              <w:rPr>
                <w:rFonts w:ascii="Arial" w:cs="Arial" w:eastAsia="Arial" w:hAnsi="Arial"/>
                <w:sz w:val="14"/>
                <w:szCs w:val="14"/>
                <w:b w:val="1"/>
                <w:bCs w:val="1"/>
                <w:color w:val="auto"/>
              </w:rPr>
              <w:t>earnings</w:t>
            </w:r>
          </w:p>
        </w:tc>
        <w:tc>
          <w:tcPr>
            <w:tcW w:w="1140" w:type="dxa"/>
            <w:vAlign w:val="bottom"/>
          </w:tcPr>
          <w:p>
            <w:pPr>
              <w:ind w:left="140"/>
              <w:spacing w:after="0"/>
              <w:rPr>
                <w:sz w:val="20"/>
                <w:szCs w:val="20"/>
                <w:color w:val="auto"/>
              </w:rPr>
            </w:pPr>
            <w:r>
              <w:rPr>
                <w:rFonts w:ascii="Arial" w:cs="Arial" w:eastAsia="Arial" w:hAnsi="Arial"/>
                <w:sz w:val="14"/>
                <w:szCs w:val="14"/>
                <w:b w:val="1"/>
                <w:bCs w:val="1"/>
                <w:color w:val="auto"/>
              </w:rPr>
              <w:t>withdrawals/</w:t>
            </w:r>
          </w:p>
        </w:tc>
        <w:tc>
          <w:tcPr>
            <w:tcW w:w="980" w:type="dxa"/>
            <w:vAlign w:val="bottom"/>
          </w:tcPr>
          <w:p>
            <w:pPr>
              <w:ind w:left="8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80" w:type="dxa"/>
            <w:vAlign w:val="bottom"/>
          </w:tcPr>
          <w:p>
            <w:pPr>
              <w:ind w:left="100"/>
              <w:spacing w:after="0"/>
              <w:rPr>
                <w:sz w:val="20"/>
                <w:szCs w:val="20"/>
                <w:color w:val="auto"/>
              </w:rPr>
            </w:pPr>
            <w:r>
              <w:rPr>
                <w:rFonts w:ascii="Arial" w:cs="Arial" w:eastAsia="Arial" w:hAnsi="Arial"/>
                <w:sz w:val="14"/>
                <w:szCs w:val="14"/>
                <w:b w:val="1"/>
                <w:bCs w:val="1"/>
                <w:color w:val="auto"/>
              </w:rPr>
              <w:t>in last FY</w:t>
            </w:r>
          </w:p>
        </w:tc>
        <w:tc>
          <w:tcPr>
            <w:tcW w:w="1200" w:type="dxa"/>
            <w:vAlign w:val="bottom"/>
          </w:tcPr>
          <w:p>
            <w:pPr>
              <w:ind w:left="120"/>
              <w:spacing w:after="0"/>
              <w:rPr>
                <w:sz w:val="20"/>
                <w:szCs w:val="20"/>
                <w:color w:val="auto"/>
              </w:rPr>
            </w:pPr>
            <w:r>
              <w:rPr>
                <w:rFonts w:ascii="Arial" w:cs="Arial" w:eastAsia="Arial" w:hAnsi="Arial"/>
                <w:sz w:val="14"/>
                <w:szCs w:val="14"/>
                <w:b w:val="1"/>
                <w:bCs w:val="1"/>
                <w:color w:val="auto"/>
              </w:rPr>
              <w:t>in last FY</w:t>
            </w:r>
          </w:p>
        </w:tc>
        <w:tc>
          <w:tcPr>
            <w:tcW w:w="980" w:type="dxa"/>
            <w:vAlign w:val="bottom"/>
          </w:tcPr>
          <w:p>
            <w:pPr>
              <w:ind w:left="140"/>
              <w:spacing w:after="0"/>
              <w:rPr>
                <w:sz w:val="20"/>
                <w:szCs w:val="20"/>
                <w:color w:val="auto"/>
              </w:rPr>
            </w:pPr>
            <w:r>
              <w:rPr>
                <w:rFonts w:ascii="Arial" w:cs="Arial" w:eastAsia="Arial" w:hAnsi="Arial"/>
                <w:sz w:val="14"/>
                <w:szCs w:val="14"/>
                <w:b w:val="1"/>
                <w:bCs w:val="1"/>
                <w:color w:val="auto"/>
              </w:rPr>
              <w:t>in last FY</w:t>
            </w:r>
          </w:p>
        </w:tc>
        <w:tc>
          <w:tcPr>
            <w:tcW w:w="1140" w:type="dxa"/>
            <w:vAlign w:val="bottom"/>
          </w:tcPr>
          <w:p>
            <w:pPr>
              <w:jc w:val="right"/>
              <w:ind w:right="63"/>
              <w:spacing w:after="0"/>
              <w:rPr>
                <w:sz w:val="20"/>
                <w:szCs w:val="20"/>
                <w:color w:val="auto"/>
              </w:rPr>
            </w:pPr>
            <w:r>
              <w:rPr>
                <w:rFonts w:ascii="Arial" w:cs="Arial" w:eastAsia="Arial" w:hAnsi="Arial"/>
                <w:sz w:val="14"/>
                <w:szCs w:val="14"/>
                <w:b w:val="1"/>
                <w:bCs w:val="1"/>
                <w:color w:val="auto"/>
              </w:rPr>
              <w:t>distributions</w:t>
            </w:r>
          </w:p>
        </w:tc>
        <w:tc>
          <w:tcPr>
            <w:tcW w:w="980" w:type="dxa"/>
            <w:vAlign w:val="bottom"/>
          </w:tcPr>
          <w:p>
            <w:pPr>
              <w:ind w:left="80"/>
              <w:spacing w:after="0"/>
              <w:rPr>
                <w:sz w:val="20"/>
                <w:szCs w:val="20"/>
                <w:color w:val="auto"/>
              </w:rPr>
            </w:pPr>
            <w:r>
              <w:rPr>
                <w:rFonts w:ascii="Arial" w:cs="Arial" w:eastAsia="Arial" w:hAnsi="Arial"/>
                <w:sz w:val="14"/>
                <w:szCs w:val="14"/>
                <w:b w:val="1"/>
                <w:bCs w:val="1"/>
                <w:color w:val="auto"/>
              </w:rPr>
              <w:t>at last FYE</w:t>
            </w:r>
          </w:p>
        </w:tc>
        <w:tc>
          <w:tcPr>
            <w:tcW w:w="0" w:type="dxa"/>
            <w:vAlign w:val="bottom"/>
          </w:tcPr>
          <w:p>
            <w:pPr>
              <w:spacing w:after="0"/>
              <w:rPr>
                <w:sz w:val="1"/>
                <w:szCs w:val="1"/>
                <w:color w:val="auto"/>
              </w:rPr>
            </w:pPr>
          </w:p>
        </w:tc>
      </w:tr>
      <w:tr>
        <w:trPr>
          <w:trHeight w:val="189"/>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174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Plan Name</w:t>
            </w:r>
          </w:p>
        </w:tc>
        <w:tc>
          <w:tcPr>
            <w:tcW w:w="11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($)(1)</w:t>
            </w:r>
          </w:p>
        </w:tc>
        <w:tc>
          <w:tcPr>
            <w:tcW w:w="12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8"/>
        </w:trPr>
        <w:tc>
          <w:tcPr>
            <w:tcW w:w="3780" w:type="dxa"/>
            <w:vAlign w:val="bottom"/>
            <w:shd w:val="clear" w:color="auto" w:fill="D8D8D8"/>
          </w:tcPr>
          <w:p>
            <w:pPr>
              <w:spacing w:after="0"/>
              <w:rPr>
                <w:sz w:val="20"/>
                <w:szCs w:val="20"/>
                <w:color w:val="auto"/>
              </w:rPr>
            </w:pPr>
          </w:p>
        </w:tc>
        <w:tc>
          <w:tcPr>
            <w:tcW w:w="220" w:type="dxa"/>
            <w:vAlign w:val="bottom"/>
            <w:shd w:val="clear" w:color="auto" w:fill="D8D8D8"/>
          </w:tcPr>
          <w:p>
            <w:pPr>
              <w:spacing w:after="0"/>
              <w:rPr>
                <w:sz w:val="20"/>
                <w:szCs w:val="20"/>
                <w:color w:val="auto"/>
              </w:rPr>
            </w:pPr>
          </w:p>
        </w:tc>
        <w:tc>
          <w:tcPr>
            <w:tcW w:w="1520" w:type="dxa"/>
            <w:vAlign w:val="bottom"/>
            <w:shd w:val="clear" w:color="auto" w:fill="D8D8D8"/>
          </w:tcPr>
          <w:p>
            <w:pPr>
              <w:spacing w:after="0"/>
              <w:rPr>
                <w:sz w:val="20"/>
                <w:szCs w:val="20"/>
                <w:color w:val="auto"/>
              </w:rPr>
            </w:pPr>
            <w:r>
              <w:rPr>
                <w:rFonts w:ascii="Arial" w:cs="Arial" w:eastAsia="Arial" w:hAnsi="Arial"/>
                <w:sz w:val="16"/>
                <w:szCs w:val="16"/>
                <w:color w:val="auto"/>
              </w:rPr>
              <w:t>Deferred</w:t>
            </w:r>
          </w:p>
        </w:tc>
        <w:tc>
          <w:tcPr>
            <w:tcW w:w="1180" w:type="dxa"/>
            <w:vAlign w:val="bottom"/>
            <w:vMerge w:val="restart"/>
            <w:shd w:val="clear" w:color="auto" w:fill="D8D8D8"/>
          </w:tcPr>
          <w:p>
            <w:pPr>
              <w:jc w:val="right"/>
              <w:ind w:right="63"/>
              <w:spacing w:after="0"/>
              <w:rPr>
                <w:sz w:val="20"/>
                <w:szCs w:val="20"/>
                <w:color w:val="auto"/>
              </w:rPr>
            </w:pPr>
            <w:r>
              <w:rPr>
                <w:rFonts w:ascii="Arial" w:cs="Arial" w:eastAsia="Arial" w:hAnsi="Arial"/>
                <w:sz w:val="16"/>
                <w:szCs w:val="16"/>
                <w:color w:val="auto"/>
              </w:rPr>
              <w:t>n/a</w:t>
            </w:r>
          </w:p>
        </w:tc>
        <w:tc>
          <w:tcPr>
            <w:tcW w:w="1200" w:type="dxa"/>
            <w:vAlign w:val="bottom"/>
            <w:vMerge w:val="restart"/>
            <w:shd w:val="clear" w:color="auto" w:fill="D8D8D8"/>
          </w:tcPr>
          <w:p>
            <w:pPr>
              <w:ind w:left="840"/>
              <w:spacing w:after="0"/>
              <w:rPr>
                <w:sz w:val="20"/>
                <w:szCs w:val="20"/>
                <w:color w:val="auto"/>
              </w:rPr>
            </w:pPr>
            <w:r>
              <w:rPr>
                <w:rFonts w:ascii="Arial" w:cs="Arial" w:eastAsia="Arial" w:hAnsi="Arial"/>
                <w:sz w:val="16"/>
                <w:szCs w:val="16"/>
                <w:color w:val="auto"/>
              </w:rPr>
              <w:t>n/a</w:t>
            </w:r>
          </w:p>
        </w:tc>
        <w:tc>
          <w:tcPr>
            <w:tcW w:w="980" w:type="dxa"/>
            <w:vAlign w:val="bottom"/>
            <w:vMerge w:val="restart"/>
            <w:shd w:val="clear" w:color="auto" w:fill="D8D8D8"/>
          </w:tcPr>
          <w:p>
            <w:pPr>
              <w:ind w:left="620"/>
              <w:spacing w:after="0"/>
              <w:rPr>
                <w:sz w:val="20"/>
                <w:szCs w:val="20"/>
                <w:color w:val="auto"/>
              </w:rPr>
            </w:pPr>
            <w:r>
              <w:rPr>
                <w:rFonts w:ascii="Arial" w:cs="Arial" w:eastAsia="Arial" w:hAnsi="Arial"/>
                <w:sz w:val="16"/>
                <w:szCs w:val="16"/>
                <w:color w:val="auto"/>
              </w:rPr>
              <w:t>n/a</w:t>
            </w:r>
          </w:p>
        </w:tc>
        <w:tc>
          <w:tcPr>
            <w:tcW w:w="1140" w:type="dxa"/>
            <w:vAlign w:val="bottom"/>
            <w:vMerge w:val="restart"/>
            <w:shd w:val="clear" w:color="auto" w:fill="D8D8D8"/>
          </w:tcPr>
          <w:p>
            <w:pPr>
              <w:jc w:val="right"/>
              <w:ind w:right="43"/>
              <w:spacing w:after="0"/>
              <w:rPr>
                <w:sz w:val="20"/>
                <w:szCs w:val="20"/>
                <w:color w:val="auto"/>
              </w:rPr>
            </w:pPr>
            <w:r>
              <w:rPr>
                <w:rFonts w:ascii="Arial" w:cs="Arial" w:eastAsia="Arial" w:hAnsi="Arial"/>
                <w:sz w:val="16"/>
                <w:szCs w:val="16"/>
                <w:color w:val="auto"/>
              </w:rPr>
              <w:t>n/a</w:t>
            </w:r>
          </w:p>
        </w:tc>
        <w:tc>
          <w:tcPr>
            <w:tcW w:w="980" w:type="dxa"/>
            <w:vAlign w:val="bottom"/>
            <w:vMerge w:val="restart"/>
            <w:shd w:val="clear" w:color="auto" w:fill="D8D8D8"/>
          </w:tcPr>
          <w:p>
            <w:pPr>
              <w:ind w:left="64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27"/>
        </w:trPr>
        <w:tc>
          <w:tcPr>
            <w:tcW w:w="3780" w:type="dxa"/>
            <w:vAlign w:val="bottom"/>
            <w:shd w:val="clear" w:color="auto" w:fill="D8D8D8"/>
          </w:tcPr>
          <w:p>
            <w:pPr>
              <w:spacing w:after="0"/>
              <w:rPr>
                <w:sz w:val="11"/>
                <w:szCs w:val="11"/>
                <w:color w:val="auto"/>
              </w:rPr>
            </w:pPr>
          </w:p>
        </w:tc>
        <w:tc>
          <w:tcPr>
            <w:tcW w:w="220" w:type="dxa"/>
            <w:vAlign w:val="bottom"/>
            <w:shd w:val="clear" w:color="auto" w:fill="D8D8D8"/>
          </w:tcPr>
          <w:p>
            <w:pPr>
              <w:spacing w:after="0"/>
              <w:rPr>
                <w:sz w:val="11"/>
                <w:szCs w:val="11"/>
                <w:color w:val="auto"/>
              </w:rPr>
            </w:pPr>
          </w:p>
        </w:tc>
        <w:tc>
          <w:tcPr>
            <w:tcW w:w="1520" w:type="dxa"/>
            <w:vAlign w:val="bottom"/>
            <w:vMerge w:val="restart"/>
            <w:shd w:val="clear" w:color="auto" w:fill="D8D8D8"/>
          </w:tcPr>
          <w:p>
            <w:pPr>
              <w:spacing w:after="0"/>
              <w:rPr>
                <w:sz w:val="20"/>
                <w:szCs w:val="20"/>
                <w:color w:val="auto"/>
              </w:rPr>
            </w:pPr>
            <w:r>
              <w:rPr>
                <w:rFonts w:ascii="Arial" w:cs="Arial" w:eastAsia="Arial" w:hAnsi="Arial"/>
                <w:sz w:val="16"/>
                <w:szCs w:val="16"/>
                <w:color w:val="auto"/>
              </w:rPr>
              <w:t>Compensation Plan</w:t>
            </w:r>
          </w:p>
        </w:tc>
        <w:tc>
          <w:tcPr>
            <w:tcW w:w="1180" w:type="dxa"/>
            <w:vAlign w:val="bottom"/>
            <w:vMerge w:val="continue"/>
            <w:shd w:val="clear" w:color="auto" w:fill="D8D8D8"/>
          </w:tcPr>
          <w:p>
            <w:pPr>
              <w:spacing w:after="0"/>
              <w:rPr>
                <w:sz w:val="11"/>
                <w:szCs w:val="11"/>
                <w:color w:val="auto"/>
              </w:rPr>
            </w:pPr>
          </w:p>
        </w:tc>
        <w:tc>
          <w:tcPr>
            <w:tcW w:w="1200" w:type="dxa"/>
            <w:vAlign w:val="bottom"/>
            <w:vMerge w:val="continue"/>
            <w:shd w:val="clear" w:color="auto" w:fill="D8D8D8"/>
          </w:tcPr>
          <w:p>
            <w:pPr>
              <w:spacing w:after="0"/>
              <w:rPr>
                <w:sz w:val="11"/>
                <w:szCs w:val="11"/>
                <w:color w:val="auto"/>
              </w:rPr>
            </w:pPr>
          </w:p>
        </w:tc>
        <w:tc>
          <w:tcPr>
            <w:tcW w:w="980" w:type="dxa"/>
            <w:vAlign w:val="bottom"/>
            <w:vMerge w:val="continue"/>
            <w:shd w:val="clear" w:color="auto" w:fill="D8D8D8"/>
          </w:tcPr>
          <w:p>
            <w:pPr>
              <w:spacing w:after="0"/>
              <w:rPr>
                <w:sz w:val="11"/>
                <w:szCs w:val="11"/>
                <w:color w:val="auto"/>
              </w:rPr>
            </w:pPr>
          </w:p>
        </w:tc>
        <w:tc>
          <w:tcPr>
            <w:tcW w:w="1140" w:type="dxa"/>
            <w:vAlign w:val="bottom"/>
            <w:vMerge w:val="continue"/>
            <w:shd w:val="clear" w:color="auto" w:fill="D8D8D8"/>
          </w:tcPr>
          <w:p>
            <w:pPr>
              <w:spacing w:after="0"/>
              <w:rPr>
                <w:sz w:val="11"/>
                <w:szCs w:val="11"/>
                <w:color w:val="auto"/>
              </w:rPr>
            </w:pPr>
          </w:p>
        </w:tc>
        <w:tc>
          <w:tcPr>
            <w:tcW w:w="980" w:type="dxa"/>
            <w:vAlign w:val="bottom"/>
            <w:vMerge w:val="continue"/>
            <w:shd w:val="clear" w:color="auto" w:fill="D8D8D8"/>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3780" w:type="dxa"/>
            <w:vAlign w:val="bottom"/>
            <w:vMerge w:val="restart"/>
            <w:shd w:val="clear" w:color="auto" w:fill="D8D8D8"/>
          </w:tcPr>
          <w:p>
            <w:pPr>
              <w:ind w:left="40"/>
              <w:spacing w:after="0"/>
              <w:rPr>
                <w:sz w:val="20"/>
                <w:szCs w:val="20"/>
                <w:color w:val="auto"/>
              </w:rPr>
            </w:pPr>
            <w:r>
              <w:rPr>
                <w:rFonts w:ascii="Arial" w:cs="Arial" w:eastAsia="Arial" w:hAnsi="Arial"/>
                <w:sz w:val="16"/>
                <w:szCs w:val="16"/>
                <w:color w:val="auto"/>
              </w:rPr>
              <w:t>Robert A. Livingston</w:t>
            </w:r>
          </w:p>
        </w:tc>
        <w:tc>
          <w:tcPr>
            <w:tcW w:w="220" w:type="dxa"/>
            <w:vAlign w:val="bottom"/>
            <w:shd w:val="clear" w:color="auto" w:fill="D8D8D8"/>
          </w:tcPr>
          <w:p>
            <w:pPr>
              <w:spacing w:after="0"/>
              <w:rPr>
                <w:sz w:val="5"/>
                <w:szCs w:val="5"/>
                <w:color w:val="auto"/>
              </w:rPr>
            </w:pPr>
          </w:p>
        </w:tc>
        <w:tc>
          <w:tcPr>
            <w:tcW w:w="1520" w:type="dxa"/>
            <w:vAlign w:val="bottom"/>
            <w:vMerge w:val="continue"/>
            <w:shd w:val="clear" w:color="auto" w:fill="D8D8D8"/>
          </w:tcPr>
          <w:p>
            <w:pPr>
              <w:spacing w:after="0"/>
              <w:rPr>
                <w:sz w:val="5"/>
                <w:szCs w:val="5"/>
                <w:color w:val="auto"/>
              </w:rPr>
            </w:pPr>
          </w:p>
        </w:tc>
        <w:tc>
          <w:tcPr>
            <w:tcW w:w="1180" w:type="dxa"/>
            <w:vAlign w:val="bottom"/>
            <w:shd w:val="clear" w:color="auto" w:fill="D8D8D8"/>
          </w:tcPr>
          <w:p>
            <w:pPr>
              <w:spacing w:after="0"/>
              <w:rPr>
                <w:sz w:val="5"/>
                <w:szCs w:val="5"/>
                <w:color w:val="auto"/>
              </w:rPr>
            </w:pPr>
          </w:p>
        </w:tc>
        <w:tc>
          <w:tcPr>
            <w:tcW w:w="1200" w:type="dxa"/>
            <w:vAlign w:val="bottom"/>
            <w:shd w:val="clear" w:color="auto" w:fill="D8D8D8"/>
          </w:tcPr>
          <w:p>
            <w:pPr>
              <w:spacing w:after="0"/>
              <w:rPr>
                <w:sz w:val="5"/>
                <w:szCs w:val="5"/>
                <w:color w:val="auto"/>
              </w:rPr>
            </w:pPr>
          </w:p>
        </w:tc>
        <w:tc>
          <w:tcPr>
            <w:tcW w:w="980" w:type="dxa"/>
            <w:vAlign w:val="bottom"/>
            <w:shd w:val="clear" w:color="auto" w:fill="D8D8D8"/>
          </w:tcPr>
          <w:p>
            <w:pPr>
              <w:spacing w:after="0"/>
              <w:rPr>
                <w:sz w:val="5"/>
                <w:szCs w:val="5"/>
                <w:color w:val="auto"/>
              </w:rPr>
            </w:pPr>
          </w:p>
        </w:tc>
        <w:tc>
          <w:tcPr>
            <w:tcW w:w="1140" w:type="dxa"/>
            <w:vAlign w:val="bottom"/>
            <w:shd w:val="clear" w:color="auto" w:fill="D8D8D8"/>
          </w:tcPr>
          <w:p>
            <w:pPr>
              <w:spacing w:after="0"/>
              <w:rPr>
                <w:sz w:val="5"/>
                <w:szCs w:val="5"/>
                <w:color w:val="auto"/>
              </w:rPr>
            </w:pPr>
          </w:p>
        </w:tc>
        <w:tc>
          <w:tcPr>
            <w:tcW w:w="980" w:type="dxa"/>
            <w:vAlign w:val="bottom"/>
            <w:shd w:val="clear" w:color="auto" w:fill="D8D8D8"/>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3780" w:type="dxa"/>
            <w:vAlign w:val="bottom"/>
            <w:vMerge w:val="continue"/>
            <w:shd w:val="clear" w:color="auto" w:fill="D8D8D8"/>
          </w:tcPr>
          <w:p>
            <w:pPr>
              <w:spacing w:after="0"/>
              <w:rPr>
                <w:sz w:val="15"/>
                <w:szCs w:val="15"/>
                <w:color w:val="auto"/>
              </w:rPr>
            </w:pPr>
          </w:p>
        </w:tc>
        <w:tc>
          <w:tcPr>
            <w:tcW w:w="220" w:type="dxa"/>
            <w:vAlign w:val="bottom"/>
            <w:shd w:val="clear" w:color="auto" w:fill="D8D8D8"/>
          </w:tcPr>
          <w:p>
            <w:pPr>
              <w:spacing w:after="0"/>
              <w:rPr>
                <w:sz w:val="15"/>
                <w:szCs w:val="15"/>
                <w:color w:val="auto"/>
              </w:rPr>
            </w:pPr>
          </w:p>
        </w:tc>
        <w:tc>
          <w:tcPr>
            <w:tcW w:w="1520" w:type="dxa"/>
            <w:vAlign w:val="bottom"/>
            <w:vMerge w:val="restart"/>
            <w:shd w:val="clear" w:color="auto" w:fill="D8D8D8"/>
          </w:tcPr>
          <w:p>
            <w:pPr>
              <w:spacing w:after="0"/>
              <w:rPr>
                <w:sz w:val="20"/>
                <w:szCs w:val="20"/>
                <w:color w:val="auto"/>
              </w:rPr>
            </w:pPr>
            <w:r>
              <w:rPr>
                <w:rFonts w:ascii="Arial" w:cs="Arial" w:eastAsia="Arial" w:hAnsi="Arial"/>
                <w:sz w:val="16"/>
                <w:szCs w:val="16"/>
                <w:color w:val="auto"/>
              </w:rPr>
              <w:t>Executive Deferred</w:t>
            </w:r>
          </w:p>
        </w:tc>
        <w:tc>
          <w:tcPr>
            <w:tcW w:w="1180" w:type="dxa"/>
            <w:vAlign w:val="bottom"/>
            <w:vMerge w:val="restart"/>
            <w:shd w:val="clear" w:color="auto" w:fill="D8D8D8"/>
          </w:tcPr>
          <w:p>
            <w:pPr>
              <w:jc w:val="right"/>
              <w:ind w:right="63"/>
              <w:spacing w:after="0"/>
              <w:rPr>
                <w:sz w:val="20"/>
                <w:szCs w:val="20"/>
                <w:color w:val="auto"/>
              </w:rPr>
            </w:pPr>
            <w:r>
              <w:rPr>
                <w:rFonts w:ascii="Arial" w:cs="Arial" w:eastAsia="Arial" w:hAnsi="Arial"/>
                <w:sz w:val="16"/>
                <w:szCs w:val="16"/>
                <w:color w:val="auto"/>
              </w:rPr>
              <w:t>n/a</w:t>
            </w:r>
          </w:p>
        </w:tc>
        <w:tc>
          <w:tcPr>
            <w:tcW w:w="1200" w:type="dxa"/>
            <w:vAlign w:val="bottom"/>
            <w:vMerge w:val="restart"/>
            <w:shd w:val="clear" w:color="auto" w:fill="D8D8D8"/>
          </w:tcPr>
          <w:p>
            <w:pPr>
              <w:ind w:left="840"/>
              <w:spacing w:after="0"/>
              <w:rPr>
                <w:sz w:val="20"/>
                <w:szCs w:val="20"/>
                <w:color w:val="auto"/>
              </w:rPr>
            </w:pPr>
            <w:r>
              <w:rPr>
                <w:rFonts w:ascii="Arial" w:cs="Arial" w:eastAsia="Arial" w:hAnsi="Arial"/>
                <w:sz w:val="16"/>
                <w:szCs w:val="16"/>
                <w:color w:val="auto"/>
              </w:rPr>
              <w:t>n/a</w:t>
            </w:r>
          </w:p>
        </w:tc>
        <w:tc>
          <w:tcPr>
            <w:tcW w:w="980" w:type="dxa"/>
            <w:vAlign w:val="bottom"/>
            <w:vMerge w:val="restart"/>
            <w:shd w:val="clear" w:color="auto" w:fill="D8D8D8"/>
          </w:tcPr>
          <w:p>
            <w:pPr>
              <w:jc w:val="right"/>
              <w:ind w:right="63"/>
              <w:spacing w:after="0"/>
              <w:rPr>
                <w:sz w:val="20"/>
                <w:szCs w:val="20"/>
                <w:color w:val="auto"/>
              </w:rPr>
            </w:pPr>
            <w:r>
              <w:rPr>
                <w:rFonts w:ascii="Arial" w:cs="Arial" w:eastAsia="Arial" w:hAnsi="Arial"/>
                <w:sz w:val="16"/>
                <w:szCs w:val="16"/>
                <w:color w:val="auto"/>
              </w:rPr>
              <w:t>15,591</w:t>
            </w:r>
          </w:p>
        </w:tc>
        <w:tc>
          <w:tcPr>
            <w:tcW w:w="1140" w:type="dxa"/>
            <w:vAlign w:val="bottom"/>
            <w:vMerge w:val="restart"/>
            <w:shd w:val="clear" w:color="auto" w:fill="D8D8D8"/>
          </w:tcPr>
          <w:p>
            <w:pPr>
              <w:jc w:val="right"/>
              <w:ind w:right="43"/>
              <w:spacing w:after="0"/>
              <w:rPr>
                <w:sz w:val="20"/>
                <w:szCs w:val="20"/>
                <w:color w:val="auto"/>
              </w:rPr>
            </w:pPr>
            <w:r>
              <w:rPr>
                <w:rFonts w:ascii="Arial" w:cs="Arial" w:eastAsia="Arial" w:hAnsi="Arial"/>
                <w:sz w:val="16"/>
                <w:szCs w:val="16"/>
                <w:color w:val="auto"/>
              </w:rPr>
              <w:t>n/a</w:t>
            </w:r>
          </w:p>
        </w:tc>
        <w:tc>
          <w:tcPr>
            <w:tcW w:w="980" w:type="dxa"/>
            <w:vAlign w:val="bottom"/>
            <w:vMerge w:val="restart"/>
            <w:shd w:val="clear" w:color="auto" w:fill="D8D8D8"/>
          </w:tcPr>
          <w:p>
            <w:pPr>
              <w:jc w:val="right"/>
              <w:ind w:right="43"/>
              <w:spacing w:after="0"/>
              <w:rPr>
                <w:sz w:val="20"/>
                <w:szCs w:val="20"/>
                <w:color w:val="auto"/>
              </w:rPr>
            </w:pPr>
            <w:r>
              <w:rPr>
                <w:rFonts w:ascii="Arial" w:cs="Arial" w:eastAsia="Arial" w:hAnsi="Arial"/>
                <w:sz w:val="16"/>
                <w:szCs w:val="16"/>
                <w:color w:val="auto"/>
              </w:rPr>
              <w:t>402,473</w:t>
            </w:r>
          </w:p>
        </w:tc>
        <w:tc>
          <w:tcPr>
            <w:tcW w:w="0" w:type="dxa"/>
            <w:vAlign w:val="bottom"/>
          </w:tcPr>
          <w:p>
            <w:pPr>
              <w:spacing w:after="0"/>
              <w:rPr>
                <w:sz w:val="1"/>
                <w:szCs w:val="1"/>
                <w:color w:val="auto"/>
              </w:rPr>
            </w:pPr>
          </w:p>
        </w:tc>
      </w:tr>
      <w:tr>
        <w:trPr>
          <w:trHeight w:val="116"/>
        </w:trPr>
        <w:tc>
          <w:tcPr>
            <w:tcW w:w="3780" w:type="dxa"/>
            <w:vAlign w:val="bottom"/>
            <w:shd w:val="clear" w:color="auto" w:fill="D8D8D8"/>
          </w:tcPr>
          <w:p>
            <w:pPr>
              <w:spacing w:after="0"/>
              <w:rPr>
                <w:sz w:val="10"/>
                <w:szCs w:val="10"/>
                <w:color w:val="auto"/>
              </w:rPr>
            </w:pPr>
          </w:p>
        </w:tc>
        <w:tc>
          <w:tcPr>
            <w:tcW w:w="220" w:type="dxa"/>
            <w:vAlign w:val="bottom"/>
            <w:shd w:val="clear" w:color="auto" w:fill="D8D8D8"/>
          </w:tcPr>
          <w:p>
            <w:pPr>
              <w:spacing w:after="0"/>
              <w:rPr>
                <w:sz w:val="10"/>
                <w:szCs w:val="10"/>
                <w:color w:val="auto"/>
              </w:rPr>
            </w:pPr>
          </w:p>
        </w:tc>
        <w:tc>
          <w:tcPr>
            <w:tcW w:w="1520" w:type="dxa"/>
            <w:vAlign w:val="bottom"/>
            <w:vMerge w:val="continue"/>
            <w:shd w:val="clear" w:color="auto" w:fill="D8D8D8"/>
          </w:tcPr>
          <w:p>
            <w:pPr>
              <w:spacing w:after="0"/>
              <w:rPr>
                <w:sz w:val="10"/>
                <w:szCs w:val="10"/>
                <w:color w:val="auto"/>
              </w:rPr>
            </w:pPr>
          </w:p>
        </w:tc>
        <w:tc>
          <w:tcPr>
            <w:tcW w:w="1180" w:type="dxa"/>
            <w:vAlign w:val="bottom"/>
            <w:vMerge w:val="continue"/>
            <w:shd w:val="clear" w:color="auto" w:fill="D8D8D8"/>
          </w:tcPr>
          <w:p>
            <w:pPr>
              <w:spacing w:after="0"/>
              <w:rPr>
                <w:sz w:val="10"/>
                <w:szCs w:val="10"/>
                <w:color w:val="auto"/>
              </w:rPr>
            </w:pPr>
          </w:p>
        </w:tc>
        <w:tc>
          <w:tcPr>
            <w:tcW w:w="1200" w:type="dxa"/>
            <w:vAlign w:val="bottom"/>
            <w:vMerge w:val="continue"/>
            <w:shd w:val="clear" w:color="auto" w:fill="D8D8D8"/>
          </w:tcPr>
          <w:p>
            <w:pPr>
              <w:spacing w:after="0"/>
              <w:rPr>
                <w:sz w:val="10"/>
                <w:szCs w:val="10"/>
                <w:color w:val="auto"/>
              </w:rPr>
            </w:pPr>
          </w:p>
        </w:tc>
        <w:tc>
          <w:tcPr>
            <w:tcW w:w="980" w:type="dxa"/>
            <w:vAlign w:val="bottom"/>
            <w:vMerge w:val="continue"/>
            <w:shd w:val="clear" w:color="auto" w:fill="D8D8D8"/>
          </w:tcPr>
          <w:p>
            <w:pPr>
              <w:spacing w:after="0"/>
              <w:rPr>
                <w:sz w:val="10"/>
                <w:szCs w:val="10"/>
                <w:color w:val="auto"/>
              </w:rPr>
            </w:pPr>
          </w:p>
        </w:tc>
        <w:tc>
          <w:tcPr>
            <w:tcW w:w="1140" w:type="dxa"/>
            <w:vAlign w:val="bottom"/>
            <w:vMerge w:val="continue"/>
            <w:shd w:val="clear" w:color="auto" w:fill="D8D8D8"/>
          </w:tcPr>
          <w:p>
            <w:pPr>
              <w:spacing w:after="0"/>
              <w:rPr>
                <w:sz w:val="10"/>
                <w:szCs w:val="10"/>
                <w:color w:val="auto"/>
              </w:rPr>
            </w:pPr>
          </w:p>
        </w:tc>
        <w:tc>
          <w:tcPr>
            <w:tcW w:w="980" w:type="dxa"/>
            <w:vAlign w:val="bottom"/>
            <w:vMerge w:val="continue"/>
            <w:shd w:val="clear" w:color="auto" w:fill="D8D8D8"/>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3780" w:type="dxa"/>
            <w:vAlign w:val="bottom"/>
            <w:shd w:val="clear" w:color="auto" w:fill="D8D8D8"/>
          </w:tcPr>
          <w:p>
            <w:pPr>
              <w:spacing w:after="0"/>
              <w:rPr>
                <w:sz w:val="8"/>
                <w:szCs w:val="8"/>
                <w:color w:val="auto"/>
              </w:rPr>
            </w:pPr>
          </w:p>
        </w:tc>
        <w:tc>
          <w:tcPr>
            <w:tcW w:w="220" w:type="dxa"/>
            <w:vAlign w:val="bottom"/>
            <w:shd w:val="clear" w:color="auto" w:fill="D8D8D8"/>
          </w:tcPr>
          <w:p>
            <w:pPr>
              <w:spacing w:after="0"/>
              <w:rPr>
                <w:sz w:val="8"/>
                <w:szCs w:val="8"/>
                <w:color w:val="auto"/>
              </w:rPr>
            </w:pPr>
          </w:p>
        </w:tc>
        <w:tc>
          <w:tcPr>
            <w:tcW w:w="1520" w:type="dxa"/>
            <w:vAlign w:val="bottom"/>
            <w:vMerge w:val="restart"/>
            <w:shd w:val="clear" w:color="auto" w:fill="D8D8D8"/>
          </w:tcPr>
          <w:p>
            <w:pPr>
              <w:spacing w:after="0"/>
              <w:rPr>
                <w:sz w:val="20"/>
                <w:szCs w:val="20"/>
                <w:color w:val="auto"/>
              </w:rPr>
            </w:pPr>
            <w:r>
              <w:rPr>
                <w:rFonts w:ascii="Arial" w:cs="Arial" w:eastAsia="Arial" w:hAnsi="Arial"/>
                <w:sz w:val="16"/>
                <w:szCs w:val="16"/>
                <w:color w:val="auto"/>
              </w:rPr>
              <w:t>Income Plan (2)</w:t>
            </w:r>
          </w:p>
        </w:tc>
        <w:tc>
          <w:tcPr>
            <w:tcW w:w="1180" w:type="dxa"/>
            <w:vAlign w:val="bottom"/>
            <w:vMerge w:val="continue"/>
            <w:shd w:val="clear" w:color="auto" w:fill="D8D8D8"/>
          </w:tcPr>
          <w:p>
            <w:pPr>
              <w:spacing w:after="0"/>
              <w:rPr>
                <w:sz w:val="8"/>
                <w:szCs w:val="8"/>
                <w:color w:val="auto"/>
              </w:rPr>
            </w:pPr>
          </w:p>
        </w:tc>
        <w:tc>
          <w:tcPr>
            <w:tcW w:w="1200" w:type="dxa"/>
            <w:vAlign w:val="bottom"/>
            <w:vMerge w:val="continue"/>
            <w:shd w:val="clear" w:color="auto" w:fill="D8D8D8"/>
          </w:tcPr>
          <w:p>
            <w:pPr>
              <w:spacing w:after="0"/>
              <w:rPr>
                <w:sz w:val="8"/>
                <w:szCs w:val="8"/>
                <w:color w:val="auto"/>
              </w:rPr>
            </w:pPr>
          </w:p>
        </w:tc>
        <w:tc>
          <w:tcPr>
            <w:tcW w:w="980" w:type="dxa"/>
            <w:vAlign w:val="bottom"/>
            <w:vMerge w:val="continue"/>
            <w:shd w:val="clear" w:color="auto" w:fill="D8D8D8"/>
          </w:tcPr>
          <w:p>
            <w:pPr>
              <w:spacing w:after="0"/>
              <w:rPr>
                <w:sz w:val="8"/>
                <w:szCs w:val="8"/>
                <w:color w:val="auto"/>
              </w:rPr>
            </w:pPr>
          </w:p>
        </w:tc>
        <w:tc>
          <w:tcPr>
            <w:tcW w:w="1140" w:type="dxa"/>
            <w:vAlign w:val="bottom"/>
            <w:vMerge w:val="continue"/>
            <w:shd w:val="clear" w:color="auto" w:fill="D8D8D8"/>
          </w:tcPr>
          <w:p>
            <w:pPr>
              <w:spacing w:after="0"/>
              <w:rPr>
                <w:sz w:val="8"/>
                <w:szCs w:val="8"/>
                <w:color w:val="auto"/>
              </w:rPr>
            </w:pPr>
          </w:p>
        </w:tc>
        <w:tc>
          <w:tcPr>
            <w:tcW w:w="980" w:type="dxa"/>
            <w:vAlign w:val="bottom"/>
            <w:vMerge w:val="continue"/>
            <w:shd w:val="clear" w:color="auto" w:fill="D8D8D8"/>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3780" w:type="dxa"/>
            <w:vAlign w:val="bottom"/>
            <w:tcBorders>
              <w:bottom w:val="single" w:sz="8" w:color="D8D8D8"/>
            </w:tcBorders>
            <w:shd w:val="clear" w:color="auto" w:fill="D8D8D8"/>
          </w:tcPr>
          <w:p>
            <w:pPr>
              <w:spacing w:after="0"/>
              <w:rPr>
                <w:sz w:val="10"/>
                <w:szCs w:val="10"/>
                <w:color w:val="auto"/>
              </w:rPr>
            </w:pPr>
          </w:p>
        </w:tc>
        <w:tc>
          <w:tcPr>
            <w:tcW w:w="220" w:type="dxa"/>
            <w:vAlign w:val="bottom"/>
            <w:tcBorders>
              <w:bottom w:val="single" w:sz="8" w:color="D8D8D8"/>
            </w:tcBorders>
            <w:shd w:val="clear" w:color="auto" w:fill="D8D8D8"/>
          </w:tcPr>
          <w:p>
            <w:pPr>
              <w:spacing w:after="0"/>
              <w:rPr>
                <w:sz w:val="10"/>
                <w:szCs w:val="10"/>
                <w:color w:val="auto"/>
              </w:rPr>
            </w:pPr>
          </w:p>
        </w:tc>
        <w:tc>
          <w:tcPr>
            <w:tcW w:w="1520" w:type="dxa"/>
            <w:vAlign w:val="bottom"/>
            <w:tcBorders>
              <w:bottom w:val="single" w:sz="8" w:color="D8D8D8"/>
            </w:tcBorders>
            <w:vMerge w:val="continue"/>
            <w:shd w:val="clear" w:color="auto" w:fill="D8D8D8"/>
          </w:tcPr>
          <w:p>
            <w:pPr>
              <w:spacing w:after="0"/>
              <w:rPr>
                <w:sz w:val="10"/>
                <w:szCs w:val="10"/>
                <w:color w:val="auto"/>
              </w:rPr>
            </w:pPr>
          </w:p>
        </w:tc>
        <w:tc>
          <w:tcPr>
            <w:tcW w:w="1180" w:type="dxa"/>
            <w:vAlign w:val="bottom"/>
            <w:tcBorders>
              <w:bottom w:val="single" w:sz="8" w:color="D8D8D8"/>
            </w:tcBorders>
            <w:shd w:val="clear" w:color="auto" w:fill="D8D8D8"/>
          </w:tcPr>
          <w:p>
            <w:pPr>
              <w:spacing w:after="0"/>
              <w:rPr>
                <w:sz w:val="10"/>
                <w:szCs w:val="10"/>
                <w:color w:val="auto"/>
              </w:rPr>
            </w:pPr>
          </w:p>
        </w:tc>
        <w:tc>
          <w:tcPr>
            <w:tcW w:w="1200" w:type="dxa"/>
            <w:vAlign w:val="bottom"/>
            <w:tcBorders>
              <w:bottom w:val="single" w:sz="8" w:color="D8D8D8"/>
            </w:tcBorders>
            <w:shd w:val="clear" w:color="auto" w:fill="D8D8D8"/>
          </w:tcPr>
          <w:p>
            <w:pPr>
              <w:spacing w:after="0"/>
              <w:rPr>
                <w:sz w:val="10"/>
                <w:szCs w:val="10"/>
                <w:color w:val="auto"/>
              </w:rPr>
            </w:pPr>
          </w:p>
        </w:tc>
        <w:tc>
          <w:tcPr>
            <w:tcW w:w="980" w:type="dxa"/>
            <w:vAlign w:val="bottom"/>
            <w:tcBorders>
              <w:bottom w:val="single" w:sz="8" w:color="D8D8D8"/>
            </w:tcBorders>
            <w:shd w:val="clear" w:color="auto" w:fill="D8D8D8"/>
          </w:tcPr>
          <w:p>
            <w:pPr>
              <w:spacing w:after="0"/>
              <w:rPr>
                <w:sz w:val="10"/>
                <w:szCs w:val="10"/>
                <w:color w:val="auto"/>
              </w:rPr>
            </w:pPr>
          </w:p>
        </w:tc>
        <w:tc>
          <w:tcPr>
            <w:tcW w:w="1140" w:type="dxa"/>
            <w:vAlign w:val="bottom"/>
            <w:tcBorders>
              <w:bottom w:val="single" w:sz="8" w:color="D8D8D8"/>
            </w:tcBorders>
            <w:shd w:val="clear" w:color="auto" w:fill="D8D8D8"/>
          </w:tcPr>
          <w:p>
            <w:pPr>
              <w:spacing w:after="0"/>
              <w:rPr>
                <w:sz w:val="10"/>
                <w:szCs w:val="10"/>
                <w:color w:val="auto"/>
              </w:rPr>
            </w:pPr>
          </w:p>
        </w:tc>
        <w:tc>
          <w:tcPr>
            <w:tcW w:w="980" w:type="dxa"/>
            <w:vAlign w:val="bottom"/>
            <w:tcBorders>
              <w:bottom w:val="single" w:sz="8" w:color="D8D8D8"/>
            </w:tcBorders>
            <w:shd w:val="clear" w:color="auto" w:fill="D8D8D8"/>
          </w:tcPr>
          <w:p>
            <w:pPr>
              <w:spacing w:after="0"/>
              <w:rPr>
                <w:sz w:val="10"/>
                <w:szCs w:val="10"/>
                <w:color w:val="auto"/>
              </w:rPr>
            </w:pPr>
          </w:p>
        </w:tc>
        <w:tc>
          <w:tcPr>
            <w:tcW w:w="0" w:type="dxa"/>
            <w:vAlign w:val="bottom"/>
          </w:tcPr>
          <w:p>
            <w:pPr>
              <w:spacing w:after="0"/>
              <w:rPr>
                <w:sz w:val="1"/>
                <w:szCs w:val="1"/>
                <w:color w:val="auto"/>
              </w:rPr>
            </w:pPr>
          </w:p>
        </w:tc>
      </w:tr>
      <w:tr>
        <w:trPr>
          <w:trHeight w:val="231"/>
        </w:trPr>
        <w:tc>
          <w:tcPr>
            <w:tcW w:w="3780" w:type="dxa"/>
            <w:vAlign w:val="bottom"/>
          </w:tcPr>
          <w:p>
            <w:pPr>
              <w:ind w:left="40"/>
              <w:spacing w:after="0"/>
              <w:rPr>
                <w:sz w:val="20"/>
                <w:szCs w:val="20"/>
                <w:color w:val="auto"/>
              </w:rPr>
            </w:pPr>
            <w:r>
              <w:rPr>
                <w:rFonts w:ascii="Arial" w:cs="Arial" w:eastAsia="Arial" w:hAnsi="Arial"/>
                <w:sz w:val="16"/>
                <w:szCs w:val="16"/>
                <w:color w:val="auto"/>
              </w:rPr>
              <w:t>Brad M. Cerepak</w:t>
            </w:r>
          </w:p>
        </w:tc>
        <w:tc>
          <w:tcPr>
            <w:tcW w:w="1740" w:type="dxa"/>
            <w:vAlign w:val="bottom"/>
            <w:gridSpan w:val="2"/>
          </w:tcPr>
          <w:p>
            <w:pPr>
              <w:ind w:left="220"/>
              <w:spacing w:after="0"/>
              <w:rPr>
                <w:sz w:val="20"/>
                <w:szCs w:val="20"/>
                <w:color w:val="auto"/>
              </w:rPr>
            </w:pPr>
            <w:r>
              <w:rPr>
                <w:rFonts w:ascii="Arial" w:cs="Arial" w:eastAsia="Arial" w:hAnsi="Arial"/>
                <w:sz w:val="16"/>
                <w:szCs w:val="16"/>
                <w:color w:val="auto"/>
              </w:rPr>
              <w:t>Deferred</w:t>
            </w:r>
          </w:p>
        </w:tc>
        <w:tc>
          <w:tcPr>
            <w:tcW w:w="1180" w:type="dxa"/>
            <w:vAlign w:val="bottom"/>
            <w:vMerge w:val="restart"/>
          </w:tcPr>
          <w:p>
            <w:pPr>
              <w:jc w:val="right"/>
              <w:ind w:right="63"/>
              <w:spacing w:after="0"/>
              <w:rPr>
                <w:sz w:val="20"/>
                <w:szCs w:val="20"/>
                <w:color w:val="auto"/>
              </w:rPr>
            </w:pPr>
            <w:r>
              <w:rPr>
                <w:rFonts w:ascii="Arial" w:cs="Arial" w:eastAsia="Arial" w:hAnsi="Arial"/>
                <w:sz w:val="16"/>
                <w:szCs w:val="16"/>
                <w:color w:val="auto"/>
              </w:rPr>
              <w:t>n/a</w:t>
            </w:r>
          </w:p>
        </w:tc>
        <w:tc>
          <w:tcPr>
            <w:tcW w:w="1200" w:type="dxa"/>
            <w:vAlign w:val="bottom"/>
            <w:vMerge w:val="restart"/>
          </w:tcPr>
          <w:p>
            <w:pPr>
              <w:ind w:left="840"/>
              <w:spacing w:after="0"/>
              <w:rPr>
                <w:sz w:val="20"/>
                <w:szCs w:val="20"/>
                <w:color w:val="auto"/>
              </w:rPr>
            </w:pPr>
            <w:r>
              <w:rPr>
                <w:rFonts w:ascii="Arial" w:cs="Arial" w:eastAsia="Arial" w:hAnsi="Arial"/>
                <w:sz w:val="16"/>
                <w:szCs w:val="16"/>
                <w:color w:val="auto"/>
              </w:rPr>
              <w:t>n/a</w:t>
            </w:r>
          </w:p>
        </w:tc>
        <w:tc>
          <w:tcPr>
            <w:tcW w:w="980" w:type="dxa"/>
            <w:vAlign w:val="bottom"/>
            <w:vMerge w:val="restart"/>
          </w:tcPr>
          <w:p>
            <w:pPr>
              <w:ind w:left="620"/>
              <w:spacing w:after="0"/>
              <w:rPr>
                <w:sz w:val="20"/>
                <w:szCs w:val="20"/>
                <w:color w:val="auto"/>
              </w:rPr>
            </w:pPr>
            <w:r>
              <w:rPr>
                <w:rFonts w:ascii="Arial" w:cs="Arial" w:eastAsia="Arial" w:hAnsi="Arial"/>
                <w:sz w:val="16"/>
                <w:szCs w:val="16"/>
                <w:color w:val="auto"/>
              </w:rPr>
              <w:t>n/a</w:t>
            </w:r>
          </w:p>
        </w:tc>
        <w:tc>
          <w:tcPr>
            <w:tcW w:w="1140" w:type="dxa"/>
            <w:vAlign w:val="bottom"/>
            <w:vMerge w:val="restart"/>
          </w:tcPr>
          <w:p>
            <w:pPr>
              <w:jc w:val="right"/>
              <w:ind w:right="43"/>
              <w:spacing w:after="0"/>
              <w:rPr>
                <w:sz w:val="20"/>
                <w:szCs w:val="20"/>
                <w:color w:val="auto"/>
              </w:rPr>
            </w:pPr>
            <w:r>
              <w:rPr>
                <w:rFonts w:ascii="Arial" w:cs="Arial" w:eastAsia="Arial" w:hAnsi="Arial"/>
                <w:sz w:val="16"/>
                <w:szCs w:val="16"/>
                <w:color w:val="auto"/>
              </w:rPr>
              <w:t>n/a</w:t>
            </w:r>
          </w:p>
        </w:tc>
        <w:tc>
          <w:tcPr>
            <w:tcW w:w="980" w:type="dxa"/>
            <w:vAlign w:val="bottom"/>
            <w:vMerge w:val="restart"/>
          </w:tcPr>
          <w:p>
            <w:pPr>
              <w:ind w:left="64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00"/>
        </w:trPr>
        <w:tc>
          <w:tcPr>
            <w:tcW w:w="3780" w:type="dxa"/>
            <w:vAlign w:val="bottom"/>
          </w:tcPr>
          <w:p>
            <w:pPr>
              <w:spacing w:after="0"/>
              <w:rPr>
                <w:sz w:val="8"/>
                <w:szCs w:val="8"/>
                <w:color w:val="auto"/>
              </w:rPr>
            </w:pPr>
          </w:p>
        </w:tc>
        <w:tc>
          <w:tcPr>
            <w:tcW w:w="1740" w:type="dxa"/>
            <w:vAlign w:val="bottom"/>
            <w:gridSpan w:val="2"/>
            <w:vMerge w:val="restart"/>
          </w:tcPr>
          <w:p>
            <w:pPr>
              <w:ind w:left="220"/>
              <w:spacing w:after="0"/>
              <w:rPr>
                <w:sz w:val="20"/>
                <w:szCs w:val="20"/>
                <w:color w:val="auto"/>
              </w:rPr>
            </w:pPr>
            <w:r>
              <w:rPr>
                <w:rFonts w:ascii="Arial" w:cs="Arial" w:eastAsia="Arial" w:hAnsi="Arial"/>
                <w:sz w:val="16"/>
                <w:szCs w:val="16"/>
                <w:color w:val="auto"/>
              </w:rPr>
              <w:t>Compensation Plan</w:t>
            </w:r>
          </w:p>
        </w:tc>
        <w:tc>
          <w:tcPr>
            <w:tcW w:w="1180" w:type="dxa"/>
            <w:vAlign w:val="bottom"/>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3780" w:type="dxa"/>
            <w:vAlign w:val="bottom"/>
          </w:tcPr>
          <w:p>
            <w:pPr>
              <w:spacing w:after="0"/>
              <w:rPr>
                <w:sz w:val="8"/>
                <w:szCs w:val="8"/>
                <w:color w:val="auto"/>
              </w:rPr>
            </w:pPr>
          </w:p>
        </w:tc>
        <w:tc>
          <w:tcPr>
            <w:tcW w:w="1740" w:type="dxa"/>
            <w:vAlign w:val="bottom"/>
            <w:gridSpan w:val="2"/>
            <w:vMerge w:val="continue"/>
          </w:tcPr>
          <w:p>
            <w:pPr>
              <w:spacing w:after="0"/>
              <w:rPr>
                <w:sz w:val="8"/>
                <w:szCs w:val="8"/>
                <w:color w:val="auto"/>
              </w:rPr>
            </w:pPr>
          </w:p>
        </w:tc>
        <w:tc>
          <w:tcPr>
            <w:tcW w:w="11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6"/>
        </w:trPr>
        <w:tc>
          <w:tcPr>
            <w:tcW w:w="3780" w:type="dxa"/>
            <w:vAlign w:val="bottom"/>
          </w:tcPr>
          <w:p>
            <w:pPr>
              <w:spacing w:after="0"/>
              <w:rPr>
                <w:sz w:val="4"/>
                <w:szCs w:val="4"/>
                <w:color w:val="auto"/>
              </w:rPr>
            </w:pPr>
          </w:p>
        </w:tc>
        <w:tc>
          <w:tcPr>
            <w:tcW w:w="1740" w:type="dxa"/>
            <w:vAlign w:val="bottom"/>
            <w:gridSpan w:val="2"/>
          </w:tcPr>
          <w:p>
            <w:pPr>
              <w:spacing w:after="0"/>
              <w:rPr>
                <w:sz w:val="4"/>
                <w:szCs w:val="4"/>
                <w:color w:val="auto"/>
              </w:rPr>
            </w:pPr>
          </w:p>
        </w:tc>
        <w:tc>
          <w:tcPr>
            <w:tcW w:w="11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3780" w:type="dxa"/>
            <w:vAlign w:val="bottom"/>
            <w:shd w:val="clear" w:color="auto" w:fill="D8D8D8"/>
          </w:tcPr>
          <w:p>
            <w:pPr>
              <w:ind w:left="40"/>
              <w:spacing w:after="0"/>
              <w:rPr>
                <w:sz w:val="20"/>
                <w:szCs w:val="20"/>
                <w:color w:val="auto"/>
              </w:rPr>
            </w:pPr>
            <w:r>
              <w:rPr>
                <w:rFonts w:ascii="Arial" w:cs="Arial" w:eastAsia="Arial" w:hAnsi="Arial"/>
                <w:sz w:val="16"/>
                <w:szCs w:val="16"/>
                <w:color w:val="auto"/>
              </w:rPr>
              <w:t>C. Anderson Fincher</w:t>
            </w:r>
          </w:p>
        </w:tc>
        <w:tc>
          <w:tcPr>
            <w:tcW w:w="1740" w:type="dxa"/>
            <w:vAlign w:val="bottom"/>
            <w:gridSpan w:val="2"/>
            <w:shd w:val="clear" w:color="auto" w:fill="D8D8D8"/>
          </w:tcPr>
          <w:p>
            <w:pPr>
              <w:ind w:left="220"/>
              <w:spacing w:after="0"/>
              <w:rPr>
                <w:sz w:val="20"/>
                <w:szCs w:val="20"/>
                <w:color w:val="auto"/>
              </w:rPr>
            </w:pPr>
            <w:r>
              <w:rPr>
                <w:rFonts w:ascii="Arial" w:cs="Arial" w:eastAsia="Arial" w:hAnsi="Arial"/>
                <w:sz w:val="16"/>
                <w:szCs w:val="16"/>
                <w:color w:val="auto"/>
              </w:rPr>
              <w:t>Deferred</w:t>
            </w:r>
          </w:p>
        </w:tc>
        <w:tc>
          <w:tcPr>
            <w:tcW w:w="1180" w:type="dxa"/>
            <w:vAlign w:val="bottom"/>
            <w:vMerge w:val="restart"/>
            <w:shd w:val="clear" w:color="auto" w:fill="D8D8D8"/>
          </w:tcPr>
          <w:p>
            <w:pPr>
              <w:jc w:val="right"/>
              <w:ind w:right="63"/>
              <w:spacing w:after="0"/>
              <w:rPr>
                <w:sz w:val="20"/>
                <w:szCs w:val="20"/>
                <w:color w:val="auto"/>
              </w:rPr>
            </w:pPr>
            <w:r>
              <w:rPr>
                <w:rFonts w:ascii="Arial" w:cs="Arial" w:eastAsia="Arial" w:hAnsi="Arial"/>
                <w:sz w:val="16"/>
                <w:szCs w:val="16"/>
                <w:color w:val="auto"/>
              </w:rPr>
              <w:t>250,000</w:t>
            </w:r>
          </w:p>
        </w:tc>
        <w:tc>
          <w:tcPr>
            <w:tcW w:w="1200" w:type="dxa"/>
            <w:vAlign w:val="bottom"/>
            <w:vMerge w:val="restart"/>
            <w:shd w:val="clear" w:color="auto" w:fill="D8D8D8"/>
          </w:tcPr>
          <w:p>
            <w:pPr>
              <w:ind w:left="840"/>
              <w:spacing w:after="0"/>
              <w:rPr>
                <w:sz w:val="20"/>
                <w:szCs w:val="20"/>
                <w:color w:val="auto"/>
              </w:rPr>
            </w:pPr>
            <w:r>
              <w:rPr>
                <w:rFonts w:ascii="Arial" w:cs="Arial" w:eastAsia="Arial" w:hAnsi="Arial"/>
                <w:sz w:val="16"/>
                <w:szCs w:val="16"/>
                <w:color w:val="auto"/>
              </w:rPr>
              <w:t>n/a</w:t>
            </w:r>
          </w:p>
        </w:tc>
        <w:tc>
          <w:tcPr>
            <w:tcW w:w="980" w:type="dxa"/>
            <w:vAlign w:val="bottom"/>
            <w:vMerge w:val="restart"/>
            <w:shd w:val="clear" w:color="auto" w:fill="D8D8D8"/>
          </w:tcPr>
          <w:p>
            <w:pPr>
              <w:jc w:val="right"/>
              <w:ind w:right="63"/>
              <w:spacing w:after="0"/>
              <w:rPr>
                <w:sz w:val="20"/>
                <w:szCs w:val="20"/>
                <w:color w:val="auto"/>
              </w:rPr>
            </w:pPr>
            <w:r>
              <w:rPr>
                <w:rFonts w:ascii="Arial" w:cs="Arial" w:eastAsia="Arial" w:hAnsi="Arial"/>
                <w:sz w:val="16"/>
                <w:szCs w:val="16"/>
                <w:color w:val="auto"/>
              </w:rPr>
              <w:t>70,529</w:t>
            </w:r>
          </w:p>
        </w:tc>
        <w:tc>
          <w:tcPr>
            <w:tcW w:w="1140" w:type="dxa"/>
            <w:vAlign w:val="bottom"/>
            <w:vMerge w:val="restart"/>
            <w:shd w:val="clear" w:color="auto" w:fill="D8D8D8"/>
          </w:tcPr>
          <w:p>
            <w:pPr>
              <w:jc w:val="right"/>
              <w:ind w:right="43"/>
              <w:spacing w:after="0"/>
              <w:rPr>
                <w:sz w:val="20"/>
                <w:szCs w:val="20"/>
                <w:color w:val="auto"/>
              </w:rPr>
            </w:pPr>
            <w:r>
              <w:rPr>
                <w:rFonts w:ascii="Arial" w:cs="Arial" w:eastAsia="Arial" w:hAnsi="Arial"/>
                <w:sz w:val="16"/>
                <w:szCs w:val="16"/>
                <w:color w:val="auto"/>
              </w:rPr>
              <w:t>n/a</w:t>
            </w:r>
          </w:p>
        </w:tc>
        <w:tc>
          <w:tcPr>
            <w:tcW w:w="980" w:type="dxa"/>
            <w:vAlign w:val="bottom"/>
            <w:vMerge w:val="restart"/>
            <w:shd w:val="clear" w:color="auto" w:fill="D8D8D8"/>
          </w:tcPr>
          <w:p>
            <w:pPr>
              <w:jc w:val="right"/>
              <w:ind w:right="43"/>
              <w:spacing w:after="0"/>
              <w:rPr>
                <w:sz w:val="20"/>
                <w:szCs w:val="20"/>
                <w:color w:val="auto"/>
              </w:rPr>
            </w:pPr>
            <w:r>
              <w:rPr>
                <w:rFonts w:ascii="Arial" w:cs="Arial" w:eastAsia="Arial" w:hAnsi="Arial"/>
                <w:sz w:val="16"/>
                <w:szCs w:val="16"/>
                <w:color w:val="auto"/>
              </w:rPr>
              <w:t>514,611</w:t>
            </w:r>
          </w:p>
        </w:tc>
        <w:tc>
          <w:tcPr>
            <w:tcW w:w="0" w:type="dxa"/>
            <w:vAlign w:val="bottom"/>
          </w:tcPr>
          <w:p>
            <w:pPr>
              <w:spacing w:after="0"/>
              <w:rPr>
                <w:sz w:val="1"/>
                <w:szCs w:val="1"/>
                <w:color w:val="auto"/>
              </w:rPr>
            </w:pPr>
          </w:p>
        </w:tc>
      </w:tr>
      <w:tr>
        <w:trPr>
          <w:trHeight w:val="100"/>
        </w:trPr>
        <w:tc>
          <w:tcPr>
            <w:tcW w:w="3780" w:type="dxa"/>
            <w:vAlign w:val="bottom"/>
            <w:shd w:val="clear" w:color="auto" w:fill="D8D8D8"/>
          </w:tcPr>
          <w:p>
            <w:pPr>
              <w:spacing w:after="0"/>
              <w:rPr>
                <w:sz w:val="8"/>
                <w:szCs w:val="8"/>
                <w:color w:val="auto"/>
              </w:rPr>
            </w:pPr>
          </w:p>
        </w:tc>
        <w:tc>
          <w:tcPr>
            <w:tcW w:w="1740" w:type="dxa"/>
            <w:vAlign w:val="bottom"/>
            <w:gridSpan w:val="2"/>
            <w:vMerge w:val="restart"/>
            <w:shd w:val="clear" w:color="auto" w:fill="D8D8D8"/>
          </w:tcPr>
          <w:p>
            <w:pPr>
              <w:ind w:left="220"/>
              <w:spacing w:after="0"/>
              <w:rPr>
                <w:sz w:val="20"/>
                <w:szCs w:val="20"/>
                <w:color w:val="auto"/>
              </w:rPr>
            </w:pPr>
            <w:r>
              <w:rPr>
                <w:rFonts w:ascii="Arial" w:cs="Arial" w:eastAsia="Arial" w:hAnsi="Arial"/>
                <w:sz w:val="16"/>
                <w:szCs w:val="16"/>
                <w:color w:val="auto"/>
              </w:rPr>
              <w:t>Compensation Plan</w:t>
            </w:r>
          </w:p>
        </w:tc>
        <w:tc>
          <w:tcPr>
            <w:tcW w:w="1180" w:type="dxa"/>
            <w:vAlign w:val="bottom"/>
            <w:vMerge w:val="continue"/>
            <w:shd w:val="clear" w:color="auto" w:fill="D8D8D8"/>
          </w:tcPr>
          <w:p>
            <w:pPr>
              <w:spacing w:after="0"/>
              <w:rPr>
                <w:sz w:val="8"/>
                <w:szCs w:val="8"/>
                <w:color w:val="auto"/>
              </w:rPr>
            </w:pPr>
          </w:p>
        </w:tc>
        <w:tc>
          <w:tcPr>
            <w:tcW w:w="1200" w:type="dxa"/>
            <w:vAlign w:val="bottom"/>
            <w:vMerge w:val="continue"/>
            <w:shd w:val="clear" w:color="auto" w:fill="D8D8D8"/>
          </w:tcPr>
          <w:p>
            <w:pPr>
              <w:spacing w:after="0"/>
              <w:rPr>
                <w:sz w:val="8"/>
                <w:szCs w:val="8"/>
                <w:color w:val="auto"/>
              </w:rPr>
            </w:pPr>
          </w:p>
        </w:tc>
        <w:tc>
          <w:tcPr>
            <w:tcW w:w="980" w:type="dxa"/>
            <w:vAlign w:val="bottom"/>
            <w:vMerge w:val="continue"/>
            <w:shd w:val="clear" w:color="auto" w:fill="D8D8D8"/>
          </w:tcPr>
          <w:p>
            <w:pPr>
              <w:spacing w:after="0"/>
              <w:rPr>
                <w:sz w:val="8"/>
                <w:szCs w:val="8"/>
                <w:color w:val="auto"/>
              </w:rPr>
            </w:pPr>
          </w:p>
        </w:tc>
        <w:tc>
          <w:tcPr>
            <w:tcW w:w="1140" w:type="dxa"/>
            <w:vAlign w:val="bottom"/>
            <w:vMerge w:val="continue"/>
            <w:shd w:val="clear" w:color="auto" w:fill="D8D8D8"/>
          </w:tcPr>
          <w:p>
            <w:pPr>
              <w:spacing w:after="0"/>
              <w:rPr>
                <w:sz w:val="8"/>
                <w:szCs w:val="8"/>
                <w:color w:val="auto"/>
              </w:rPr>
            </w:pPr>
          </w:p>
        </w:tc>
        <w:tc>
          <w:tcPr>
            <w:tcW w:w="980" w:type="dxa"/>
            <w:vAlign w:val="bottom"/>
            <w:vMerge w:val="continue"/>
            <w:shd w:val="clear" w:color="auto" w:fill="D8D8D8"/>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3780" w:type="dxa"/>
            <w:vAlign w:val="bottom"/>
            <w:tcBorders>
              <w:bottom w:val="single" w:sz="8" w:color="D8D8D8"/>
            </w:tcBorders>
            <w:shd w:val="clear" w:color="auto" w:fill="D8D8D8"/>
          </w:tcPr>
          <w:p>
            <w:pPr>
              <w:spacing w:after="0"/>
              <w:rPr>
                <w:sz w:val="10"/>
                <w:szCs w:val="10"/>
                <w:color w:val="auto"/>
              </w:rPr>
            </w:pPr>
          </w:p>
        </w:tc>
        <w:tc>
          <w:tcPr>
            <w:tcW w:w="1740" w:type="dxa"/>
            <w:vAlign w:val="bottom"/>
            <w:tcBorders>
              <w:bottom w:val="single" w:sz="8" w:color="D8D8D8"/>
            </w:tcBorders>
            <w:gridSpan w:val="2"/>
            <w:vMerge w:val="continue"/>
            <w:shd w:val="clear" w:color="auto" w:fill="D8D8D8"/>
          </w:tcPr>
          <w:p>
            <w:pPr>
              <w:spacing w:after="0"/>
              <w:rPr>
                <w:sz w:val="10"/>
                <w:szCs w:val="10"/>
                <w:color w:val="auto"/>
              </w:rPr>
            </w:pPr>
          </w:p>
        </w:tc>
        <w:tc>
          <w:tcPr>
            <w:tcW w:w="1180" w:type="dxa"/>
            <w:vAlign w:val="bottom"/>
            <w:tcBorders>
              <w:bottom w:val="single" w:sz="8" w:color="D8D8D8"/>
            </w:tcBorders>
            <w:shd w:val="clear" w:color="auto" w:fill="D8D8D8"/>
          </w:tcPr>
          <w:p>
            <w:pPr>
              <w:spacing w:after="0"/>
              <w:rPr>
                <w:sz w:val="10"/>
                <w:szCs w:val="10"/>
                <w:color w:val="auto"/>
              </w:rPr>
            </w:pPr>
          </w:p>
        </w:tc>
        <w:tc>
          <w:tcPr>
            <w:tcW w:w="1200" w:type="dxa"/>
            <w:vAlign w:val="bottom"/>
            <w:tcBorders>
              <w:bottom w:val="single" w:sz="8" w:color="D8D8D8"/>
            </w:tcBorders>
            <w:shd w:val="clear" w:color="auto" w:fill="D8D8D8"/>
          </w:tcPr>
          <w:p>
            <w:pPr>
              <w:spacing w:after="0"/>
              <w:rPr>
                <w:sz w:val="10"/>
                <w:szCs w:val="10"/>
                <w:color w:val="auto"/>
              </w:rPr>
            </w:pPr>
          </w:p>
        </w:tc>
        <w:tc>
          <w:tcPr>
            <w:tcW w:w="980" w:type="dxa"/>
            <w:vAlign w:val="bottom"/>
            <w:tcBorders>
              <w:bottom w:val="single" w:sz="8" w:color="D8D8D8"/>
            </w:tcBorders>
            <w:shd w:val="clear" w:color="auto" w:fill="D8D8D8"/>
          </w:tcPr>
          <w:p>
            <w:pPr>
              <w:spacing w:after="0"/>
              <w:rPr>
                <w:sz w:val="10"/>
                <w:szCs w:val="10"/>
                <w:color w:val="auto"/>
              </w:rPr>
            </w:pPr>
          </w:p>
        </w:tc>
        <w:tc>
          <w:tcPr>
            <w:tcW w:w="1140" w:type="dxa"/>
            <w:vAlign w:val="bottom"/>
            <w:tcBorders>
              <w:bottom w:val="single" w:sz="8" w:color="D8D8D8"/>
            </w:tcBorders>
            <w:shd w:val="clear" w:color="auto" w:fill="D8D8D8"/>
          </w:tcPr>
          <w:p>
            <w:pPr>
              <w:spacing w:after="0"/>
              <w:rPr>
                <w:sz w:val="10"/>
                <w:szCs w:val="10"/>
                <w:color w:val="auto"/>
              </w:rPr>
            </w:pPr>
          </w:p>
        </w:tc>
        <w:tc>
          <w:tcPr>
            <w:tcW w:w="980" w:type="dxa"/>
            <w:vAlign w:val="bottom"/>
            <w:tcBorders>
              <w:bottom w:val="single" w:sz="8" w:color="D8D8D8"/>
            </w:tcBorders>
            <w:shd w:val="clear" w:color="auto" w:fill="D8D8D8"/>
          </w:tcPr>
          <w:p>
            <w:pPr>
              <w:spacing w:after="0"/>
              <w:rPr>
                <w:sz w:val="10"/>
                <w:szCs w:val="10"/>
                <w:color w:val="auto"/>
              </w:rPr>
            </w:pPr>
          </w:p>
        </w:tc>
        <w:tc>
          <w:tcPr>
            <w:tcW w:w="0" w:type="dxa"/>
            <w:vAlign w:val="bottom"/>
          </w:tcPr>
          <w:p>
            <w:pPr>
              <w:spacing w:after="0"/>
              <w:rPr>
                <w:sz w:val="1"/>
                <w:szCs w:val="1"/>
                <w:color w:val="auto"/>
              </w:rPr>
            </w:pPr>
          </w:p>
        </w:tc>
      </w:tr>
      <w:tr>
        <w:trPr>
          <w:trHeight w:val="231"/>
        </w:trPr>
        <w:tc>
          <w:tcPr>
            <w:tcW w:w="3780" w:type="dxa"/>
            <w:vAlign w:val="bottom"/>
          </w:tcPr>
          <w:p>
            <w:pPr>
              <w:ind w:left="40"/>
              <w:spacing w:after="0"/>
              <w:rPr>
                <w:sz w:val="20"/>
                <w:szCs w:val="20"/>
                <w:color w:val="auto"/>
              </w:rPr>
            </w:pPr>
            <w:r>
              <w:rPr>
                <w:rFonts w:ascii="Arial" w:cs="Arial" w:eastAsia="Arial" w:hAnsi="Arial"/>
                <w:sz w:val="16"/>
                <w:szCs w:val="16"/>
                <w:color w:val="auto"/>
              </w:rPr>
              <w:t>Sivasankaran Somasundaram</w:t>
            </w:r>
          </w:p>
        </w:tc>
        <w:tc>
          <w:tcPr>
            <w:tcW w:w="1740" w:type="dxa"/>
            <w:vAlign w:val="bottom"/>
            <w:gridSpan w:val="2"/>
          </w:tcPr>
          <w:p>
            <w:pPr>
              <w:ind w:left="220"/>
              <w:spacing w:after="0"/>
              <w:rPr>
                <w:sz w:val="20"/>
                <w:szCs w:val="20"/>
                <w:color w:val="auto"/>
              </w:rPr>
            </w:pPr>
            <w:r>
              <w:rPr>
                <w:rFonts w:ascii="Arial" w:cs="Arial" w:eastAsia="Arial" w:hAnsi="Arial"/>
                <w:sz w:val="16"/>
                <w:szCs w:val="16"/>
                <w:color w:val="auto"/>
              </w:rPr>
              <w:t>Deferred</w:t>
            </w:r>
          </w:p>
        </w:tc>
        <w:tc>
          <w:tcPr>
            <w:tcW w:w="1180" w:type="dxa"/>
            <w:vAlign w:val="bottom"/>
            <w:vMerge w:val="restart"/>
          </w:tcPr>
          <w:p>
            <w:pPr>
              <w:jc w:val="right"/>
              <w:ind w:right="63"/>
              <w:spacing w:after="0"/>
              <w:rPr>
                <w:sz w:val="20"/>
                <w:szCs w:val="20"/>
                <w:color w:val="auto"/>
              </w:rPr>
            </w:pPr>
            <w:r>
              <w:rPr>
                <w:rFonts w:ascii="Arial" w:cs="Arial" w:eastAsia="Arial" w:hAnsi="Arial"/>
                <w:sz w:val="16"/>
                <w:szCs w:val="16"/>
                <w:color w:val="auto"/>
              </w:rPr>
              <w:t>163,958</w:t>
            </w:r>
          </w:p>
        </w:tc>
        <w:tc>
          <w:tcPr>
            <w:tcW w:w="1200" w:type="dxa"/>
            <w:vAlign w:val="bottom"/>
            <w:vMerge w:val="restart"/>
          </w:tcPr>
          <w:p>
            <w:pPr>
              <w:ind w:left="840"/>
              <w:spacing w:after="0"/>
              <w:rPr>
                <w:sz w:val="20"/>
                <w:szCs w:val="20"/>
                <w:color w:val="auto"/>
              </w:rPr>
            </w:pPr>
            <w:r>
              <w:rPr>
                <w:rFonts w:ascii="Arial" w:cs="Arial" w:eastAsia="Arial" w:hAnsi="Arial"/>
                <w:sz w:val="16"/>
                <w:szCs w:val="16"/>
                <w:color w:val="auto"/>
              </w:rPr>
              <w:t>n/a</w:t>
            </w:r>
          </w:p>
        </w:tc>
        <w:tc>
          <w:tcPr>
            <w:tcW w:w="980" w:type="dxa"/>
            <w:vAlign w:val="bottom"/>
            <w:vMerge w:val="restart"/>
          </w:tcPr>
          <w:p>
            <w:pPr>
              <w:jc w:val="right"/>
              <w:ind w:right="63"/>
              <w:spacing w:after="0"/>
              <w:rPr>
                <w:sz w:val="20"/>
                <w:szCs w:val="20"/>
                <w:color w:val="auto"/>
              </w:rPr>
            </w:pPr>
            <w:r>
              <w:rPr>
                <w:rFonts w:ascii="Arial" w:cs="Arial" w:eastAsia="Arial" w:hAnsi="Arial"/>
                <w:sz w:val="16"/>
                <w:szCs w:val="16"/>
                <w:color w:val="auto"/>
              </w:rPr>
              <w:t>366,100</w:t>
            </w:r>
          </w:p>
        </w:tc>
        <w:tc>
          <w:tcPr>
            <w:tcW w:w="1140" w:type="dxa"/>
            <w:vAlign w:val="bottom"/>
            <w:vMerge w:val="restart"/>
          </w:tcPr>
          <w:p>
            <w:pPr>
              <w:jc w:val="right"/>
              <w:ind w:right="3"/>
              <w:spacing w:after="0"/>
              <w:rPr>
                <w:sz w:val="20"/>
                <w:szCs w:val="20"/>
                <w:color w:val="auto"/>
              </w:rPr>
            </w:pPr>
            <w:r>
              <w:rPr>
                <w:rFonts w:ascii="Arial" w:cs="Arial" w:eastAsia="Arial" w:hAnsi="Arial"/>
                <w:sz w:val="16"/>
                <w:szCs w:val="16"/>
                <w:color w:val="auto"/>
              </w:rPr>
              <w:t>(129,453)</w:t>
            </w:r>
          </w:p>
        </w:tc>
        <w:tc>
          <w:tcPr>
            <w:tcW w:w="980" w:type="dxa"/>
            <w:vAlign w:val="bottom"/>
            <w:vMerge w:val="restart"/>
          </w:tcPr>
          <w:p>
            <w:pPr>
              <w:jc w:val="right"/>
              <w:ind w:right="43"/>
              <w:spacing w:after="0"/>
              <w:rPr>
                <w:sz w:val="20"/>
                <w:szCs w:val="20"/>
                <w:color w:val="auto"/>
              </w:rPr>
            </w:pPr>
            <w:r>
              <w:rPr>
                <w:rFonts w:ascii="Arial" w:cs="Arial" w:eastAsia="Arial" w:hAnsi="Arial"/>
                <w:sz w:val="16"/>
                <w:szCs w:val="16"/>
                <w:color w:val="auto"/>
              </w:rPr>
              <w:t>2,546,862</w:t>
            </w:r>
          </w:p>
        </w:tc>
        <w:tc>
          <w:tcPr>
            <w:tcW w:w="0" w:type="dxa"/>
            <w:vAlign w:val="bottom"/>
          </w:tcPr>
          <w:p>
            <w:pPr>
              <w:spacing w:after="0"/>
              <w:rPr>
                <w:sz w:val="1"/>
                <w:szCs w:val="1"/>
                <w:color w:val="auto"/>
              </w:rPr>
            </w:pPr>
          </w:p>
        </w:tc>
      </w:tr>
      <w:tr>
        <w:trPr>
          <w:trHeight w:val="100"/>
        </w:trPr>
        <w:tc>
          <w:tcPr>
            <w:tcW w:w="3780" w:type="dxa"/>
            <w:vAlign w:val="bottom"/>
          </w:tcPr>
          <w:p>
            <w:pPr>
              <w:spacing w:after="0"/>
              <w:rPr>
                <w:sz w:val="8"/>
                <w:szCs w:val="8"/>
                <w:color w:val="auto"/>
              </w:rPr>
            </w:pPr>
          </w:p>
        </w:tc>
        <w:tc>
          <w:tcPr>
            <w:tcW w:w="1740" w:type="dxa"/>
            <w:vAlign w:val="bottom"/>
            <w:gridSpan w:val="2"/>
            <w:vMerge w:val="restart"/>
          </w:tcPr>
          <w:p>
            <w:pPr>
              <w:ind w:left="220"/>
              <w:spacing w:after="0"/>
              <w:rPr>
                <w:sz w:val="20"/>
                <w:szCs w:val="20"/>
                <w:color w:val="auto"/>
              </w:rPr>
            </w:pPr>
            <w:r>
              <w:rPr>
                <w:rFonts w:ascii="Arial" w:cs="Arial" w:eastAsia="Arial" w:hAnsi="Arial"/>
                <w:sz w:val="16"/>
                <w:szCs w:val="16"/>
                <w:color w:val="auto"/>
              </w:rPr>
              <w:t>Compensation Plan</w:t>
            </w:r>
          </w:p>
        </w:tc>
        <w:tc>
          <w:tcPr>
            <w:tcW w:w="1180" w:type="dxa"/>
            <w:vAlign w:val="bottom"/>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3780" w:type="dxa"/>
            <w:vAlign w:val="bottom"/>
          </w:tcPr>
          <w:p>
            <w:pPr>
              <w:spacing w:after="0"/>
              <w:rPr>
                <w:sz w:val="8"/>
                <w:szCs w:val="8"/>
                <w:color w:val="auto"/>
              </w:rPr>
            </w:pPr>
          </w:p>
        </w:tc>
        <w:tc>
          <w:tcPr>
            <w:tcW w:w="1740" w:type="dxa"/>
            <w:vAlign w:val="bottom"/>
            <w:gridSpan w:val="2"/>
            <w:vMerge w:val="continue"/>
          </w:tcPr>
          <w:p>
            <w:pPr>
              <w:spacing w:after="0"/>
              <w:rPr>
                <w:sz w:val="8"/>
                <w:szCs w:val="8"/>
                <w:color w:val="auto"/>
              </w:rPr>
            </w:pPr>
          </w:p>
        </w:tc>
        <w:tc>
          <w:tcPr>
            <w:tcW w:w="11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6"/>
        </w:trPr>
        <w:tc>
          <w:tcPr>
            <w:tcW w:w="3780" w:type="dxa"/>
            <w:vAlign w:val="bottom"/>
          </w:tcPr>
          <w:p>
            <w:pPr>
              <w:spacing w:after="0"/>
              <w:rPr>
                <w:sz w:val="4"/>
                <w:szCs w:val="4"/>
                <w:color w:val="auto"/>
              </w:rPr>
            </w:pPr>
          </w:p>
        </w:tc>
        <w:tc>
          <w:tcPr>
            <w:tcW w:w="1740" w:type="dxa"/>
            <w:vAlign w:val="bottom"/>
            <w:gridSpan w:val="2"/>
          </w:tcPr>
          <w:p>
            <w:pPr>
              <w:spacing w:after="0"/>
              <w:rPr>
                <w:sz w:val="4"/>
                <w:szCs w:val="4"/>
                <w:color w:val="auto"/>
              </w:rPr>
            </w:pPr>
          </w:p>
        </w:tc>
        <w:tc>
          <w:tcPr>
            <w:tcW w:w="11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3780" w:type="dxa"/>
            <w:vAlign w:val="bottom"/>
            <w:shd w:val="clear" w:color="auto" w:fill="D8D8D8"/>
          </w:tcPr>
          <w:p>
            <w:pPr>
              <w:ind w:left="40"/>
              <w:spacing w:after="0"/>
              <w:rPr>
                <w:sz w:val="20"/>
                <w:szCs w:val="20"/>
                <w:color w:val="auto"/>
              </w:rPr>
            </w:pPr>
            <w:r>
              <w:rPr>
                <w:rFonts w:ascii="Arial" w:cs="Arial" w:eastAsia="Arial" w:hAnsi="Arial"/>
                <w:sz w:val="16"/>
                <w:szCs w:val="16"/>
                <w:color w:val="auto"/>
              </w:rPr>
              <w:t>William W. Spurgeon, Jr.</w:t>
            </w:r>
          </w:p>
        </w:tc>
        <w:tc>
          <w:tcPr>
            <w:tcW w:w="1740" w:type="dxa"/>
            <w:vAlign w:val="bottom"/>
            <w:gridSpan w:val="2"/>
            <w:shd w:val="clear" w:color="auto" w:fill="D8D8D8"/>
          </w:tcPr>
          <w:p>
            <w:pPr>
              <w:ind w:left="220"/>
              <w:spacing w:after="0"/>
              <w:rPr>
                <w:sz w:val="20"/>
                <w:szCs w:val="20"/>
                <w:color w:val="auto"/>
              </w:rPr>
            </w:pPr>
            <w:r>
              <w:rPr>
                <w:rFonts w:ascii="Arial" w:cs="Arial" w:eastAsia="Arial" w:hAnsi="Arial"/>
                <w:sz w:val="16"/>
                <w:szCs w:val="16"/>
                <w:color w:val="auto"/>
              </w:rPr>
              <w:t>Deferred</w:t>
            </w:r>
          </w:p>
        </w:tc>
        <w:tc>
          <w:tcPr>
            <w:tcW w:w="1180" w:type="dxa"/>
            <w:vAlign w:val="bottom"/>
            <w:vMerge w:val="restart"/>
            <w:shd w:val="clear" w:color="auto" w:fill="D8D8D8"/>
          </w:tcPr>
          <w:p>
            <w:pPr>
              <w:jc w:val="right"/>
              <w:ind w:right="63"/>
              <w:spacing w:after="0"/>
              <w:rPr>
                <w:sz w:val="20"/>
                <w:szCs w:val="20"/>
                <w:color w:val="auto"/>
              </w:rPr>
            </w:pPr>
            <w:r>
              <w:rPr>
                <w:rFonts w:ascii="Arial" w:cs="Arial" w:eastAsia="Arial" w:hAnsi="Arial"/>
                <w:sz w:val="16"/>
                <w:szCs w:val="16"/>
                <w:color w:val="auto"/>
              </w:rPr>
              <w:t>192,000</w:t>
            </w:r>
          </w:p>
        </w:tc>
        <w:tc>
          <w:tcPr>
            <w:tcW w:w="1200" w:type="dxa"/>
            <w:vAlign w:val="bottom"/>
            <w:vMerge w:val="restart"/>
            <w:shd w:val="clear" w:color="auto" w:fill="D8D8D8"/>
          </w:tcPr>
          <w:p>
            <w:pPr>
              <w:ind w:left="840"/>
              <w:spacing w:after="0"/>
              <w:rPr>
                <w:sz w:val="20"/>
                <w:szCs w:val="20"/>
                <w:color w:val="auto"/>
              </w:rPr>
            </w:pPr>
            <w:r>
              <w:rPr>
                <w:rFonts w:ascii="Arial" w:cs="Arial" w:eastAsia="Arial" w:hAnsi="Arial"/>
                <w:sz w:val="16"/>
                <w:szCs w:val="16"/>
                <w:color w:val="auto"/>
              </w:rPr>
              <w:t>n/a</w:t>
            </w:r>
          </w:p>
        </w:tc>
        <w:tc>
          <w:tcPr>
            <w:tcW w:w="980" w:type="dxa"/>
            <w:vAlign w:val="bottom"/>
            <w:vMerge w:val="restart"/>
            <w:shd w:val="clear" w:color="auto" w:fill="D8D8D8"/>
          </w:tcPr>
          <w:p>
            <w:pPr>
              <w:jc w:val="right"/>
              <w:ind w:right="63"/>
              <w:spacing w:after="0"/>
              <w:rPr>
                <w:sz w:val="20"/>
                <w:szCs w:val="20"/>
                <w:color w:val="auto"/>
              </w:rPr>
            </w:pPr>
            <w:r>
              <w:rPr>
                <w:rFonts w:ascii="Arial" w:cs="Arial" w:eastAsia="Arial" w:hAnsi="Arial"/>
                <w:sz w:val="16"/>
                <w:szCs w:val="16"/>
                <w:color w:val="auto"/>
              </w:rPr>
              <w:t>329,706</w:t>
            </w:r>
          </w:p>
        </w:tc>
        <w:tc>
          <w:tcPr>
            <w:tcW w:w="1140" w:type="dxa"/>
            <w:vAlign w:val="bottom"/>
            <w:vMerge w:val="restart"/>
            <w:shd w:val="clear" w:color="auto" w:fill="D8D8D8"/>
          </w:tcPr>
          <w:p>
            <w:pPr>
              <w:jc w:val="right"/>
              <w:ind w:right="43"/>
              <w:spacing w:after="0"/>
              <w:rPr>
                <w:sz w:val="20"/>
                <w:szCs w:val="20"/>
                <w:color w:val="auto"/>
              </w:rPr>
            </w:pPr>
            <w:r>
              <w:rPr>
                <w:rFonts w:ascii="Arial" w:cs="Arial" w:eastAsia="Arial" w:hAnsi="Arial"/>
                <w:sz w:val="16"/>
                <w:szCs w:val="16"/>
                <w:color w:val="auto"/>
              </w:rPr>
              <w:t>n/a</w:t>
            </w:r>
          </w:p>
        </w:tc>
        <w:tc>
          <w:tcPr>
            <w:tcW w:w="980" w:type="dxa"/>
            <w:vAlign w:val="bottom"/>
            <w:vMerge w:val="restart"/>
            <w:shd w:val="clear" w:color="auto" w:fill="D8D8D8"/>
          </w:tcPr>
          <w:p>
            <w:pPr>
              <w:jc w:val="right"/>
              <w:ind w:right="43"/>
              <w:spacing w:after="0"/>
              <w:rPr>
                <w:sz w:val="20"/>
                <w:szCs w:val="20"/>
                <w:color w:val="auto"/>
              </w:rPr>
            </w:pPr>
            <w:r>
              <w:rPr>
                <w:rFonts w:ascii="Arial" w:cs="Arial" w:eastAsia="Arial" w:hAnsi="Arial"/>
                <w:sz w:val="16"/>
                <w:szCs w:val="16"/>
                <w:color w:val="auto"/>
              </w:rPr>
              <w:t>2,566,804</w:t>
            </w:r>
          </w:p>
        </w:tc>
        <w:tc>
          <w:tcPr>
            <w:tcW w:w="0" w:type="dxa"/>
            <w:vAlign w:val="bottom"/>
          </w:tcPr>
          <w:p>
            <w:pPr>
              <w:spacing w:after="0"/>
              <w:rPr>
                <w:sz w:val="1"/>
                <w:szCs w:val="1"/>
                <w:color w:val="auto"/>
              </w:rPr>
            </w:pPr>
          </w:p>
        </w:tc>
      </w:tr>
      <w:tr>
        <w:trPr>
          <w:trHeight w:val="100"/>
        </w:trPr>
        <w:tc>
          <w:tcPr>
            <w:tcW w:w="3780" w:type="dxa"/>
            <w:vAlign w:val="bottom"/>
            <w:shd w:val="clear" w:color="auto" w:fill="D8D8D8"/>
          </w:tcPr>
          <w:p>
            <w:pPr>
              <w:spacing w:after="0"/>
              <w:rPr>
                <w:sz w:val="8"/>
                <w:szCs w:val="8"/>
                <w:color w:val="auto"/>
              </w:rPr>
            </w:pPr>
          </w:p>
        </w:tc>
        <w:tc>
          <w:tcPr>
            <w:tcW w:w="1740" w:type="dxa"/>
            <w:vAlign w:val="bottom"/>
            <w:gridSpan w:val="2"/>
            <w:vMerge w:val="restart"/>
            <w:shd w:val="clear" w:color="auto" w:fill="D8D8D8"/>
          </w:tcPr>
          <w:p>
            <w:pPr>
              <w:ind w:left="220"/>
              <w:spacing w:after="0"/>
              <w:rPr>
                <w:sz w:val="20"/>
                <w:szCs w:val="20"/>
                <w:color w:val="auto"/>
              </w:rPr>
            </w:pPr>
            <w:r>
              <w:rPr>
                <w:rFonts w:ascii="Arial" w:cs="Arial" w:eastAsia="Arial" w:hAnsi="Arial"/>
                <w:sz w:val="16"/>
                <w:szCs w:val="16"/>
                <w:color w:val="auto"/>
              </w:rPr>
              <w:t>Compensation Plan</w:t>
            </w:r>
          </w:p>
        </w:tc>
        <w:tc>
          <w:tcPr>
            <w:tcW w:w="1180" w:type="dxa"/>
            <w:vAlign w:val="bottom"/>
            <w:vMerge w:val="continue"/>
            <w:shd w:val="clear" w:color="auto" w:fill="D8D8D8"/>
          </w:tcPr>
          <w:p>
            <w:pPr>
              <w:spacing w:after="0"/>
              <w:rPr>
                <w:sz w:val="8"/>
                <w:szCs w:val="8"/>
                <w:color w:val="auto"/>
              </w:rPr>
            </w:pPr>
          </w:p>
        </w:tc>
        <w:tc>
          <w:tcPr>
            <w:tcW w:w="1200" w:type="dxa"/>
            <w:vAlign w:val="bottom"/>
            <w:vMerge w:val="continue"/>
            <w:shd w:val="clear" w:color="auto" w:fill="D8D8D8"/>
          </w:tcPr>
          <w:p>
            <w:pPr>
              <w:spacing w:after="0"/>
              <w:rPr>
                <w:sz w:val="8"/>
                <w:szCs w:val="8"/>
                <w:color w:val="auto"/>
              </w:rPr>
            </w:pPr>
          </w:p>
        </w:tc>
        <w:tc>
          <w:tcPr>
            <w:tcW w:w="980" w:type="dxa"/>
            <w:vAlign w:val="bottom"/>
            <w:vMerge w:val="continue"/>
            <w:shd w:val="clear" w:color="auto" w:fill="D8D8D8"/>
          </w:tcPr>
          <w:p>
            <w:pPr>
              <w:spacing w:after="0"/>
              <w:rPr>
                <w:sz w:val="8"/>
                <w:szCs w:val="8"/>
                <w:color w:val="auto"/>
              </w:rPr>
            </w:pPr>
          </w:p>
        </w:tc>
        <w:tc>
          <w:tcPr>
            <w:tcW w:w="1140" w:type="dxa"/>
            <w:vAlign w:val="bottom"/>
            <w:vMerge w:val="continue"/>
            <w:shd w:val="clear" w:color="auto" w:fill="D8D8D8"/>
          </w:tcPr>
          <w:p>
            <w:pPr>
              <w:spacing w:after="0"/>
              <w:rPr>
                <w:sz w:val="8"/>
                <w:szCs w:val="8"/>
                <w:color w:val="auto"/>
              </w:rPr>
            </w:pPr>
          </w:p>
        </w:tc>
        <w:tc>
          <w:tcPr>
            <w:tcW w:w="980" w:type="dxa"/>
            <w:vAlign w:val="bottom"/>
            <w:vMerge w:val="continue"/>
            <w:shd w:val="clear" w:color="auto" w:fill="D8D8D8"/>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3780" w:type="dxa"/>
            <w:vAlign w:val="bottom"/>
            <w:tcBorders>
              <w:bottom w:val="single" w:sz="8" w:color="D8D8D8"/>
            </w:tcBorders>
            <w:shd w:val="clear" w:color="auto" w:fill="D8D8D8"/>
          </w:tcPr>
          <w:p>
            <w:pPr>
              <w:spacing w:after="0"/>
              <w:rPr>
                <w:sz w:val="10"/>
                <w:szCs w:val="10"/>
                <w:color w:val="auto"/>
              </w:rPr>
            </w:pPr>
          </w:p>
        </w:tc>
        <w:tc>
          <w:tcPr>
            <w:tcW w:w="1740" w:type="dxa"/>
            <w:vAlign w:val="bottom"/>
            <w:tcBorders>
              <w:bottom w:val="single" w:sz="8" w:color="D8D8D8"/>
            </w:tcBorders>
            <w:gridSpan w:val="2"/>
            <w:vMerge w:val="continue"/>
            <w:shd w:val="clear" w:color="auto" w:fill="D8D8D8"/>
          </w:tcPr>
          <w:p>
            <w:pPr>
              <w:spacing w:after="0"/>
              <w:rPr>
                <w:sz w:val="10"/>
                <w:szCs w:val="10"/>
                <w:color w:val="auto"/>
              </w:rPr>
            </w:pPr>
          </w:p>
        </w:tc>
        <w:tc>
          <w:tcPr>
            <w:tcW w:w="1180" w:type="dxa"/>
            <w:vAlign w:val="bottom"/>
            <w:tcBorders>
              <w:bottom w:val="single" w:sz="8" w:color="D8D8D8"/>
            </w:tcBorders>
            <w:shd w:val="clear" w:color="auto" w:fill="D8D8D8"/>
          </w:tcPr>
          <w:p>
            <w:pPr>
              <w:spacing w:after="0"/>
              <w:rPr>
                <w:sz w:val="10"/>
                <w:szCs w:val="10"/>
                <w:color w:val="auto"/>
              </w:rPr>
            </w:pPr>
          </w:p>
        </w:tc>
        <w:tc>
          <w:tcPr>
            <w:tcW w:w="1200" w:type="dxa"/>
            <w:vAlign w:val="bottom"/>
            <w:tcBorders>
              <w:bottom w:val="single" w:sz="8" w:color="D8D8D8"/>
            </w:tcBorders>
            <w:shd w:val="clear" w:color="auto" w:fill="D8D8D8"/>
          </w:tcPr>
          <w:p>
            <w:pPr>
              <w:spacing w:after="0"/>
              <w:rPr>
                <w:sz w:val="10"/>
                <w:szCs w:val="10"/>
                <w:color w:val="auto"/>
              </w:rPr>
            </w:pPr>
          </w:p>
        </w:tc>
        <w:tc>
          <w:tcPr>
            <w:tcW w:w="980" w:type="dxa"/>
            <w:vAlign w:val="bottom"/>
            <w:tcBorders>
              <w:bottom w:val="single" w:sz="8" w:color="D8D8D8"/>
            </w:tcBorders>
            <w:shd w:val="clear" w:color="auto" w:fill="D8D8D8"/>
          </w:tcPr>
          <w:p>
            <w:pPr>
              <w:spacing w:after="0"/>
              <w:rPr>
                <w:sz w:val="10"/>
                <w:szCs w:val="10"/>
                <w:color w:val="auto"/>
              </w:rPr>
            </w:pPr>
          </w:p>
        </w:tc>
        <w:tc>
          <w:tcPr>
            <w:tcW w:w="1140" w:type="dxa"/>
            <w:vAlign w:val="bottom"/>
            <w:tcBorders>
              <w:bottom w:val="single" w:sz="8" w:color="D8D8D8"/>
            </w:tcBorders>
            <w:shd w:val="clear" w:color="auto" w:fill="D8D8D8"/>
          </w:tcPr>
          <w:p>
            <w:pPr>
              <w:spacing w:after="0"/>
              <w:rPr>
                <w:sz w:val="10"/>
                <w:szCs w:val="10"/>
                <w:color w:val="auto"/>
              </w:rPr>
            </w:pPr>
          </w:p>
        </w:tc>
        <w:tc>
          <w:tcPr>
            <w:tcW w:w="980" w:type="dxa"/>
            <w:vAlign w:val="bottom"/>
            <w:tcBorders>
              <w:bottom w:val="single" w:sz="8" w:color="D8D8D8"/>
            </w:tcBorders>
            <w:shd w:val="clear" w:color="auto" w:fill="D8D8D8"/>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7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2540635</wp:posOffset>
            </wp:positionH>
            <wp:positionV relativeFrom="paragraph">
              <wp:posOffset>-1515745</wp:posOffset>
            </wp:positionV>
            <wp:extent cx="458279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582795" cy="8255"/>
                    </a:xfrm>
                    <a:prstGeom prst="rect">
                      <a:avLst/>
                    </a:prstGeom>
                    <a:noFill/>
                  </pic:spPr>
                </pic:pic>
              </a:graphicData>
            </a:graphic>
          </wp:anchor>
        </w:drawing>
      </w:r>
    </w:p>
    <w:p>
      <w:pPr>
        <w:spacing w:after="0" w:line="33" w:lineRule="exact"/>
        <w:rPr>
          <w:sz w:val="20"/>
          <w:szCs w:val="20"/>
          <w:color w:val="auto"/>
        </w:rPr>
      </w:pPr>
    </w:p>
    <w:p>
      <w:pPr>
        <w:ind w:left="540" w:right="160" w:hanging="330"/>
        <w:spacing w:after="0" w:line="256" w:lineRule="auto"/>
        <w:tabs>
          <w:tab w:leader="none" w:pos="540" w:val="left"/>
        </w:tabs>
        <w:numPr>
          <w:ilvl w:val="0"/>
          <w:numId w:val="52"/>
        </w:numPr>
        <w:rPr>
          <w:rFonts w:ascii="Arial" w:cs="Arial" w:eastAsia="Arial" w:hAnsi="Arial"/>
          <w:sz w:val="16"/>
          <w:szCs w:val="16"/>
          <w:i w:val="1"/>
          <w:iCs w:val="1"/>
          <w:color w:val="auto"/>
        </w:rPr>
      </w:pPr>
      <w:r>
        <w:rPr>
          <w:rFonts w:ascii="Arial" w:cs="Arial" w:eastAsia="Arial" w:hAnsi="Arial"/>
          <w:sz w:val="16"/>
          <w:szCs w:val="16"/>
          <w:i w:val="1"/>
          <w:iCs w:val="1"/>
          <w:color w:val="auto"/>
        </w:rPr>
        <w:t>If any amounts were shown as executive contributions in 2017, they would be included in the Summary Compensation Table in the salary, bonus or non-equity incentive plan compensation columns, as appropriate, for the respective officers.</w:t>
      </w:r>
    </w:p>
    <w:p>
      <w:pPr>
        <w:spacing w:after="0" w:line="1" w:lineRule="exact"/>
        <w:rPr>
          <w:rFonts w:ascii="Arial" w:cs="Arial" w:eastAsia="Arial" w:hAnsi="Arial"/>
          <w:sz w:val="16"/>
          <w:szCs w:val="16"/>
          <w:i w:val="1"/>
          <w:iCs w:val="1"/>
          <w:color w:val="auto"/>
        </w:rPr>
      </w:pPr>
    </w:p>
    <w:p>
      <w:pPr>
        <w:ind w:left="540" w:right="120" w:hanging="330"/>
        <w:spacing w:after="0" w:line="248" w:lineRule="auto"/>
        <w:tabs>
          <w:tab w:leader="none" w:pos="540" w:val="left"/>
        </w:tabs>
        <w:numPr>
          <w:ilvl w:val="0"/>
          <w:numId w:val="52"/>
        </w:numPr>
        <w:rPr>
          <w:rFonts w:ascii="Arial" w:cs="Arial" w:eastAsia="Arial" w:hAnsi="Arial"/>
          <w:sz w:val="16"/>
          <w:szCs w:val="16"/>
          <w:i w:val="1"/>
          <w:iCs w:val="1"/>
          <w:color w:val="auto"/>
        </w:rPr>
      </w:pPr>
      <w:r>
        <w:rPr>
          <w:rFonts w:ascii="Arial" w:cs="Arial" w:eastAsia="Arial" w:hAnsi="Arial"/>
          <w:sz w:val="16"/>
          <w:szCs w:val="16"/>
          <w:i w:val="1"/>
          <w:iCs w:val="1"/>
          <w:color w:val="auto"/>
        </w:rPr>
        <w:t>In 1984-1985, we offered our executive officers an executive deferred income plan (the “EDIP”). Mr. Livingston participated in the EDIP, pursuant to which he elected to defer certain income during the period 1985-1988. We will repay this deferred income to him (or his estate) beginning when Mr. Livingston has reached age 65 and retired from our Company, and continuing thereafter for a period of 15 years. The amount Mr. Livingston deferred, $20,000, will be repaid together with interest compounding at the rate of 12.5%, through December 31, 2008. This was a competitive market interest rate at the time the program was introduced. As of January 1, 2009 and for each January 1 thereafter, Mr. Livingston’s deferrals plus interest credited thereon through December 31, 2008, will be credited with interest, compounded annually, at a rate equal to Moody’s Aa Corporate Bond Index published on December 31 of the preceding year. As part of the EDIP, we purchased whole life insurance policies payable to us to fund the anticipated cost of this program. This plan has been closed since 1988.</w:t>
      </w:r>
    </w:p>
    <w:p>
      <w:pPr>
        <w:spacing w:after="0" w:line="179" w:lineRule="exact"/>
        <w:rPr>
          <w:sz w:val="20"/>
          <w:szCs w:val="20"/>
          <w:color w:val="auto"/>
        </w:rPr>
      </w:pPr>
    </w:p>
    <w:p>
      <w:pPr>
        <w:ind w:left="220" w:right="40"/>
        <w:spacing w:after="0" w:line="248" w:lineRule="auto"/>
        <w:rPr>
          <w:sz w:val="20"/>
          <w:szCs w:val="20"/>
          <w:color w:val="auto"/>
        </w:rPr>
      </w:pPr>
      <w:r>
        <w:rPr>
          <w:rFonts w:ascii="Arial" w:cs="Arial" w:eastAsia="Arial" w:hAnsi="Arial"/>
          <w:sz w:val="16"/>
          <w:szCs w:val="16"/>
          <w:color w:val="auto"/>
        </w:rPr>
        <w:t>Our deferred compensation plan is a nonqualified plan that permits select key management and highly compensated employees on a U.S. payroll with an annual salary equal to or greater than $175,000 to irrevocably elect to defer a portion of their salary and bonus. The deferred compensation plan provides participants who are not eligible to participate in the Pension Replacement Plan with the same level of matching and other employer contributions that they would have received if certain compensation limits under our Retirement Savings plan did not apply. Our NEOs participate in the Pension Replacement Plan and are therefore not eligible to receive matching and other employer contributions under the deferred compensation plan. As amended, the plan operates similar to an “excess” deferred compensation plan in that it provides for employer contributions on salary and bonuses in excess of the compensation limit permitted under the tax-qualified retirement savings plan.</w:t>
      </w:r>
    </w:p>
    <w:p>
      <w:pPr>
        <w:spacing w:after="0" w:line="167" w:lineRule="exact"/>
        <w:rPr>
          <w:sz w:val="20"/>
          <w:szCs w:val="20"/>
          <w:color w:val="auto"/>
        </w:rPr>
      </w:pPr>
    </w:p>
    <w:p>
      <w:pPr>
        <w:jc w:val="both"/>
        <w:ind w:left="220" w:right="360"/>
        <w:spacing w:after="0" w:line="253" w:lineRule="auto"/>
        <w:rPr>
          <w:sz w:val="20"/>
          <w:szCs w:val="20"/>
          <w:color w:val="auto"/>
        </w:rPr>
      </w:pPr>
      <w:r>
        <w:rPr>
          <w:rFonts w:ascii="Arial" w:cs="Arial" w:eastAsia="Arial" w:hAnsi="Arial"/>
          <w:sz w:val="16"/>
          <w:szCs w:val="16"/>
          <w:color w:val="auto"/>
        </w:rPr>
        <w:t>Under the amended deferred compensation plan, an eligible participant’s account will be credited with matching employer contributions on salary and bonus deferred under the plan each year on or after January 1, 2014, at the same rate as under our retirement savings plan plus additional employer contributions at the same rate that the participant’s business unit makes “automatic” contributions under our retirement savings plan each year.</w:t>
      </w:r>
    </w:p>
    <w:p>
      <w:pPr>
        <w:spacing w:after="0" w:line="160" w:lineRule="exact"/>
        <w:rPr>
          <w:sz w:val="20"/>
          <w:szCs w:val="20"/>
          <w:color w:val="auto"/>
        </w:rPr>
      </w:pPr>
    </w:p>
    <w:p>
      <w:pPr>
        <w:ind w:left="220" w:right="260"/>
        <w:spacing w:after="0" w:line="260" w:lineRule="auto"/>
        <w:rPr>
          <w:sz w:val="20"/>
          <w:szCs w:val="20"/>
          <w:color w:val="auto"/>
        </w:rPr>
      </w:pPr>
      <w:r>
        <w:rPr>
          <w:rFonts w:ascii="Arial" w:cs="Arial" w:eastAsia="Arial" w:hAnsi="Arial"/>
          <w:sz w:val="16"/>
          <w:szCs w:val="16"/>
          <w:color w:val="auto"/>
        </w:rPr>
        <w:t>Amounts deferred under the plan are credited with hypothetical investment earnings based on the participant’s investment elections made from among investment options designated under the plan. Participants are 100% vested</w:t>
      </w:r>
    </w:p>
    <w:p>
      <w:pPr>
        <w:spacing w:after="0" w:line="10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63</w:t>
      </w:r>
    </w:p>
    <w:p>
      <w:pPr>
        <w:sectPr>
          <w:pgSz w:w="11900" w:h="16838" w:orient="portrait"/>
          <w:cols w:equalWidth="0" w:num="1">
            <w:col w:w="11220"/>
          </w:cols>
          <w:pgMar w:left="240" w:top="459" w:right="4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EXECUTIVE COMPENSATION TABLES</w:t>
      </w:r>
    </w:p>
    <w:p>
      <w:pPr>
        <w:spacing w:after="0" w:line="173" w:lineRule="exact"/>
        <w:rPr>
          <w:sz w:val="20"/>
          <w:szCs w:val="20"/>
          <w:color w:val="auto"/>
        </w:rPr>
      </w:pPr>
    </w:p>
    <w:p>
      <w:pPr>
        <w:ind w:left="220"/>
        <w:spacing w:after="0" w:line="249" w:lineRule="auto"/>
        <w:rPr>
          <w:sz w:val="20"/>
          <w:szCs w:val="20"/>
          <w:color w:val="auto"/>
        </w:rPr>
      </w:pPr>
      <w:r>
        <w:rPr>
          <w:rFonts w:ascii="Arial" w:cs="Arial" w:eastAsia="Arial" w:hAnsi="Arial"/>
          <w:sz w:val="16"/>
          <w:szCs w:val="16"/>
          <w:color w:val="auto"/>
        </w:rPr>
        <w:t>in all amounts they defer, as adjusted for any earnings and losses on such deferred amounts. Effective as of January 1, 2010, a hypothetical investment option that tracks the value of Dover common stock, including any dividend payments, was added to the plan. This Dover stock unit fund does not actually hold any Dover stock, and participants who elect to participate in this option do not own any Dover common stock, or have any voting or other rights associated with the ownership of our common stock. Participants’ accounts are credited with the net returns of shares of our common stock equal to the number of stock units held by the participant. All distributions from the stock unit fund will be paid in cash. Balances allocated into the stock unit fund must remain in the stock unit fund for the remainder of the participant’s participation in the plan.</w:t>
      </w:r>
    </w:p>
    <w:p>
      <w:pPr>
        <w:spacing w:after="0" w:line="177" w:lineRule="exact"/>
        <w:rPr>
          <w:sz w:val="20"/>
          <w:szCs w:val="20"/>
          <w:color w:val="auto"/>
        </w:rPr>
      </w:pPr>
    </w:p>
    <w:p>
      <w:pPr>
        <w:ind w:left="220" w:right="360"/>
        <w:spacing w:after="0" w:line="260" w:lineRule="auto"/>
        <w:rPr>
          <w:sz w:val="20"/>
          <w:szCs w:val="20"/>
          <w:color w:val="auto"/>
        </w:rPr>
      </w:pPr>
      <w:r>
        <w:rPr>
          <w:rFonts w:ascii="Arial" w:cs="Arial" w:eastAsia="Arial" w:hAnsi="Arial"/>
          <w:sz w:val="16"/>
          <w:szCs w:val="16"/>
          <w:color w:val="auto"/>
        </w:rPr>
        <w:t>Generally, deferred amounts will be distributed from the plan only on account of retirement at age 65 (or age 55 with 10 years of service), disability or other termination of service, or at a scheduled in-service withdrawal date chosen by the participant.</w:t>
      </w:r>
    </w:p>
    <w:p>
      <w:pPr>
        <w:spacing w:after="0" w:line="161"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32406B"/>
        </w:rPr>
        <w:t>Potential Payments upon Termination or Change-in-Control</w:t>
      </w:r>
    </w:p>
    <w:p>
      <w:pPr>
        <w:spacing w:after="0" w:line="92" w:lineRule="exact"/>
        <w:rPr>
          <w:sz w:val="20"/>
          <w:szCs w:val="20"/>
          <w:color w:val="auto"/>
        </w:rPr>
      </w:pPr>
    </w:p>
    <w:p>
      <w:pPr>
        <w:ind w:left="220" w:right="460"/>
        <w:spacing w:after="0" w:line="260" w:lineRule="auto"/>
        <w:rPr>
          <w:sz w:val="20"/>
          <w:szCs w:val="20"/>
          <w:color w:val="auto"/>
        </w:rPr>
      </w:pPr>
      <w:r>
        <w:rPr>
          <w:rFonts w:ascii="Arial" w:cs="Arial" w:eastAsia="Arial" w:hAnsi="Arial"/>
          <w:sz w:val="16"/>
          <w:szCs w:val="16"/>
          <w:color w:val="auto"/>
        </w:rPr>
        <w:t>The discussion and tables below describe the payments to which each of the NEOs would be entitled in the event of termination of such executive’s employment or a change-in-control.</w:t>
      </w:r>
    </w:p>
    <w:p>
      <w:pPr>
        <w:spacing w:after="0" w:line="154" w:lineRule="exact"/>
        <w:rPr>
          <w:sz w:val="20"/>
          <w:szCs w:val="20"/>
          <w:color w:val="auto"/>
        </w:rPr>
      </w:pPr>
    </w:p>
    <w:p>
      <w:pPr>
        <w:ind w:left="220" w:right="100"/>
        <w:spacing w:after="0" w:line="248" w:lineRule="auto"/>
        <w:rPr>
          <w:sz w:val="20"/>
          <w:szCs w:val="20"/>
          <w:color w:val="auto"/>
        </w:rPr>
      </w:pPr>
      <w:r>
        <w:rPr>
          <w:rFonts w:ascii="Arial" w:cs="Arial" w:eastAsia="Arial" w:hAnsi="Arial"/>
          <w:sz w:val="16"/>
          <w:szCs w:val="16"/>
          <w:color w:val="auto"/>
        </w:rPr>
        <w:t>In November 2010, Dover adopted an executive severance plan (the “severance plan”) and senior executive CIC severance plan. See “Compensation Discussion and Analysis — Other Compensation Programs and Policies” for a description of the plans. The severance plan creates a consistent and transparent severance policy for determining benefits for all similarly-situated executives and formalizes Dover’s current executive severance practices. All of our executives, including our NEOs, are eligible to participate in the severance plan. The CIC severance plan likewise establishes a consistent policy regarding double-trigger change-in-control severance payments based on current market practices. The CIC severance plan applies to all executives who are subject to Dover’s senior executive shareholding guidelines on the date of a change-in-control (as defined in the plan), including all NEOs. Each of the severance plan and the CIC severance plan gives Dover the right to recover amounts paid to an executive under the plan as required under any clawback policy of Dover as in effect from time to time or under applicable law.</w:t>
      </w:r>
    </w:p>
    <w:p>
      <w:pPr>
        <w:spacing w:after="0" w:line="17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2005 Plan, the LTIP and Dover’s other benefit plans each have their own provisions relating to rights and obligations under the plan upon termination.</w:t>
      </w:r>
    </w:p>
    <w:p>
      <w:pPr>
        <w:spacing w:after="0" w:line="180" w:lineRule="exact"/>
        <w:rPr>
          <w:sz w:val="20"/>
          <w:szCs w:val="20"/>
          <w:color w:val="auto"/>
        </w:rPr>
      </w:pPr>
    </w:p>
    <w:p>
      <w:pPr>
        <w:ind w:left="220" w:right="100"/>
        <w:spacing w:after="0" w:line="248" w:lineRule="auto"/>
        <w:rPr>
          <w:sz w:val="20"/>
          <w:szCs w:val="20"/>
          <w:color w:val="auto"/>
        </w:rPr>
      </w:pPr>
      <w:r>
        <w:rPr>
          <w:rFonts w:ascii="Arial" w:cs="Arial" w:eastAsia="Arial" w:hAnsi="Arial"/>
          <w:sz w:val="16"/>
          <w:szCs w:val="16"/>
          <w:color w:val="auto"/>
        </w:rPr>
        <w:t>The table below shows the aggregate amount of potential payments and other benefits that each NEO would have been entitled to receive if his employment had terminated in certain circumstances, other than as a result of a change-in-control, on December 31, 2017. The amounts shown assume that termination was effective as of December 31, 2017, include amounts earned through such time and are estimates of the amounts which could have been paid out to the executives upon their termination at that time. The actual amounts to be paid out can only be determined at the time of each executive’s separation from our Company. Annual bonuses are discretionary and are therefore omitted from the tables. No NEO was eligible for normal retirement as of December 31, 2017 so we have omitted that column from the table. As of December 31, 2017, Messrs. Livingston and Spurgeon were eligible for early retirement under the Rule of 70 (as defined below) under the 2005 Plan and LTIP in respect of all awards granted to them prior to such date.</w:t>
      </w:r>
    </w:p>
    <w:p>
      <w:pPr>
        <w:spacing w:after="0" w:line="165" w:lineRule="exact"/>
        <w:rPr>
          <w:sz w:val="20"/>
          <w:szCs w:val="20"/>
          <w:color w:val="auto"/>
        </w:rPr>
      </w:pPr>
    </w:p>
    <w:p>
      <w:pPr>
        <w:ind w:left="220" w:right="100"/>
        <w:spacing w:after="0" w:line="250" w:lineRule="auto"/>
        <w:rPr>
          <w:sz w:val="20"/>
          <w:szCs w:val="20"/>
          <w:color w:val="auto"/>
        </w:rPr>
      </w:pPr>
      <w:r>
        <w:rPr>
          <w:rFonts w:ascii="Arial" w:cs="Arial" w:eastAsia="Arial" w:hAnsi="Arial"/>
          <w:sz w:val="16"/>
          <w:szCs w:val="16"/>
          <w:color w:val="auto"/>
        </w:rPr>
        <w:t>Normal retirement is defined as (i) age 65 under the pension plan and PRP (however, as noted in the PRP plan description, certain participants including the NEOs other than Mr. Fincher can receive an unreduced portion of their PRP benefit as of age 62), (ii) age 65 (or 55 with 10 years of service) under the deferred compensation plan, and (iii) age 62 under the LTIP for awards prior to August 6, 2014 and 65 for all grants thereafter. Early retirement is defined in each of the deferred compensation plan, the PRP and the pension plan as described in the applicable plan description above.</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64</w:t>
      </w:r>
    </w:p>
    <w:p>
      <w:pPr>
        <w:sectPr>
          <w:pgSz w:w="11900" w:h="16838" w:orient="portrait"/>
          <w:cols w:equalWidth="0" w:num="1">
            <w:col w:w="11220"/>
          </w:cols>
          <w:pgMar w:left="240" w:top="459" w:right="4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EXECUTIVE COMPENSATION TABLES</w:t>
      </w:r>
    </w:p>
    <w:p>
      <w:pPr>
        <w:spacing w:after="0" w:line="173" w:lineRule="exact"/>
        <w:rPr>
          <w:sz w:val="20"/>
          <w:szCs w:val="20"/>
          <w:color w:val="auto"/>
        </w:rPr>
      </w:pPr>
    </w:p>
    <w:p>
      <w:pPr>
        <w:ind w:left="220" w:right="180"/>
        <w:spacing w:after="0" w:line="260" w:lineRule="auto"/>
        <w:rPr>
          <w:sz w:val="20"/>
          <w:szCs w:val="20"/>
          <w:color w:val="auto"/>
        </w:rPr>
      </w:pPr>
      <w:r>
        <w:rPr>
          <w:rFonts w:ascii="Arial" w:cs="Arial" w:eastAsia="Arial" w:hAnsi="Arial"/>
          <w:sz w:val="16"/>
          <w:szCs w:val="16"/>
          <w:color w:val="auto"/>
        </w:rPr>
        <w:t>With respect to awards under the LTIP, early retirement is defined as termination for any reason other than normal retirement, death, disability or cause, under one of the following circumstances:</w:t>
      </w:r>
    </w:p>
    <w:p>
      <w:pPr>
        <w:spacing w:after="0" w:line="195" w:lineRule="exact"/>
        <w:rPr>
          <w:sz w:val="20"/>
          <w:szCs w:val="20"/>
          <w:color w:val="auto"/>
        </w:rPr>
      </w:pPr>
    </w:p>
    <w:p>
      <w:pPr>
        <w:ind w:left="860" w:right="80" w:hanging="326"/>
        <w:spacing w:after="0" w:line="253" w:lineRule="auto"/>
        <w:tabs>
          <w:tab w:leader="none" w:pos="8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executive has at least 10 years of service with a Dover company, the sum of his or her age and years of service on the date of termination equals at least 65, and for awards granted on or after August 6, 2014, is at least 55 years old (the “Rule of 65”), and the executive complies with certain notice requirements;</w:t>
      </w:r>
    </w:p>
    <w:p>
      <w:pPr>
        <w:spacing w:after="0" w:line="65" w:lineRule="exact"/>
        <w:rPr>
          <w:rFonts w:ascii="Arial" w:cs="Arial" w:eastAsia="Arial" w:hAnsi="Arial"/>
          <w:sz w:val="16"/>
          <w:szCs w:val="16"/>
          <w:color w:val="auto"/>
        </w:rPr>
      </w:pPr>
    </w:p>
    <w:p>
      <w:pPr>
        <w:ind w:left="860" w:right="80" w:hanging="326"/>
        <w:spacing w:after="0" w:line="253" w:lineRule="auto"/>
        <w:tabs>
          <w:tab w:leader="none" w:pos="8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executive has at least 15 years of service with a Dover company, the sum of his or her age and years of service on the date of termination equals at least 70, and for awards granted on or after August 6, 2014, is at least 60 years old (the “Rule of 70”), and the executive complies with certain notice requirements; or</w:t>
      </w:r>
    </w:p>
    <w:p>
      <w:pPr>
        <w:spacing w:after="0" w:line="65" w:lineRule="exact"/>
        <w:rPr>
          <w:rFonts w:ascii="Arial" w:cs="Arial" w:eastAsia="Arial" w:hAnsi="Arial"/>
          <w:sz w:val="16"/>
          <w:szCs w:val="16"/>
          <w:color w:val="auto"/>
        </w:rPr>
      </w:pPr>
    </w:p>
    <w:p>
      <w:pPr>
        <w:ind w:left="860" w:right="460" w:hanging="326"/>
        <w:spacing w:after="0" w:line="260" w:lineRule="auto"/>
        <w:tabs>
          <w:tab w:leader="none" w:pos="8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executive’s employment terminates because the company or line of business in which he or she is employed is sold and the executive remains employed in good standing through the closing date of the sale (“sale of a company”).</w:t>
      </w:r>
    </w:p>
    <w:p>
      <w:pPr>
        <w:spacing w:after="0" w:line="168" w:lineRule="exact"/>
        <w:rPr>
          <w:sz w:val="20"/>
          <w:szCs w:val="20"/>
          <w:color w:val="auto"/>
        </w:rPr>
      </w:pPr>
    </w:p>
    <w:p>
      <w:pPr>
        <w:ind w:left="220" w:right="360"/>
        <w:spacing w:after="0" w:line="250" w:lineRule="auto"/>
        <w:rPr>
          <w:sz w:val="20"/>
          <w:szCs w:val="20"/>
          <w:color w:val="auto"/>
        </w:rPr>
      </w:pPr>
      <w:r>
        <w:rPr>
          <w:rFonts w:ascii="Arial" w:cs="Arial" w:eastAsia="Arial" w:hAnsi="Arial"/>
          <w:sz w:val="16"/>
          <w:szCs w:val="16"/>
          <w:color w:val="auto"/>
        </w:rPr>
        <w:t>Any person who takes early or normal retirement under the LTIP is deemed to have expressly agreed that he or she will not compete with us on the following terms: the participant will not compete with us or any of our companies at which he or she was employed within the three years immediately prior to his or her termination, in the geographic areas in which we or that company actively carried on business at the end of the participant’s employment, for the period during which such retirement affords him or her enhanced benefits.</w:t>
      </w:r>
    </w:p>
    <w:p>
      <w:pPr>
        <w:spacing w:after="0" w:line="164" w:lineRule="exact"/>
        <w:rPr>
          <w:sz w:val="20"/>
          <w:szCs w:val="20"/>
          <w:color w:val="auto"/>
        </w:rPr>
      </w:pPr>
    </w:p>
    <w:p>
      <w:pPr>
        <w:ind w:left="220" w:right="180"/>
        <w:spacing w:after="0" w:line="260" w:lineRule="auto"/>
        <w:rPr>
          <w:sz w:val="20"/>
          <w:szCs w:val="20"/>
          <w:color w:val="auto"/>
        </w:rPr>
      </w:pPr>
      <w:r>
        <w:rPr>
          <w:rFonts w:ascii="Arial" w:cs="Arial" w:eastAsia="Arial" w:hAnsi="Arial"/>
          <w:sz w:val="16"/>
          <w:szCs w:val="16"/>
          <w:color w:val="auto"/>
        </w:rPr>
        <w:t>If the participant fails to comply with the non-compete provision, he or she forfeits the enhanced benefits referred to above and must return to Dover the economic value previously realized by reason of such benefits.</w:t>
      </w:r>
    </w:p>
    <w:p>
      <w:pPr>
        <w:spacing w:after="0" w:line="173"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406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200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tcPr>
          <w:p>
            <w:pPr>
              <w:spacing w:after="0"/>
              <w:rPr>
                <w:sz w:val="14"/>
                <w:szCs w:val="14"/>
                <w:color w:val="auto"/>
              </w:rPr>
            </w:pPr>
          </w:p>
        </w:tc>
        <w:tc>
          <w:tcPr>
            <w:tcW w:w="2160" w:type="dxa"/>
            <w:vAlign w:val="bottom"/>
            <w:tcBorders>
              <w:top w:val="single" w:sz="8" w:color="auto"/>
            </w:tcBorders>
          </w:tcPr>
          <w:p>
            <w:pPr>
              <w:ind w:left="300"/>
              <w:spacing w:after="0"/>
              <w:rPr>
                <w:sz w:val="20"/>
                <w:szCs w:val="20"/>
                <w:color w:val="auto"/>
              </w:rPr>
            </w:pPr>
            <w:r>
              <w:rPr>
                <w:rFonts w:ascii="Arial" w:cs="Arial" w:eastAsia="Arial" w:hAnsi="Arial"/>
                <w:sz w:val="14"/>
                <w:szCs w:val="14"/>
                <w:b w:val="1"/>
                <w:bCs w:val="1"/>
                <w:color w:val="auto"/>
              </w:rPr>
              <w:t>Early Retirement</w:t>
            </w:r>
          </w:p>
        </w:tc>
      </w:tr>
      <w:tr>
        <w:trPr>
          <w:trHeight w:val="162"/>
        </w:trPr>
        <w:tc>
          <w:tcPr>
            <w:tcW w:w="4060" w:type="dxa"/>
            <w:vAlign w:val="bottom"/>
          </w:tcPr>
          <w:p>
            <w:pPr>
              <w:spacing w:after="0"/>
              <w:rPr>
                <w:sz w:val="14"/>
                <w:szCs w:val="14"/>
                <w:color w:val="auto"/>
              </w:rPr>
            </w:pPr>
          </w:p>
        </w:tc>
        <w:tc>
          <w:tcPr>
            <w:tcW w:w="1260" w:type="dxa"/>
            <w:vAlign w:val="bottom"/>
          </w:tcPr>
          <w:p>
            <w:pPr>
              <w:ind w:left="120"/>
              <w:spacing w:after="0"/>
              <w:rPr>
                <w:sz w:val="20"/>
                <w:szCs w:val="20"/>
                <w:color w:val="auto"/>
              </w:rPr>
            </w:pPr>
            <w:r>
              <w:rPr>
                <w:rFonts w:ascii="Arial" w:cs="Arial" w:eastAsia="Arial" w:hAnsi="Arial"/>
                <w:sz w:val="14"/>
                <w:szCs w:val="14"/>
                <w:b w:val="1"/>
                <w:bCs w:val="1"/>
                <w:color w:val="auto"/>
              </w:rPr>
              <w:t>Voluntary</w:t>
            </w:r>
          </w:p>
        </w:tc>
        <w:tc>
          <w:tcPr>
            <w:tcW w:w="2000" w:type="dxa"/>
            <w:vAlign w:val="bottom"/>
          </w:tcPr>
          <w:p>
            <w:pPr>
              <w:ind w:left="300"/>
              <w:spacing w:after="0"/>
              <w:rPr>
                <w:sz w:val="20"/>
                <w:szCs w:val="20"/>
                <w:color w:val="auto"/>
              </w:rPr>
            </w:pPr>
            <w:r>
              <w:rPr>
                <w:rFonts w:ascii="Arial" w:cs="Arial" w:eastAsia="Arial" w:hAnsi="Arial"/>
                <w:sz w:val="14"/>
                <w:szCs w:val="14"/>
                <w:b w:val="1"/>
                <w:bCs w:val="1"/>
                <w:color w:val="auto"/>
              </w:rPr>
              <w:t>Involuntary Not for</w:t>
            </w:r>
          </w:p>
        </w:tc>
        <w:tc>
          <w:tcPr>
            <w:tcW w:w="1520" w:type="dxa"/>
            <w:vAlign w:val="bottom"/>
          </w:tcPr>
          <w:p>
            <w:pPr>
              <w:ind w:left="400"/>
              <w:spacing w:after="0"/>
              <w:rPr>
                <w:sz w:val="20"/>
                <w:szCs w:val="20"/>
                <w:color w:val="auto"/>
              </w:rPr>
            </w:pPr>
            <w:r>
              <w:rPr>
                <w:rFonts w:ascii="Arial" w:cs="Arial" w:eastAsia="Arial" w:hAnsi="Arial"/>
                <w:sz w:val="14"/>
                <w:szCs w:val="14"/>
                <w:b w:val="1"/>
                <w:bCs w:val="1"/>
                <w:color w:val="auto"/>
              </w:rPr>
              <w:t>For Cause</w:t>
            </w:r>
          </w:p>
        </w:tc>
        <w:tc>
          <w:tcPr>
            <w:tcW w:w="2160" w:type="dxa"/>
            <w:vAlign w:val="bottom"/>
          </w:tcPr>
          <w:p>
            <w:pPr>
              <w:ind w:left="300"/>
              <w:spacing w:after="0"/>
              <w:rPr>
                <w:sz w:val="20"/>
                <w:szCs w:val="20"/>
                <w:color w:val="auto"/>
              </w:rPr>
            </w:pPr>
            <w:r>
              <w:rPr>
                <w:rFonts w:ascii="Arial" w:cs="Arial" w:eastAsia="Arial" w:hAnsi="Arial"/>
                <w:sz w:val="14"/>
                <w:szCs w:val="14"/>
                <w:b w:val="1"/>
                <w:bCs w:val="1"/>
                <w:color w:val="auto"/>
              </w:rPr>
              <w:t>under</w:t>
            </w:r>
          </w:p>
        </w:tc>
      </w:tr>
      <w:tr>
        <w:trPr>
          <w:trHeight w:val="162"/>
        </w:trPr>
        <w:tc>
          <w:tcPr>
            <w:tcW w:w="4060" w:type="dxa"/>
            <w:vAlign w:val="bottom"/>
          </w:tcPr>
          <w:p>
            <w:pPr>
              <w:spacing w:after="0"/>
              <w:rPr>
                <w:sz w:val="14"/>
                <w:szCs w:val="14"/>
                <w:color w:val="auto"/>
              </w:rPr>
            </w:pPr>
          </w:p>
        </w:tc>
        <w:tc>
          <w:tcPr>
            <w:tcW w:w="1260" w:type="dxa"/>
            <w:vAlign w:val="bottom"/>
          </w:tcPr>
          <w:p>
            <w:pPr>
              <w:ind w:left="120"/>
              <w:spacing w:after="0"/>
              <w:rPr>
                <w:sz w:val="20"/>
                <w:szCs w:val="20"/>
                <w:color w:val="auto"/>
              </w:rPr>
            </w:pPr>
            <w:r>
              <w:rPr>
                <w:rFonts w:ascii="Arial" w:cs="Arial" w:eastAsia="Arial" w:hAnsi="Arial"/>
                <w:sz w:val="14"/>
                <w:szCs w:val="14"/>
                <w:b w:val="1"/>
                <w:bCs w:val="1"/>
                <w:color w:val="auto"/>
              </w:rPr>
              <w:t>Termination</w:t>
            </w:r>
          </w:p>
        </w:tc>
        <w:tc>
          <w:tcPr>
            <w:tcW w:w="2000" w:type="dxa"/>
            <w:vAlign w:val="bottom"/>
          </w:tcPr>
          <w:p>
            <w:pPr>
              <w:ind w:left="300"/>
              <w:spacing w:after="0"/>
              <w:rPr>
                <w:sz w:val="20"/>
                <w:szCs w:val="20"/>
                <w:color w:val="auto"/>
              </w:rPr>
            </w:pPr>
            <w:r>
              <w:rPr>
                <w:rFonts w:ascii="Arial" w:cs="Arial" w:eastAsia="Arial" w:hAnsi="Arial"/>
                <w:sz w:val="14"/>
                <w:szCs w:val="14"/>
                <w:b w:val="1"/>
                <w:bCs w:val="1"/>
                <w:color w:val="auto"/>
              </w:rPr>
              <w:t>Cause Termination</w:t>
            </w:r>
          </w:p>
        </w:tc>
        <w:tc>
          <w:tcPr>
            <w:tcW w:w="1520" w:type="dxa"/>
            <w:vAlign w:val="bottom"/>
          </w:tcPr>
          <w:p>
            <w:pPr>
              <w:ind w:left="400"/>
              <w:spacing w:after="0"/>
              <w:rPr>
                <w:sz w:val="20"/>
                <w:szCs w:val="20"/>
                <w:color w:val="auto"/>
              </w:rPr>
            </w:pPr>
            <w:r>
              <w:rPr>
                <w:rFonts w:ascii="Arial" w:cs="Arial" w:eastAsia="Arial" w:hAnsi="Arial"/>
                <w:sz w:val="14"/>
                <w:szCs w:val="14"/>
                <w:b w:val="1"/>
                <w:bCs w:val="1"/>
                <w:color w:val="auto"/>
              </w:rPr>
              <w:t>Termination</w:t>
            </w:r>
          </w:p>
        </w:tc>
        <w:tc>
          <w:tcPr>
            <w:tcW w:w="2160" w:type="dxa"/>
            <w:vAlign w:val="bottom"/>
          </w:tcPr>
          <w:p>
            <w:pPr>
              <w:ind w:left="300"/>
              <w:spacing w:after="0"/>
              <w:rPr>
                <w:sz w:val="20"/>
                <w:szCs w:val="20"/>
                <w:color w:val="auto"/>
              </w:rPr>
            </w:pPr>
            <w:r>
              <w:rPr>
                <w:rFonts w:ascii="Arial" w:cs="Arial" w:eastAsia="Arial" w:hAnsi="Arial"/>
                <w:sz w:val="14"/>
                <w:szCs w:val="14"/>
                <w:b w:val="1"/>
                <w:bCs w:val="1"/>
                <w:color w:val="auto"/>
              </w:rPr>
              <w:t>Rule of 65 or 70</w:t>
            </w:r>
          </w:p>
        </w:tc>
      </w:tr>
      <w:tr>
        <w:trPr>
          <w:trHeight w:val="189"/>
        </w:trPr>
        <w:tc>
          <w:tcPr>
            <w:tcW w:w="40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($)(1)</w:t>
            </w:r>
          </w:p>
        </w:tc>
        <w:tc>
          <w:tcPr>
            <w:tcW w:w="200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($)(2)</w:t>
            </w:r>
          </w:p>
        </w:tc>
        <w:tc>
          <w:tcPr>
            <w:tcW w:w="152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($)(3)</w:t>
            </w:r>
          </w:p>
        </w:tc>
        <w:tc>
          <w:tcPr>
            <w:tcW w:w="216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($)(4)</w:t>
            </w:r>
          </w:p>
        </w:tc>
      </w:tr>
      <w:tr>
        <w:trPr>
          <w:trHeight w:val="47"/>
        </w:trPr>
        <w:tc>
          <w:tcPr>
            <w:tcW w:w="4060" w:type="dxa"/>
            <w:vAlign w:val="bottom"/>
          </w:tcPr>
          <w:p>
            <w:pPr>
              <w:spacing w:after="0"/>
              <w:rPr>
                <w:sz w:val="4"/>
                <w:szCs w:val="4"/>
                <w:color w:val="auto"/>
              </w:rPr>
            </w:pPr>
          </w:p>
        </w:tc>
        <w:tc>
          <w:tcPr>
            <w:tcW w:w="1260" w:type="dxa"/>
            <w:vAlign w:val="bottom"/>
            <w:shd w:val="clear" w:color="auto" w:fill="D8D8D8"/>
          </w:tcPr>
          <w:p>
            <w:pPr>
              <w:spacing w:after="0"/>
              <w:rPr>
                <w:sz w:val="4"/>
                <w:szCs w:val="4"/>
                <w:color w:val="auto"/>
              </w:rPr>
            </w:pPr>
          </w:p>
        </w:tc>
        <w:tc>
          <w:tcPr>
            <w:tcW w:w="2000" w:type="dxa"/>
            <w:vAlign w:val="bottom"/>
            <w:shd w:val="clear" w:color="auto" w:fill="D8D8D8"/>
          </w:tcPr>
          <w:p>
            <w:pPr>
              <w:spacing w:after="0"/>
              <w:rPr>
                <w:sz w:val="4"/>
                <w:szCs w:val="4"/>
                <w:color w:val="auto"/>
              </w:rPr>
            </w:pPr>
          </w:p>
        </w:tc>
        <w:tc>
          <w:tcPr>
            <w:tcW w:w="1520" w:type="dxa"/>
            <w:vAlign w:val="bottom"/>
            <w:shd w:val="clear" w:color="auto" w:fill="D8D8D8"/>
          </w:tcPr>
          <w:p>
            <w:pPr>
              <w:spacing w:after="0"/>
              <w:rPr>
                <w:sz w:val="4"/>
                <w:szCs w:val="4"/>
                <w:color w:val="auto"/>
              </w:rPr>
            </w:pPr>
          </w:p>
        </w:tc>
        <w:tc>
          <w:tcPr>
            <w:tcW w:w="2160" w:type="dxa"/>
            <w:vAlign w:val="bottom"/>
            <w:shd w:val="clear" w:color="auto" w:fill="D8D8D8"/>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-41910</wp:posOffset>
            </wp:positionV>
            <wp:extent cx="2586990" cy="131889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586990" cy="1318895"/>
                    </a:xfrm>
                    <a:prstGeom prst="rect">
                      <a:avLst/>
                    </a:prstGeom>
                    <a:noFill/>
                  </pic:spPr>
                </pic:pic>
              </a:graphicData>
            </a:graphic>
          </wp:anchor>
        </w:drawing>
      </w:r>
    </w:p>
    <w:tbl>
      <w:tblPr>
        <w:tblLayout w:type="fixed"/>
        <w:tblInd w:w="220" w:type="dxa"/>
        <w:tblCellMar>
          <w:top w:w="0" w:type="dxa"/>
          <w:left w:w="0" w:type="dxa"/>
          <w:bottom w:w="0" w:type="dxa"/>
          <w:right w:w="0" w:type="dxa"/>
        </w:tblCellMar>
      </w:tblPr>
      <w:tr>
        <w:trPr>
          <w:trHeight w:val="184"/>
        </w:trPr>
        <w:tc>
          <w:tcPr>
            <w:tcW w:w="4060" w:type="dxa"/>
            <w:vAlign w:val="bottom"/>
          </w:tcPr>
          <w:p>
            <w:pPr>
              <w:spacing w:after="0"/>
              <w:rPr>
                <w:sz w:val="20"/>
                <w:szCs w:val="20"/>
                <w:color w:val="auto"/>
              </w:rPr>
            </w:pPr>
            <w:r>
              <w:rPr>
                <w:rFonts w:ascii="Arial" w:cs="Arial" w:eastAsia="Arial" w:hAnsi="Arial"/>
                <w:sz w:val="16"/>
                <w:szCs w:val="16"/>
                <w:b w:val="1"/>
                <w:bCs w:val="1"/>
                <w:color w:val="auto"/>
              </w:rPr>
              <w:t>Robert A. Livingston</w:t>
            </w:r>
          </w:p>
        </w:tc>
        <w:tc>
          <w:tcPr>
            <w:tcW w:w="1560" w:type="dxa"/>
            <w:vAlign w:val="bottom"/>
            <w:shd w:val="clear" w:color="auto" w:fill="D8D8D8"/>
          </w:tcPr>
          <w:p>
            <w:pPr>
              <w:spacing w:after="0"/>
              <w:rPr>
                <w:sz w:val="16"/>
                <w:szCs w:val="16"/>
                <w:color w:val="auto"/>
              </w:rPr>
            </w:pPr>
          </w:p>
        </w:tc>
        <w:tc>
          <w:tcPr>
            <w:tcW w:w="2000" w:type="dxa"/>
            <w:vAlign w:val="bottom"/>
            <w:shd w:val="clear" w:color="auto" w:fill="D8D8D8"/>
          </w:tcPr>
          <w:p>
            <w:pPr>
              <w:spacing w:after="0"/>
              <w:rPr>
                <w:sz w:val="16"/>
                <w:szCs w:val="16"/>
                <w:color w:val="auto"/>
              </w:rPr>
            </w:pPr>
          </w:p>
        </w:tc>
        <w:tc>
          <w:tcPr>
            <w:tcW w:w="1520" w:type="dxa"/>
            <w:vAlign w:val="bottom"/>
            <w:shd w:val="clear" w:color="auto" w:fill="D8D8D8"/>
          </w:tcPr>
          <w:p>
            <w:pPr>
              <w:spacing w:after="0"/>
              <w:rPr>
                <w:sz w:val="16"/>
                <w:szCs w:val="16"/>
                <w:color w:val="auto"/>
              </w:rPr>
            </w:pPr>
          </w:p>
        </w:tc>
        <w:tc>
          <w:tcPr>
            <w:tcW w:w="1860" w:type="dxa"/>
            <w:vAlign w:val="bottom"/>
            <w:shd w:val="clear" w:color="auto" w:fill="D8D8D8"/>
          </w:tcPr>
          <w:p>
            <w:pPr>
              <w:spacing w:after="0"/>
              <w:rPr>
                <w:sz w:val="16"/>
                <w:szCs w:val="16"/>
                <w:color w:val="auto"/>
              </w:rPr>
            </w:pPr>
          </w:p>
        </w:tc>
      </w:tr>
      <w:tr>
        <w:trPr>
          <w:trHeight w:val="202"/>
        </w:trPr>
        <w:tc>
          <w:tcPr>
            <w:tcW w:w="4060" w:type="dxa"/>
            <w:vAlign w:val="bottom"/>
          </w:tcPr>
          <w:p>
            <w:pPr>
              <w:spacing w:after="0"/>
              <w:rPr>
                <w:sz w:val="20"/>
                <w:szCs w:val="20"/>
                <w:color w:val="auto"/>
              </w:rPr>
            </w:pPr>
            <w:r>
              <w:rPr>
                <w:rFonts w:ascii="Arial" w:cs="Arial" w:eastAsia="Arial" w:hAnsi="Arial"/>
                <w:sz w:val="16"/>
                <w:szCs w:val="16"/>
                <w:color w:val="auto"/>
              </w:rPr>
              <w:t>Cash severance (5)</w:t>
            </w:r>
          </w:p>
        </w:tc>
        <w:tc>
          <w:tcPr>
            <w:tcW w:w="1560" w:type="dxa"/>
            <w:vAlign w:val="bottom"/>
            <w:shd w:val="clear" w:color="auto" w:fill="D8D8D8"/>
          </w:tcPr>
          <w:p>
            <w:pPr>
              <w:jc w:val="right"/>
              <w:ind w:right="39"/>
              <w:spacing w:after="0"/>
              <w:rPr>
                <w:sz w:val="20"/>
                <w:szCs w:val="20"/>
                <w:color w:val="auto"/>
              </w:rPr>
            </w:pPr>
            <w:r>
              <w:rPr>
                <w:rFonts w:ascii="Arial" w:cs="Arial" w:eastAsia="Arial" w:hAnsi="Arial"/>
                <w:sz w:val="16"/>
                <w:szCs w:val="16"/>
                <w:color w:val="auto"/>
              </w:rPr>
              <w:t>N/A</w:t>
            </w:r>
          </w:p>
        </w:tc>
        <w:tc>
          <w:tcPr>
            <w:tcW w:w="2000" w:type="dxa"/>
            <w:vAlign w:val="bottom"/>
            <w:shd w:val="clear" w:color="auto" w:fill="D8D8D8"/>
          </w:tcPr>
          <w:p>
            <w:pPr>
              <w:jc w:val="right"/>
              <w:spacing w:after="0"/>
              <w:rPr>
                <w:sz w:val="20"/>
                <w:szCs w:val="20"/>
                <w:color w:val="auto"/>
              </w:rPr>
            </w:pPr>
            <w:r>
              <w:rPr>
                <w:rFonts w:ascii="Arial" w:cs="Arial" w:eastAsia="Arial" w:hAnsi="Arial"/>
                <w:sz w:val="16"/>
                <w:szCs w:val="16"/>
                <w:color w:val="auto"/>
              </w:rPr>
              <w:t>1,940,000</w:t>
            </w:r>
          </w:p>
        </w:tc>
        <w:tc>
          <w:tcPr>
            <w:tcW w:w="1520" w:type="dxa"/>
            <w:vAlign w:val="bottom"/>
            <w:shd w:val="clear" w:color="auto" w:fill="D8D8D8"/>
          </w:tcPr>
          <w:p>
            <w:pPr>
              <w:ind w:left="1140"/>
              <w:spacing w:after="0"/>
              <w:rPr>
                <w:sz w:val="20"/>
                <w:szCs w:val="20"/>
                <w:color w:val="auto"/>
              </w:rPr>
            </w:pPr>
            <w:r>
              <w:rPr>
                <w:rFonts w:ascii="Arial" w:cs="Arial" w:eastAsia="Arial" w:hAnsi="Arial"/>
                <w:sz w:val="16"/>
                <w:szCs w:val="16"/>
                <w:color w:val="auto"/>
              </w:rPr>
              <w:t>N/A</w:t>
            </w:r>
          </w:p>
        </w:tc>
        <w:tc>
          <w:tcPr>
            <w:tcW w:w="1860" w:type="dxa"/>
            <w:vAlign w:val="bottom"/>
            <w:shd w:val="clear" w:color="auto" w:fill="D8D8D8"/>
          </w:tcPr>
          <w:p>
            <w:pPr>
              <w:jc w:val="right"/>
              <w:spacing w:after="0"/>
              <w:rPr>
                <w:sz w:val="20"/>
                <w:szCs w:val="20"/>
                <w:color w:val="auto"/>
              </w:rPr>
            </w:pPr>
            <w:r>
              <w:rPr>
                <w:rFonts w:ascii="Arial" w:cs="Arial" w:eastAsia="Arial" w:hAnsi="Arial"/>
                <w:sz w:val="16"/>
                <w:szCs w:val="16"/>
                <w:color w:val="auto"/>
              </w:rPr>
              <w:t>N/A</w:t>
            </w:r>
          </w:p>
        </w:tc>
      </w:tr>
      <w:tr>
        <w:trPr>
          <w:trHeight w:val="202"/>
        </w:trPr>
        <w:tc>
          <w:tcPr>
            <w:tcW w:w="4060" w:type="dxa"/>
            <w:vAlign w:val="bottom"/>
          </w:tcPr>
          <w:p>
            <w:pPr>
              <w:spacing w:after="0"/>
              <w:rPr>
                <w:sz w:val="20"/>
                <w:szCs w:val="20"/>
                <w:color w:val="auto"/>
              </w:rPr>
            </w:pPr>
            <w:r>
              <w:rPr>
                <w:rFonts w:ascii="Arial" w:cs="Arial" w:eastAsia="Arial" w:hAnsi="Arial"/>
                <w:sz w:val="16"/>
                <w:szCs w:val="16"/>
                <w:color w:val="auto"/>
              </w:rPr>
              <w:t>Performance share award (6)</w:t>
            </w:r>
          </w:p>
        </w:tc>
        <w:tc>
          <w:tcPr>
            <w:tcW w:w="1560" w:type="dxa"/>
            <w:vAlign w:val="bottom"/>
            <w:shd w:val="clear" w:color="auto" w:fill="D8D8D8"/>
          </w:tcPr>
          <w:p>
            <w:pPr>
              <w:jc w:val="right"/>
              <w:ind w:right="39"/>
              <w:spacing w:after="0"/>
              <w:rPr>
                <w:sz w:val="20"/>
                <w:szCs w:val="20"/>
                <w:color w:val="auto"/>
              </w:rPr>
            </w:pPr>
            <w:r>
              <w:rPr>
                <w:rFonts w:ascii="Arial" w:cs="Arial" w:eastAsia="Arial" w:hAnsi="Arial"/>
                <w:sz w:val="16"/>
                <w:szCs w:val="16"/>
                <w:color w:val="auto"/>
              </w:rPr>
              <w:t>N/A</w:t>
            </w:r>
          </w:p>
        </w:tc>
        <w:tc>
          <w:tcPr>
            <w:tcW w:w="2000" w:type="dxa"/>
            <w:vAlign w:val="bottom"/>
            <w:shd w:val="clear" w:color="auto" w:fill="D8D8D8"/>
          </w:tcPr>
          <w:p>
            <w:pPr>
              <w:jc w:val="right"/>
              <w:spacing w:after="0"/>
              <w:rPr>
                <w:sz w:val="20"/>
                <w:szCs w:val="20"/>
                <w:color w:val="auto"/>
              </w:rPr>
            </w:pPr>
            <w:r>
              <w:rPr>
                <w:rFonts w:ascii="Arial" w:cs="Arial" w:eastAsia="Arial" w:hAnsi="Arial"/>
                <w:sz w:val="16"/>
                <w:szCs w:val="16"/>
                <w:color w:val="auto"/>
              </w:rPr>
              <w:t>2,293,180</w:t>
            </w:r>
          </w:p>
        </w:tc>
        <w:tc>
          <w:tcPr>
            <w:tcW w:w="1520" w:type="dxa"/>
            <w:vAlign w:val="bottom"/>
            <w:shd w:val="clear" w:color="auto" w:fill="D8D8D8"/>
          </w:tcPr>
          <w:p>
            <w:pPr>
              <w:jc w:val="right"/>
              <w:ind w:right="39"/>
              <w:spacing w:after="0"/>
              <w:rPr>
                <w:sz w:val="20"/>
                <w:szCs w:val="20"/>
                <w:color w:val="auto"/>
              </w:rPr>
            </w:pPr>
            <w:r>
              <w:rPr>
                <w:rFonts w:ascii="Arial" w:cs="Arial" w:eastAsia="Arial" w:hAnsi="Arial"/>
                <w:sz w:val="16"/>
                <w:szCs w:val="16"/>
                <w:color w:val="auto"/>
              </w:rPr>
              <w:t>0</w:t>
            </w:r>
          </w:p>
        </w:tc>
        <w:tc>
          <w:tcPr>
            <w:tcW w:w="1860" w:type="dxa"/>
            <w:vAlign w:val="bottom"/>
            <w:shd w:val="clear" w:color="auto" w:fill="D8D8D8"/>
          </w:tcPr>
          <w:p>
            <w:pPr>
              <w:jc w:val="right"/>
              <w:ind w:right="19"/>
              <w:spacing w:after="0"/>
              <w:rPr>
                <w:sz w:val="20"/>
                <w:szCs w:val="20"/>
                <w:color w:val="auto"/>
              </w:rPr>
            </w:pPr>
            <w:r>
              <w:rPr>
                <w:rFonts w:ascii="Arial" w:cs="Arial" w:eastAsia="Arial" w:hAnsi="Arial"/>
                <w:sz w:val="16"/>
                <w:szCs w:val="16"/>
                <w:color w:val="auto"/>
              </w:rPr>
              <w:t>2,293,180</w:t>
            </w:r>
          </w:p>
        </w:tc>
      </w:tr>
      <w:tr>
        <w:trPr>
          <w:trHeight w:val="202"/>
        </w:trPr>
        <w:tc>
          <w:tcPr>
            <w:tcW w:w="4060" w:type="dxa"/>
            <w:vAlign w:val="bottom"/>
          </w:tcPr>
          <w:p>
            <w:pPr>
              <w:spacing w:after="0"/>
              <w:rPr>
                <w:sz w:val="20"/>
                <w:szCs w:val="20"/>
                <w:color w:val="auto"/>
              </w:rPr>
            </w:pPr>
            <w:r>
              <w:rPr>
                <w:rFonts w:ascii="Arial" w:cs="Arial" w:eastAsia="Arial" w:hAnsi="Arial"/>
                <w:sz w:val="16"/>
                <w:szCs w:val="16"/>
                <w:color w:val="auto"/>
              </w:rPr>
              <w:t>Stock options/SSARs (7)</w:t>
            </w:r>
          </w:p>
        </w:tc>
        <w:tc>
          <w:tcPr>
            <w:tcW w:w="1560" w:type="dxa"/>
            <w:vAlign w:val="bottom"/>
            <w:shd w:val="clear" w:color="auto" w:fill="D8D8D8"/>
          </w:tcPr>
          <w:p>
            <w:pPr>
              <w:jc w:val="right"/>
              <w:ind w:right="39"/>
              <w:spacing w:after="0"/>
              <w:rPr>
                <w:sz w:val="20"/>
                <w:szCs w:val="20"/>
                <w:color w:val="auto"/>
              </w:rPr>
            </w:pPr>
            <w:r>
              <w:rPr>
                <w:rFonts w:ascii="Arial" w:cs="Arial" w:eastAsia="Arial" w:hAnsi="Arial"/>
                <w:sz w:val="16"/>
                <w:szCs w:val="16"/>
                <w:color w:val="auto"/>
              </w:rPr>
              <w:t>N/A</w:t>
            </w:r>
          </w:p>
        </w:tc>
        <w:tc>
          <w:tcPr>
            <w:tcW w:w="2000" w:type="dxa"/>
            <w:vAlign w:val="bottom"/>
            <w:shd w:val="clear" w:color="auto" w:fill="D8D8D8"/>
          </w:tcPr>
          <w:p>
            <w:pPr>
              <w:jc w:val="right"/>
              <w:spacing w:after="0"/>
              <w:rPr>
                <w:sz w:val="20"/>
                <w:szCs w:val="20"/>
                <w:color w:val="auto"/>
              </w:rPr>
            </w:pPr>
            <w:r>
              <w:rPr>
                <w:rFonts w:ascii="Arial" w:cs="Arial" w:eastAsia="Arial" w:hAnsi="Arial"/>
                <w:sz w:val="16"/>
                <w:szCs w:val="16"/>
                <w:color w:val="auto"/>
              </w:rPr>
              <w:t>89,574,123</w:t>
            </w:r>
          </w:p>
        </w:tc>
        <w:tc>
          <w:tcPr>
            <w:tcW w:w="1520" w:type="dxa"/>
            <w:vAlign w:val="bottom"/>
            <w:shd w:val="clear" w:color="auto" w:fill="D8D8D8"/>
          </w:tcPr>
          <w:p>
            <w:pPr>
              <w:jc w:val="right"/>
              <w:ind w:right="39"/>
              <w:spacing w:after="0"/>
              <w:rPr>
                <w:sz w:val="20"/>
                <w:szCs w:val="20"/>
                <w:color w:val="auto"/>
              </w:rPr>
            </w:pPr>
            <w:r>
              <w:rPr>
                <w:rFonts w:ascii="Arial" w:cs="Arial" w:eastAsia="Arial" w:hAnsi="Arial"/>
                <w:sz w:val="16"/>
                <w:szCs w:val="16"/>
                <w:color w:val="auto"/>
              </w:rPr>
              <w:t>0</w:t>
            </w:r>
          </w:p>
        </w:tc>
        <w:tc>
          <w:tcPr>
            <w:tcW w:w="1860" w:type="dxa"/>
            <w:vAlign w:val="bottom"/>
            <w:shd w:val="clear" w:color="auto" w:fill="D8D8D8"/>
          </w:tcPr>
          <w:p>
            <w:pPr>
              <w:jc w:val="right"/>
              <w:ind w:right="19"/>
              <w:spacing w:after="0"/>
              <w:rPr>
                <w:sz w:val="20"/>
                <w:szCs w:val="20"/>
                <w:color w:val="auto"/>
              </w:rPr>
            </w:pPr>
            <w:r>
              <w:rPr>
                <w:rFonts w:ascii="Arial" w:cs="Arial" w:eastAsia="Arial" w:hAnsi="Arial"/>
                <w:sz w:val="16"/>
                <w:szCs w:val="16"/>
                <w:color w:val="auto"/>
              </w:rPr>
              <w:t>89,574,123</w:t>
            </w:r>
          </w:p>
        </w:tc>
      </w:tr>
      <w:tr>
        <w:trPr>
          <w:trHeight w:val="202"/>
        </w:trPr>
        <w:tc>
          <w:tcPr>
            <w:tcW w:w="4060" w:type="dxa"/>
            <w:vAlign w:val="bottom"/>
          </w:tcPr>
          <w:p>
            <w:pPr>
              <w:spacing w:after="0"/>
              <w:rPr>
                <w:sz w:val="20"/>
                <w:szCs w:val="20"/>
                <w:color w:val="auto"/>
              </w:rPr>
            </w:pPr>
            <w:r>
              <w:rPr>
                <w:rFonts w:ascii="Arial" w:cs="Arial" w:eastAsia="Arial" w:hAnsi="Arial"/>
                <w:sz w:val="16"/>
                <w:szCs w:val="16"/>
                <w:color w:val="auto"/>
              </w:rPr>
              <w:t>Restricted Stock Units (8)</w:t>
            </w:r>
          </w:p>
        </w:tc>
        <w:tc>
          <w:tcPr>
            <w:tcW w:w="1560" w:type="dxa"/>
            <w:vAlign w:val="bottom"/>
            <w:shd w:val="clear" w:color="auto" w:fill="D8D8D8"/>
          </w:tcPr>
          <w:p>
            <w:pPr>
              <w:jc w:val="right"/>
              <w:ind w:right="39"/>
              <w:spacing w:after="0"/>
              <w:rPr>
                <w:sz w:val="20"/>
                <w:szCs w:val="20"/>
                <w:color w:val="auto"/>
              </w:rPr>
            </w:pPr>
            <w:r>
              <w:rPr>
                <w:rFonts w:ascii="Arial" w:cs="Arial" w:eastAsia="Arial" w:hAnsi="Arial"/>
                <w:sz w:val="16"/>
                <w:szCs w:val="16"/>
                <w:color w:val="auto"/>
              </w:rPr>
              <w:t>N/A</w:t>
            </w:r>
          </w:p>
        </w:tc>
        <w:tc>
          <w:tcPr>
            <w:tcW w:w="2000" w:type="dxa"/>
            <w:vAlign w:val="bottom"/>
            <w:shd w:val="clear" w:color="auto" w:fill="D8D8D8"/>
          </w:tcPr>
          <w:p>
            <w:pPr>
              <w:jc w:val="right"/>
              <w:spacing w:after="0"/>
              <w:rPr>
                <w:sz w:val="20"/>
                <w:szCs w:val="20"/>
                <w:color w:val="auto"/>
              </w:rPr>
            </w:pPr>
            <w:r>
              <w:rPr>
                <w:rFonts w:ascii="Arial" w:cs="Arial" w:eastAsia="Arial" w:hAnsi="Arial"/>
                <w:sz w:val="16"/>
                <w:szCs w:val="16"/>
                <w:color w:val="auto"/>
              </w:rPr>
              <w:t>3,845,699</w:t>
            </w:r>
          </w:p>
        </w:tc>
        <w:tc>
          <w:tcPr>
            <w:tcW w:w="1520" w:type="dxa"/>
            <w:vAlign w:val="bottom"/>
            <w:shd w:val="clear" w:color="auto" w:fill="D8D8D8"/>
          </w:tcPr>
          <w:p>
            <w:pPr>
              <w:jc w:val="right"/>
              <w:ind w:right="39"/>
              <w:spacing w:after="0"/>
              <w:rPr>
                <w:sz w:val="20"/>
                <w:szCs w:val="20"/>
                <w:color w:val="auto"/>
              </w:rPr>
            </w:pPr>
            <w:r>
              <w:rPr>
                <w:rFonts w:ascii="Arial" w:cs="Arial" w:eastAsia="Arial" w:hAnsi="Arial"/>
                <w:sz w:val="16"/>
                <w:szCs w:val="16"/>
                <w:color w:val="auto"/>
              </w:rPr>
              <w:t>0</w:t>
            </w:r>
          </w:p>
        </w:tc>
        <w:tc>
          <w:tcPr>
            <w:tcW w:w="1860" w:type="dxa"/>
            <w:vAlign w:val="bottom"/>
            <w:shd w:val="clear" w:color="auto" w:fill="D8D8D8"/>
          </w:tcPr>
          <w:p>
            <w:pPr>
              <w:jc w:val="right"/>
              <w:ind w:right="19"/>
              <w:spacing w:after="0"/>
              <w:rPr>
                <w:sz w:val="20"/>
                <w:szCs w:val="20"/>
                <w:color w:val="auto"/>
              </w:rPr>
            </w:pPr>
            <w:r>
              <w:rPr>
                <w:rFonts w:ascii="Arial" w:cs="Arial" w:eastAsia="Arial" w:hAnsi="Arial"/>
                <w:sz w:val="16"/>
                <w:szCs w:val="16"/>
                <w:color w:val="auto"/>
              </w:rPr>
              <w:t>3,845,699</w:t>
            </w:r>
          </w:p>
        </w:tc>
      </w:tr>
      <w:tr>
        <w:trPr>
          <w:trHeight w:val="202"/>
        </w:trPr>
        <w:tc>
          <w:tcPr>
            <w:tcW w:w="4060" w:type="dxa"/>
            <w:vAlign w:val="bottom"/>
          </w:tcPr>
          <w:p>
            <w:pPr>
              <w:spacing w:after="0"/>
              <w:rPr>
                <w:sz w:val="20"/>
                <w:szCs w:val="20"/>
                <w:color w:val="auto"/>
              </w:rPr>
            </w:pPr>
            <w:r>
              <w:rPr>
                <w:rFonts w:ascii="Arial" w:cs="Arial" w:eastAsia="Arial" w:hAnsi="Arial"/>
                <w:sz w:val="16"/>
                <w:szCs w:val="16"/>
                <w:color w:val="auto"/>
              </w:rPr>
              <w:t>Retirement plan payments (9)</w:t>
            </w:r>
          </w:p>
        </w:tc>
        <w:tc>
          <w:tcPr>
            <w:tcW w:w="1560" w:type="dxa"/>
            <w:vAlign w:val="bottom"/>
            <w:shd w:val="clear" w:color="auto" w:fill="D8D8D8"/>
          </w:tcPr>
          <w:p>
            <w:pPr>
              <w:jc w:val="right"/>
              <w:ind w:right="39"/>
              <w:spacing w:after="0"/>
              <w:rPr>
                <w:sz w:val="20"/>
                <w:szCs w:val="20"/>
                <w:color w:val="auto"/>
              </w:rPr>
            </w:pPr>
            <w:r>
              <w:rPr>
                <w:rFonts w:ascii="Arial" w:cs="Arial" w:eastAsia="Arial" w:hAnsi="Arial"/>
                <w:sz w:val="16"/>
                <w:szCs w:val="16"/>
                <w:color w:val="auto"/>
              </w:rPr>
              <w:t>N/A</w:t>
            </w:r>
          </w:p>
        </w:tc>
        <w:tc>
          <w:tcPr>
            <w:tcW w:w="2000" w:type="dxa"/>
            <w:vAlign w:val="bottom"/>
            <w:shd w:val="clear" w:color="auto" w:fill="D8D8D8"/>
          </w:tcPr>
          <w:p>
            <w:pPr>
              <w:jc w:val="right"/>
              <w:spacing w:after="0"/>
              <w:rPr>
                <w:sz w:val="20"/>
                <w:szCs w:val="20"/>
                <w:color w:val="auto"/>
              </w:rPr>
            </w:pPr>
            <w:r>
              <w:rPr>
                <w:rFonts w:ascii="Arial" w:cs="Arial" w:eastAsia="Arial" w:hAnsi="Arial"/>
                <w:sz w:val="16"/>
                <w:szCs w:val="16"/>
                <w:color w:val="auto"/>
              </w:rPr>
              <w:t>17,940,795</w:t>
            </w:r>
          </w:p>
        </w:tc>
        <w:tc>
          <w:tcPr>
            <w:tcW w:w="1520" w:type="dxa"/>
            <w:vAlign w:val="bottom"/>
            <w:shd w:val="clear" w:color="auto" w:fill="D8D8D8"/>
          </w:tcPr>
          <w:p>
            <w:pPr>
              <w:jc w:val="right"/>
              <w:ind w:right="39"/>
              <w:spacing w:after="0"/>
              <w:rPr>
                <w:sz w:val="20"/>
                <w:szCs w:val="20"/>
                <w:color w:val="auto"/>
              </w:rPr>
            </w:pPr>
            <w:r>
              <w:rPr>
                <w:rFonts w:ascii="Arial" w:cs="Arial" w:eastAsia="Arial" w:hAnsi="Arial"/>
                <w:sz w:val="16"/>
                <w:szCs w:val="16"/>
                <w:color w:val="auto"/>
              </w:rPr>
              <w:t>625,603</w:t>
            </w:r>
          </w:p>
        </w:tc>
        <w:tc>
          <w:tcPr>
            <w:tcW w:w="1860" w:type="dxa"/>
            <w:vAlign w:val="bottom"/>
            <w:shd w:val="clear" w:color="auto" w:fill="D8D8D8"/>
          </w:tcPr>
          <w:p>
            <w:pPr>
              <w:jc w:val="right"/>
              <w:ind w:right="19"/>
              <w:spacing w:after="0"/>
              <w:rPr>
                <w:sz w:val="20"/>
                <w:szCs w:val="20"/>
                <w:color w:val="auto"/>
              </w:rPr>
            </w:pPr>
            <w:r>
              <w:rPr>
                <w:rFonts w:ascii="Arial" w:cs="Arial" w:eastAsia="Arial" w:hAnsi="Arial"/>
                <w:sz w:val="16"/>
                <w:szCs w:val="16"/>
                <w:color w:val="auto"/>
              </w:rPr>
              <w:t>17,940,795</w:t>
            </w:r>
          </w:p>
        </w:tc>
      </w:tr>
      <w:tr>
        <w:trPr>
          <w:trHeight w:val="202"/>
        </w:trPr>
        <w:tc>
          <w:tcPr>
            <w:tcW w:w="4060" w:type="dxa"/>
            <w:vAlign w:val="bottom"/>
          </w:tcPr>
          <w:p>
            <w:pPr>
              <w:spacing w:after="0"/>
              <w:rPr>
                <w:sz w:val="20"/>
                <w:szCs w:val="20"/>
                <w:color w:val="auto"/>
              </w:rPr>
            </w:pPr>
            <w:r>
              <w:rPr>
                <w:rFonts w:ascii="Arial" w:cs="Arial" w:eastAsia="Arial" w:hAnsi="Arial"/>
                <w:sz w:val="16"/>
                <w:szCs w:val="16"/>
                <w:color w:val="auto"/>
              </w:rPr>
              <w:t>Deferred comp plan</w:t>
            </w:r>
          </w:p>
        </w:tc>
        <w:tc>
          <w:tcPr>
            <w:tcW w:w="1560" w:type="dxa"/>
            <w:vAlign w:val="bottom"/>
            <w:shd w:val="clear" w:color="auto" w:fill="D8D8D8"/>
          </w:tcPr>
          <w:p>
            <w:pPr>
              <w:jc w:val="right"/>
              <w:ind w:right="39"/>
              <w:spacing w:after="0"/>
              <w:rPr>
                <w:sz w:val="20"/>
                <w:szCs w:val="20"/>
                <w:color w:val="auto"/>
              </w:rPr>
            </w:pPr>
            <w:r>
              <w:rPr>
                <w:rFonts w:ascii="Arial" w:cs="Arial" w:eastAsia="Arial" w:hAnsi="Arial"/>
                <w:sz w:val="16"/>
                <w:szCs w:val="16"/>
                <w:color w:val="auto"/>
              </w:rPr>
              <w:t>N/A</w:t>
            </w:r>
          </w:p>
        </w:tc>
        <w:tc>
          <w:tcPr>
            <w:tcW w:w="2000" w:type="dxa"/>
            <w:vAlign w:val="bottom"/>
            <w:shd w:val="clear" w:color="auto" w:fill="D8D8D8"/>
          </w:tcPr>
          <w:p>
            <w:pPr>
              <w:jc w:val="right"/>
              <w:spacing w:after="0"/>
              <w:rPr>
                <w:sz w:val="20"/>
                <w:szCs w:val="20"/>
                <w:color w:val="auto"/>
              </w:rPr>
            </w:pPr>
            <w:r>
              <w:rPr>
                <w:rFonts w:ascii="Arial" w:cs="Arial" w:eastAsia="Arial" w:hAnsi="Arial"/>
                <w:sz w:val="16"/>
                <w:szCs w:val="16"/>
                <w:color w:val="auto"/>
              </w:rPr>
              <w:t>0</w:t>
            </w:r>
          </w:p>
        </w:tc>
        <w:tc>
          <w:tcPr>
            <w:tcW w:w="1520" w:type="dxa"/>
            <w:vAlign w:val="bottom"/>
            <w:shd w:val="clear" w:color="auto" w:fill="D8D8D8"/>
          </w:tcPr>
          <w:p>
            <w:pPr>
              <w:jc w:val="right"/>
              <w:ind w:right="39"/>
              <w:spacing w:after="0"/>
              <w:rPr>
                <w:sz w:val="20"/>
                <w:szCs w:val="20"/>
                <w:color w:val="auto"/>
              </w:rPr>
            </w:pPr>
            <w:r>
              <w:rPr>
                <w:rFonts w:ascii="Arial" w:cs="Arial" w:eastAsia="Arial" w:hAnsi="Arial"/>
                <w:sz w:val="16"/>
                <w:szCs w:val="16"/>
                <w:color w:val="auto"/>
              </w:rPr>
              <w:t>0</w:t>
            </w:r>
          </w:p>
        </w:tc>
        <w:tc>
          <w:tcPr>
            <w:tcW w:w="1860" w:type="dxa"/>
            <w:vAlign w:val="bottom"/>
            <w:shd w:val="clear" w:color="auto" w:fill="D8D8D8"/>
          </w:tcPr>
          <w:p>
            <w:pPr>
              <w:jc w:val="right"/>
              <w:ind w:right="19"/>
              <w:spacing w:after="0"/>
              <w:rPr>
                <w:sz w:val="20"/>
                <w:szCs w:val="20"/>
                <w:color w:val="auto"/>
              </w:rPr>
            </w:pPr>
            <w:r>
              <w:rPr>
                <w:rFonts w:ascii="Arial" w:cs="Arial" w:eastAsia="Arial" w:hAnsi="Arial"/>
                <w:sz w:val="16"/>
                <w:szCs w:val="16"/>
                <w:color w:val="auto"/>
              </w:rPr>
              <w:t>0</w:t>
            </w:r>
          </w:p>
        </w:tc>
      </w:tr>
      <w:tr>
        <w:trPr>
          <w:trHeight w:val="204"/>
        </w:trPr>
        <w:tc>
          <w:tcPr>
            <w:tcW w:w="4060" w:type="dxa"/>
            <w:vAlign w:val="bottom"/>
          </w:tcPr>
          <w:p>
            <w:pPr>
              <w:spacing w:after="0"/>
              <w:rPr>
                <w:sz w:val="20"/>
                <w:szCs w:val="20"/>
                <w:color w:val="auto"/>
              </w:rPr>
            </w:pPr>
            <w:r>
              <w:rPr>
                <w:rFonts w:ascii="Arial" w:cs="Arial" w:eastAsia="Arial" w:hAnsi="Arial"/>
                <w:sz w:val="16"/>
                <w:szCs w:val="16"/>
                <w:color w:val="auto"/>
              </w:rPr>
              <w:t>Health and welfare benefits (11)</w:t>
            </w:r>
          </w:p>
        </w:tc>
        <w:tc>
          <w:tcPr>
            <w:tcW w:w="1560" w:type="dxa"/>
            <w:vAlign w:val="bottom"/>
            <w:shd w:val="clear" w:color="auto" w:fill="D8D8D8"/>
          </w:tcPr>
          <w:p>
            <w:pPr>
              <w:jc w:val="right"/>
              <w:ind w:right="39"/>
              <w:spacing w:after="0"/>
              <w:rPr>
                <w:sz w:val="20"/>
                <w:szCs w:val="20"/>
                <w:color w:val="auto"/>
              </w:rPr>
            </w:pPr>
            <w:r>
              <w:rPr>
                <w:rFonts w:ascii="Arial" w:cs="Arial" w:eastAsia="Arial" w:hAnsi="Arial"/>
                <w:sz w:val="16"/>
                <w:szCs w:val="16"/>
                <w:color w:val="auto"/>
              </w:rPr>
              <w:t>N/A</w:t>
            </w:r>
          </w:p>
        </w:tc>
        <w:tc>
          <w:tcPr>
            <w:tcW w:w="2000" w:type="dxa"/>
            <w:vAlign w:val="bottom"/>
            <w:shd w:val="clear" w:color="auto" w:fill="D8D8D8"/>
          </w:tcPr>
          <w:p>
            <w:pPr>
              <w:jc w:val="right"/>
              <w:spacing w:after="0"/>
              <w:rPr>
                <w:sz w:val="20"/>
                <w:szCs w:val="20"/>
                <w:color w:val="auto"/>
              </w:rPr>
            </w:pPr>
            <w:r>
              <w:rPr>
                <w:rFonts w:ascii="Arial" w:cs="Arial" w:eastAsia="Arial" w:hAnsi="Arial"/>
                <w:sz w:val="16"/>
                <w:szCs w:val="16"/>
                <w:color w:val="auto"/>
              </w:rPr>
              <w:t>19,615</w:t>
            </w:r>
          </w:p>
        </w:tc>
        <w:tc>
          <w:tcPr>
            <w:tcW w:w="1520" w:type="dxa"/>
            <w:vAlign w:val="bottom"/>
            <w:shd w:val="clear" w:color="auto" w:fill="D8D8D8"/>
          </w:tcPr>
          <w:p>
            <w:pPr>
              <w:jc w:val="right"/>
              <w:ind w:right="39"/>
              <w:spacing w:after="0"/>
              <w:rPr>
                <w:sz w:val="20"/>
                <w:szCs w:val="20"/>
                <w:color w:val="auto"/>
              </w:rPr>
            </w:pPr>
            <w:r>
              <w:rPr>
                <w:rFonts w:ascii="Arial" w:cs="Arial" w:eastAsia="Arial" w:hAnsi="Arial"/>
                <w:sz w:val="16"/>
                <w:szCs w:val="16"/>
                <w:color w:val="auto"/>
              </w:rPr>
              <w:t>0</w:t>
            </w:r>
          </w:p>
        </w:tc>
        <w:tc>
          <w:tcPr>
            <w:tcW w:w="1860" w:type="dxa"/>
            <w:vAlign w:val="bottom"/>
            <w:shd w:val="clear" w:color="auto" w:fill="D8D8D8"/>
          </w:tcPr>
          <w:p>
            <w:pPr>
              <w:jc w:val="right"/>
              <w:ind w:right="19"/>
              <w:spacing w:after="0"/>
              <w:rPr>
                <w:sz w:val="20"/>
                <w:szCs w:val="20"/>
                <w:color w:val="auto"/>
              </w:rPr>
            </w:pPr>
            <w:r>
              <w:rPr>
                <w:rFonts w:ascii="Arial" w:cs="Arial" w:eastAsia="Arial" w:hAnsi="Arial"/>
                <w:sz w:val="16"/>
                <w:szCs w:val="16"/>
                <w:color w:val="auto"/>
              </w:rPr>
              <w:t>0</w:t>
            </w:r>
          </w:p>
        </w:tc>
      </w:tr>
      <w:tr>
        <w:trPr>
          <w:trHeight w:val="182"/>
        </w:trPr>
        <w:tc>
          <w:tcPr>
            <w:tcW w:w="4060" w:type="dxa"/>
            <w:vAlign w:val="bottom"/>
          </w:tcPr>
          <w:p>
            <w:pPr>
              <w:spacing w:after="0" w:line="182" w:lineRule="exact"/>
              <w:rPr>
                <w:sz w:val="20"/>
                <w:szCs w:val="20"/>
                <w:color w:val="auto"/>
              </w:rPr>
            </w:pPr>
            <w:r>
              <w:rPr>
                <w:rFonts w:ascii="Arial" w:cs="Arial" w:eastAsia="Arial" w:hAnsi="Arial"/>
                <w:sz w:val="16"/>
                <w:szCs w:val="16"/>
                <w:color w:val="auto"/>
              </w:rPr>
              <w:t>Outplacement</w:t>
            </w:r>
          </w:p>
        </w:tc>
        <w:tc>
          <w:tcPr>
            <w:tcW w:w="1560" w:type="dxa"/>
            <w:vAlign w:val="bottom"/>
            <w:shd w:val="clear" w:color="auto" w:fill="D8D8D8"/>
          </w:tcPr>
          <w:p>
            <w:pPr>
              <w:jc w:val="right"/>
              <w:ind w:right="39"/>
              <w:spacing w:after="0" w:line="182" w:lineRule="exact"/>
              <w:rPr>
                <w:sz w:val="20"/>
                <w:szCs w:val="20"/>
                <w:color w:val="auto"/>
              </w:rPr>
            </w:pPr>
            <w:r>
              <w:rPr>
                <w:rFonts w:ascii="Arial" w:cs="Arial" w:eastAsia="Arial" w:hAnsi="Arial"/>
                <w:sz w:val="16"/>
                <w:szCs w:val="16"/>
                <w:color w:val="auto"/>
              </w:rPr>
              <w:t>N/A</w:t>
            </w:r>
          </w:p>
        </w:tc>
        <w:tc>
          <w:tcPr>
            <w:tcW w:w="2000" w:type="dxa"/>
            <w:vAlign w:val="bottom"/>
            <w:shd w:val="clear" w:color="auto" w:fill="D8D8D8"/>
          </w:tcPr>
          <w:p>
            <w:pPr>
              <w:jc w:val="right"/>
              <w:spacing w:after="0" w:line="182" w:lineRule="exact"/>
              <w:rPr>
                <w:sz w:val="20"/>
                <w:szCs w:val="20"/>
                <w:color w:val="auto"/>
              </w:rPr>
            </w:pPr>
            <w:r>
              <w:rPr>
                <w:rFonts w:ascii="Arial" w:cs="Arial" w:eastAsia="Arial" w:hAnsi="Arial"/>
                <w:sz w:val="16"/>
                <w:szCs w:val="16"/>
                <w:color w:val="auto"/>
              </w:rPr>
              <w:t>10,000</w:t>
            </w:r>
          </w:p>
        </w:tc>
        <w:tc>
          <w:tcPr>
            <w:tcW w:w="1520" w:type="dxa"/>
            <w:vAlign w:val="bottom"/>
            <w:shd w:val="clear" w:color="auto" w:fill="D8D8D8"/>
          </w:tcPr>
          <w:p>
            <w:pPr>
              <w:ind w:left="1140"/>
              <w:spacing w:after="0" w:line="182" w:lineRule="exact"/>
              <w:rPr>
                <w:sz w:val="20"/>
                <w:szCs w:val="20"/>
                <w:color w:val="auto"/>
              </w:rPr>
            </w:pPr>
            <w:r>
              <w:rPr>
                <w:rFonts w:ascii="Arial" w:cs="Arial" w:eastAsia="Arial" w:hAnsi="Arial"/>
                <w:sz w:val="16"/>
                <w:szCs w:val="16"/>
                <w:color w:val="auto"/>
              </w:rPr>
              <w:t>N/A</w:t>
            </w:r>
          </w:p>
        </w:tc>
        <w:tc>
          <w:tcPr>
            <w:tcW w:w="1860" w:type="dxa"/>
            <w:vAlign w:val="bottom"/>
            <w:shd w:val="clear" w:color="auto" w:fill="D8D8D8"/>
          </w:tcPr>
          <w:p>
            <w:pPr>
              <w:jc w:val="right"/>
              <w:spacing w:after="0" w:line="182" w:lineRule="exact"/>
              <w:rPr>
                <w:sz w:val="20"/>
                <w:szCs w:val="20"/>
                <w:color w:val="auto"/>
              </w:rPr>
            </w:pPr>
            <w:r>
              <w:rPr>
                <w:rFonts w:ascii="Arial" w:cs="Arial" w:eastAsia="Arial" w:hAnsi="Arial"/>
                <w:sz w:val="16"/>
                <w:szCs w:val="16"/>
                <w:color w:val="auto"/>
              </w:rPr>
              <w:t>N/A</w:t>
            </w:r>
          </w:p>
        </w:tc>
      </w:tr>
      <w:tr>
        <w:trPr>
          <w:trHeight w:val="220"/>
        </w:trPr>
        <w:tc>
          <w:tcPr>
            <w:tcW w:w="4060" w:type="dxa"/>
            <w:vAlign w:val="bottom"/>
          </w:tcPr>
          <w:p>
            <w:pPr>
              <w:spacing w:after="0"/>
              <w:rPr>
                <w:sz w:val="20"/>
                <w:szCs w:val="20"/>
                <w:color w:val="auto"/>
              </w:rPr>
            </w:pPr>
            <w:r>
              <w:rPr>
                <w:rFonts w:ascii="Arial" w:cs="Arial" w:eastAsia="Arial" w:hAnsi="Arial"/>
                <w:sz w:val="16"/>
                <w:szCs w:val="16"/>
                <w:b w:val="1"/>
                <w:bCs w:val="1"/>
                <w:i w:val="1"/>
                <w:iCs w:val="1"/>
                <w:color w:val="auto"/>
              </w:rPr>
              <w:t>Total:</w:t>
            </w:r>
          </w:p>
        </w:tc>
        <w:tc>
          <w:tcPr>
            <w:tcW w:w="1560" w:type="dxa"/>
            <w:vAlign w:val="bottom"/>
            <w:shd w:val="clear" w:color="auto" w:fill="D8D8D8"/>
          </w:tcPr>
          <w:p>
            <w:pPr>
              <w:jc w:val="right"/>
              <w:ind w:right="39"/>
              <w:spacing w:after="0"/>
              <w:rPr>
                <w:sz w:val="20"/>
                <w:szCs w:val="20"/>
                <w:color w:val="auto"/>
              </w:rPr>
            </w:pPr>
            <w:r>
              <w:rPr>
                <w:rFonts w:ascii="Arial" w:cs="Arial" w:eastAsia="Arial" w:hAnsi="Arial"/>
                <w:sz w:val="16"/>
                <w:szCs w:val="16"/>
                <w:color w:val="auto"/>
              </w:rPr>
              <w:t>N/A</w:t>
            </w:r>
          </w:p>
        </w:tc>
        <w:tc>
          <w:tcPr>
            <w:tcW w:w="2000" w:type="dxa"/>
            <w:vAlign w:val="bottom"/>
            <w:shd w:val="clear" w:color="auto" w:fill="D8D8D8"/>
          </w:tcPr>
          <w:p>
            <w:pPr>
              <w:jc w:val="right"/>
              <w:spacing w:after="0"/>
              <w:rPr>
                <w:sz w:val="20"/>
                <w:szCs w:val="20"/>
                <w:color w:val="auto"/>
              </w:rPr>
            </w:pPr>
            <w:r>
              <w:rPr>
                <w:rFonts w:ascii="Arial" w:cs="Arial" w:eastAsia="Arial" w:hAnsi="Arial"/>
                <w:sz w:val="16"/>
                <w:szCs w:val="16"/>
                <w:color w:val="auto"/>
              </w:rPr>
              <w:t>115,623,412</w:t>
            </w:r>
          </w:p>
        </w:tc>
        <w:tc>
          <w:tcPr>
            <w:tcW w:w="1520" w:type="dxa"/>
            <w:vAlign w:val="bottom"/>
            <w:shd w:val="clear" w:color="auto" w:fill="D8D8D8"/>
          </w:tcPr>
          <w:p>
            <w:pPr>
              <w:jc w:val="right"/>
              <w:ind w:right="39"/>
              <w:spacing w:after="0"/>
              <w:rPr>
                <w:sz w:val="20"/>
                <w:szCs w:val="20"/>
                <w:color w:val="auto"/>
              </w:rPr>
            </w:pPr>
            <w:r>
              <w:rPr>
                <w:rFonts w:ascii="Arial" w:cs="Arial" w:eastAsia="Arial" w:hAnsi="Arial"/>
                <w:sz w:val="16"/>
                <w:szCs w:val="16"/>
                <w:color w:val="auto"/>
              </w:rPr>
              <w:t>625,603</w:t>
            </w:r>
          </w:p>
        </w:tc>
        <w:tc>
          <w:tcPr>
            <w:tcW w:w="1860" w:type="dxa"/>
            <w:vAlign w:val="bottom"/>
            <w:shd w:val="clear" w:color="auto" w:fill="D8D8D8"/>
          </w:tcPr>
          <w:p>
            <w:pPr>
              <w:jc w:val="right"/>
              <w:ind w:right="19"/>
              <w:spacing w:after="0"/>
              <w:rPr>
                <w:sz w:val="20"/>
                <w:szCs w:val="20"/>
                <w:color w:val="auto"/>
              </w:rPr>
            </w:pPr>
            <w:r>
              <w:rPr>
                <w:rFonts w:ascii="Arial" w:cs="Arial" w:eastAsia="Arial" w:hAnsi="Arial"/>
                <w:sz w:val="16"/>
                <w:szCs w:val="16"/>
                <w:color w:val="auto"/>
              </w:rPr>
              <w:t>113,653,798</w:t>
            </w:r>
          </w:p>
        </w:tc>
      </w:tr>
      <w:tr>
        <w:trPr>
          <w:trHeight w:val="256"/>
        </w:trPr>
        <w:tc>
          <w:tcPr>
            <w:tcW w:w="4060" w:type="dxa"/>
            <w:vAlign w:val="bottom"/>
          </w:tcPr>
          <w:p>
            <w:pPr>
              <w:spacing w:after="0"/>
              <w:rPr>
                <w:sz w:val="20"/>
                <w:szCs w:val="20"/>
                <w:color w:val="auto"/>
              </w:rPr>
            </w:pPr>
            <w:r>
              <w:rPr>
                <w:rFonts w:ascii="Arial" w:cs="Arial" w:eastAsia="Arial" w:hAnsi="Arial"/>
                <w:sz w:val="16"/>
                <w:szCs w:val="16"/>
                <w:b w:val="1"/>
                <w:bCs w:val="1"/>
                <w:color w:val="auto"/>
              </w:rPr>
              <w:t>Brad M. Cerepak</w:t>
            </w:r>
          </w:p>
        </w:tc>
        <w:tc>
          <w:tcPr>
            <w:tcW w:w="1560" w:type="dxa"/>
            <w:vAlign w:val="bottom"/>
            <w:tcBorders>
              <w:bottom w:val="single" w:sz="8" w:color="999999"/>
            </w:tcBorders>
          </w:tcPr>
          <w:p>
            <w:pPr>
              <w:spacing w:after="0"/>
              <w:rPr>
                <w:sz w:val="22"/>
                <w:szCs w:val="22"/>
                <w:color w:val="auto"/>
              </w:rPr>
            </w:pPr>
          </w:p>
        </w:tc>
        <w:tc>
          <w:tcPr>
            <w:tcW w:w="2000" w:type="dxa"/>
            <w:vAlign w:val="bottom"/>
            <w:tcBorders>
              <w:bottom w:val="single" w:sz="8" w:color="999999"/>
            </w:tcBorders>
          </w:tcPr>
          <w:p>
            <w:pPr>
              <w:spacing w:after="0"/>
              <w:rPr>
                <w:sz w:val="22"/>
                <w:szCs w:val="22"/>
                <w:color w:val="auto"/>
              </w:rPr>
            </w:pPr>
          </w:p>
        </w:tc>
        <w:tc>
          <w:tcPr>
            <w:tcW w:w="1520" w:type="dxa"/>
            <w:vAlign w:val="bottom"/>
            <w:tcBorders>
              <w:bottom w:val="single" w:sz="8" w:color="999999"/>
            </w:tcBorders>
          </w:tcPr>
          <w:p>
            <w:pPr>
              <w:spacing w:after="0"/>
              <w:rPr>
                <w:sz w:val="22"/>
                <w:szCs w:val="22"/>
                <w:color w:val="auto"/>
              </w:rPr>
            </w:pPr>
          </w:p>
        </w:tc>
        <w:tc>
          <w:tcPr>
            <w:tcW w:w="1860" w:type="dxa"/>
            <w:vAlign w:val="bottom"/>
            <w:tcBorders>
              <w:bottom w:val="single" w:sz="8" w:color="999999"/>
            </w:tcBorders>
          </w:tcPr>
          <w:p>
            <w:pPr>
              <w:spacing w:after="0"/>
              <w:rPr>
                <w:sz w:val="22"/>
                <w:szCs w:val="22"/>
                <w:color w:val="auto"/>
              </w:rPr>
            </w:pPr>
          </w:p>
        </w:tc>
      </w:tr>
      <w:tr>
        <w:trPr>
          <w:trHeight w:val="182"/>
        </w:trPr>
        <w:tc>
          <w:tcPr>
            <w:tcW w:w="4060" w:type="dxa"/>
            <w:vAlign w:val="bottom"/>
          </w:tcPr>
          <w:p>
            <w:pPr>
              <w:spacing w:after="0" w:line="177" w:lineRule="exact"/>
              <w:rPr>
                <w:sz w:val="20"/>
                <w:szCs w:val="20"/>
                <w:color w:val="auto"/>
              </w:rPr>
            </w:pPr>
            <w:r>
              <w:rPr>
                <w:rFonts w:ascii="Arial" w:cs="Arial" w:eastAsia="Arial" w:hAnsi="Arial"/>
                <w:sz w:val="16"/>
                <w:szCs w:val="16"/>
                <w:color w:val="auto"/>
              </w:rPr>
              <w:t>Cash severance (5)</w:t>
            </w:r>
          </w:p>
        </w:tc>
        <w:tc>
          <w:tcPr>
            <w:tcW w:w="1560" w:type="dxa"/>
            <w:vAlign w:val="bottom"/>
            <w:tcBorders>
              <w:bottom w:val="single" w:sz="8" w:color="999999"/>
            </w:tcBorders>
          </w:tcPr>
          <w:p>
            <w:pPr>
              <w:jc w:val="right"/>
              <w:ind w:right="39"/>
              <w:spacing w:after="0" w:line="182" w:lineRule="exact"/>
              <w:rPr>
                <w:sz w:val="20"/>
                <w:szCs w:val="20"/>
                <w:color w:val="auto"/>
              </w:rPr>
            </w:pPr>
            <w:r>
              <w:rPr>
                <w:rFonts w:ascii="Arial" w:cs="Arial" w:eastAsia="Arial" w:hAnsi="Arial"/>
                <w:sz w:val="16"/>
                <w:szCs w:val="16"/>
                <w:color w:val="auto"/>
              </w:rPr>
              <w:t>N/A</w:t>
            </w:r>
          </w:p>
        </w:tc>
        <w:tc>
          <w:tcPr>
            <w:tcW w:w="2000" w:type="dxa"/>
            <w:vAlign w:val="bottom"/>
            <w:tcBorders>
              <w:bottom w:val="single" w:sz="8" w:color="999999"/>
            </w:tcBorders>
          </w:tcPr>
          <w:p>
            <w:pPr>
              <w:jc w:val="right"/>
              <w:spacing w:after="0" w:line="182" w:lineRule="exact"/>
              <w:rPr>
                <w:sz w:val="20"/>
                <w:szCs w:val="20"/>
                <w:color w:val="auto"/>
              </w:rPr>
            </w:pPr>
            <w:r>
              <w:rPr>
                <w:rFonts w:ascii="Arial" w:cs="Arial" w:eastAsia="Arial" w:hAnsi="Arial"/>
                <w:sz w:val="16"/>
                <w:szCs w:val="16"/>
                <w:color w:val="auto"/>
              </w:rPr>
              <w:t>1,370,000</w:t>
            </w:r>
          </w:p>
        </w:tc>
        <w:tc>
          <w:tcPr>
            <w:tcW w:w="1520" w:type="dxa"/>
            <w:vAlign w:val="bottom"/>
            <w:tcBorders>
              <w:bottom w:val="single" w:sz="8" w:color="999999"/>
            </w:tcBorders>
          </w:tcPr>
          <w:p>
            <w:pPr>
              <w:ind w:left="1140"/>
              <w:spacing w:after="0" w:line="182" w:lineRule="exact"/>
              <w:rPr>
                <w:sz w:val="20"/>
                <w:szCs w:val="20"/>
                <w:color w:val="auto"/>
              </w:rPr>
            </w:pPr>
            <w:r>
              <w:rPr>
                <w:rFonts w:ascii="Arial" w:cs="Arial" w:eastAsia="Arial" w:hAnsi="Arial"/>
                <w:sz w:val="16"/>
                <w:szCs w:val="16"/>
                <w:color w:val="auto"/>
              </w:rPr>
              <w:t>N/A</w:t>
            </w:r>
          </w:p>
        </w:tc>
        <w:tc>
          <w:tcPr>
            <w:tcW w:w="1860" w:type="dxa"/>
            <w:vAlign w:val="bottom"/>
            <w:tcBorders>
              <w:bottom w:val="single" w:sz="8" w:color="999999"/>
            </w:tcBorders>
          </w:tcPr>
          <w:p>
            <w:pPr>
              <w:jc w:val="right"/>
              <w:spacing w:after="0" w:line="182" w:lineRule="exact"/>
              <w:rPr>
                <w:sz w:val="20"/>
                <w:szCs w:val="20"/>
                <w:color w:val="auto"/>
              </w:rPr>
            </w:pPr>
            <w:r>
              <w:rPr>
                <w:rFonts w:ascii="Arial" w:cs="Arial" w:eastAsia="Arial" w:hAnsi="Arial"/>
                <w:sz w:val="16"/>
                <w:szCs w:val="16"/>
                <w:color w:val="auto"/>
              </w:rPr>
              <w:t>N/A</w:t>
            </w:r>
          </w:p>
        </w:tc>
      </w:tr>
      <w:tr>
        <w:trPr>
          <w:trHeight w:val="182"/>
        </w:trPr>
        <w:tc>
          <w:tcPr>
            <w:tcW w:w="4060" w:type="dxa"/>
            <w:vAlign w:val="bottom"/>
          </w:tcPr>
          <w:p>
            <w:pPr>
              <w:spacing w:after="0" w:line="177" w:lineRule="exact"/>
              <w:rPr>
                <w:sz w:val="20"/>
                <w:szCs w:val="20"/>
                <w:color w:val="auto"/>
              </w:rPr>
            </w:pPr>
            <w:r>
              <w:rPr>
                <w:rFonts w:ascii="Arial" w:cs="Arial" w:eastAsia="Arial" w:hAnsi="Arial"/>
                <w:sz w:val="16"/>
                <w:szCs w:val="16"/>
                <w:color w:val="auto"/>
              </w:rPr>
              <w:t>Performance share award (6)</w:t>
            </w:r>
          </w:p>
        </w:tc>
        <w:tc>
          <w:tcPr>
            <w:tcW w:w="1560" w:type="dxa"/>
            <w:vAlign w:val="bottom"/>
            <w:tcBorders>
              <w:bottom w:val="single" w:sz="8" w:color="999999"/>
            </w:tcBorders>
          </w:tcPr>
          <w:p>
            <w:pPr>
              <w:jc w:val="right"/>
              <w:ind w:right="39"/>
              <w:spacing w:after="0" w:line="182" w:lineRule="exact"/>
              <w:rPr>
                <w:sz w:val="20"/>
                <w:szCs w:val="20"/>
                <w:color w:val="auto"/>
              </w:rPr>
            </w:pPr>
            <w:r>
              <w:rPr>
                <w:rFonts w:ascii="Arial" w:cs="Arial" w:eastAsia="Arial" w:hAnsi="Arial"/>
                <w:sz w:val="16"/>
                <w:szCs w:val="16"/>
                <w:color w:val="auto"/>
              </w:rPr>
              <w:t>0</w:t>
            </w:r>
          </w:p>
        </w:tc>
        <w:tc>
          <w:tcPr>
            <w:tcW w:w="2000" w:type="dxa"/>
            <w:vAlign w:val="bottom"/>
            <w:tcBorders>
              <w:bottom w:val="single" w:sz="8" w:color="999999"/>
            </w:tcBorders>
          </w:tcPr>
          <w:p>
            <w:pPr>
              <w:jc w:val="right"/>
              <w:spacing w:after="0" w:line="182" w:lineRule="exact"/>
              <w:rPr>
                <w:sz w:val="20"/>
                <w:szCs w:val="20"/>
                <w:color w:val="auto"/>
              </w:rPr>
            </w:pPr>
            <w:r>
              <w:rPr>
                <w:rFonts w:ascii="Arial" w:cs="Arial" w:eastAsia="Arial" w:hAnsi="Arial"/>
                <w:sz w:val="16"/>
                <w:szCs w:val="16"/>
                <w:color w:val="auto"/>
              </w:rPr>
              <w:t>0</w:t>
            </w:r>
          </w:p>
        </w:tc>
        <w:tc>
          <w:tcPr>
            <w:tcW w:w="1520" w:type="dxa"/>
            <w:vAlign w:val="bottom"/>
            <w:tcBorders>
              <w:bottom w:val="single" w:sz="8" w:color="999999"/>
            </w:tcBorders>
          </w:tcPr>
          <w:p>
            <w:pPr>
              <w:jc w:val="right"/>
              <w:ind w:right="39"/>
              <w:spacing w:after="0" w:line="182" w:lineRule="exact"/>
              <w:rPr>
                <w:sz w:val="20"/>
                <w:szCs w:val="20"/>
                <w:color w:val="auto"/>
              </w:rPr>
            </w:pPr>
            <w:r>
              <w:rPr>
                <w:rFonts w:ascii="Arial" w:cs="Arial" w:eastAsia="Arial" w:hAnsi="Arial"/>
                <w:sz w:val="16"/>
                <w:szCs w:val="16"/>
                <w:color w:val="auto"/>
              </w:rPr>
              <w:t>0</w:t>
            </w:r>
          </w:p>
        </w:tc>
        <w:tc>
          <w:tcPr>
            <w:tcW w:w="1860" w:type="dxa"/>
            <w:vAlign w:val="bottom"/>
            <w:tcBorders>
              <w:bottom w:val="single" w:sz="8" w:color="999999"/>
            </w:tcBorders>
          </w:tcPr>
          <w:p>
            <w:pPr>
              <w:jc w:val="right"/>
              <w:spacing w:after="0" w:line="182" w:lineRule="exact"/>
              <w:rPr>
                <w:sz w:val="20"/>
                <w:szCs w:val="20"/>
                <w:color w:val="auto"/>
              </w:rPr>
            </w:pPr>
            <w:r>
              <w:rPr>
                <w:rFonts w:ascii="Arial" w:cs="Arial" w:eastAsia="Arial" w:hAnsi="Arial"/>
                <w:sz w:val="16"/>
                <w:szCs w:val="16"/>
                <w:color w:val="auto"/>
              </w:rPr>
              <w:t>N/A</w:t>
            </w:r>
          </w:p>
        </w:tc>
      </w:tr>
      <w:tr>
        <w:trPr>
          <w:trHeight w:val="182"/>
        </w:trPr>
        <w:tc>
          <w:tcPr>
            <w:tcW w:w="4060" w:type="dxa"/>
            <w:vAlign w:val="bottom"/>
          </w:tcPr>
          <w:p>
            <w:pPr>
              <w:spacing w:after="0" w:line="177" w:lineRule="exact"/>
              <w:rPr>
                <w:sz w:val="20"/>
                <w:szCs w:val="20"/>
                <w:color w:val="auto"/>
              </w:rPr>
            </w:pPr>
            <w:r>
              <w:rPr>
                <w:rFonts w:ascii="Arial" w:cs="Arial" w:eastAsia="Arial" w:hAnsi="Arial"/>
                <w:sz w:val="16"/>
                <w:szCs w:val="16"/>
                <w:color w:val="auto"/>
              </w:rPr>
              <w:t>Stock options/SSARs (7)</w:t>
            </w:r>
          </w:p>
        </w:tc>
        <w:tc>
          <w:tcPr>
            <w:tcW w:w="1560" w:type="dxa"/>
            <w:vAlign w:val="bottom"/>
            <w:tcBorders>
              <w:bottom w:val="single" w:sz="8" w:color="999999"/>
            </w:tcBorders>
          </w:tcPr>
          <w:p>
            <w:pPr>
              <w:jc w:val="right"/>
              <w:ind w:right="39"/>
              <w:spacing w:after="0" w:line="182" w:lineRule="exact"/>
              <w:rPr>
                <w:sz w:val="20"/>
                <w:szCs w:val="20"/>
                <w:color w:val="auto"/>
              </w:rPr>
            </w:pPr>
            <w:r>
              <w:rPr>
                <w:rFonts w:ascii="Arial" w:cs="Arial" w:eastAsia="Arial" w:hAnsi="Arial"/>
                <w:sz w:val="16"/>
                <w:szCs w:val="16"/>
                <w:color w:val="auto"/>
              </w:rPr>
              <w:t>11,252,158</w:t>
            </w:r>
          </w:p>
        </w:tc>
        <w:tc>
          <w:tcPr>
            <w:tcW w:w="2000" w:type="dxa"/>
            <w:vAlign w:val="bottom"/>
            <w:tcBorders>
              <w:bottom w:val="single" w:sz="8" w:color="999999"/>
            </w:tcBorders>
          </w:tcPr>
          <w:p>
            <w:pPr>
              <w:jc w:val="right"/>
              <w:spacing w:after="0" w:line="182" w:lineRule="exact"/>
              <w:rPr>
                <w:sz w:val="20"/>
                <w:szCs w:val="20"/>
                <w:color w:val="auto"/>
              </w:rPr>
            </w:pPr>
            <w:r>
              <w:rPr>
                <w:rFonts w:ascii="Arial" w:cs="Arial" w:eastAsia="Arial" w:hAnsi="Arial"/>
                <w:sz w:val="16"/>
                <w:szCs w:val="16"/>
                <w:color w:val="auto"/>
              </w:rPr>
              <w:t>11,252,158</w:t>
            </w:r>
          </w:p>
        </w:tc>
        <w:tc>
          <w:tcPr>
            <w:tcW w:w="1520" w:type="dxa"/>
            <w:vAlign w:val="bottom"/>
            <w:tcBorders>
              <w:bottom w:val="single" w:sz="8" w:color="999999"/>
            </w:tcBorders>
          </w:tcPr>
          <w:p>
            <w:pPr>
              <w:jc w:val="right"/>
              <w:ind w:right="39"/>
              <w:spacing w:after="0" w:line="182" w:lineRule="exact"/>
              <w:rPr>
                <w:sz w:val="20"/>
                <w:szCs w:val="20"/>
                <w:color w:val="auto"/>
              </w:rPr>
            </w:pPr>
            <w:r>
              <w:rPr>
                <w:rFonts w:ascii="Arial" w:cs="Arial" w:eastAsia="Arial" w:hAnsi="Arial"/>
                <w:sz w:val="16"/>
                <w:szCs w:val="16"/>
                <w:color w:val="auto"/>
              </w:rPr>
              <w:t>0</w:t>
            </w:r>
          </w:p>
        </w:tc>
        <w:tc>
          <w:tcPr>
            <w:tcW w:w="1860" w:type="dxa"/>
            <w:vAlign w:val="bottom"/>
            <w:tcBorders>
              <w:bottom w:val="single" w:sz="8" w:color="999999"/>
            </w:tcBorders>
          </w:tcPr>
          <w:p>
            <w:pPr>
              <w:jc w:val="right"/>
              <w:spacing w:after="0" w:line="182" w:lineRule="exact"/>
              <w:rPr>
                <w:sz w:val="20"/>
                <w:szCs w:val="20"/>
                <w:color w:val="auto"/>
              </w:rPr>
            </w:pPr>
            <w:r>
              <w:rPr>
                <w:rFonts w:ascii="Arial" w:cs="Arial" w:eastAsia="Arial" w:hAnsi="Arial"/>
                <w:sz w:val="16"/>
                <w:szCs w:val="16"/>
                <w:color w:val="auto"/>
              </w:rPr>
              <w:t>N/A</w:t>
            </w:r>
          </w:p>
        </w:tc>
      </w:tr>
      <w:tr>
        <w:trPr>
          <w:trHeight w:val="182"/>
        </w:trPr>
        <w:tc>
          <w:tcPr>
            <w:tcW w:w="4060" w:type="dxa"/>
            <w:vAlign w:val="bottom"/>
          </w:tcPr>
          <w:p>
            <w:pPr>
              <w:spacing w:after="0" w:line="177" w:lineRule="exact"/>
              <w:rPr>
                <w:sz w:val="20"/>
                <w:szCs w:val="20"/>
                <w:color w:val="auto"/>
              </w:rPr>
            </w:pPr>
            <w:r>
              <w:rPr>
                <w:rFonts w:ascii="Arial" w:cs="Arial" w:eastAsia="Arial" w:hAnsi="Arial"/>
                <w:sz w:val="16"/>
                <w:szCs w:val="16"/>
                <w:color w:val="auto"/>
              </w:rPr>
              <w:t>Restricted Stock Units</w:t>
            </w:r>
          </w:p>
        </w:tc>
        <w:tc>
          <w:tcPr>
            <w:tcW w:w="1560" w:type="dxa"/>
            <w:vAlign w:val="bottom"/>
            <w:tcBorders>
              <w:bottom w:val="single" w:sz="8" w:color="999999"/>
            </w:tcBorders>
          </w:tcPr>
          <w:p>
            <w:pPr>
              <w:jc w:val="right"/>
              <w:ind w:right="39"/>
              <w:spacing w:after="0" w:line="182" w:lineRule="exact"/>
              <w:rPr>
                <w:sz w:val="20"/>
                <w:szCs w:val="20"/>
                <w:color w:val="auto"/>
              </w:rPr>
            </w:pPr>
            <w:r>
              <w:rPr>
                <w:rFonts w:ascii="Arial" w:cs="Arial" w:eastAsia="Arial" w:hAnsi="Arial"/>
                <w:sz w:val="16"/>
                <w:szCs w:val="16"/>
                <w:color w:val="auto"/>
              </w:rPr>
              <w:t>0</w:t>
            </w:r>
          </w:p>
        </w:tc>
        <w:tc>
          <w:tcPr>
            <w:tcW w:w="2000" w:type="dxa"/>
            <w:vAlign w:val="bottom"/>
            <w:tcBorders>
              <w:bottom w:val="single" w:sz="8" w:color="999999"/>
            </w:tcBorders>
          </w:tcPr>
          <w:p>
            <w:pPr>
              <w:jc w:val="right"/>
              <w:spacing w:after="0" w:line="182" w:lineRule="exact"/>
              <w:rPr>
                <w:sz w:val="20"/>
                <w:szCs w:val="20"/>
                <w:color w:val="auto"/>
              </w:rPr>
            </w:pPr>
            <w:r>
              <w:rPr>
                <w:rFonts w:ascii="Arial" w:cs="Arial" w:eastAsia="Arial" w:hAnsi="Arial"/>
                <w:sz w:val="16"/>
                <w:szCs w:val="16"/>
                <w:color w:val="auto"/>
              </w:rPr>
              <w:t>0</w:t>
            </w:r>
          </w:p>
        </w:tc>
        <w:tc>
          <w:tcPr>
            <w:tcW w:w="1520" w:type="dxa"/>
            <w:vAlign w:val="bottom"/>
            <w:tcBorders>
              <w:bottom w:val="single" w:sz="8" w:color="999999"/>
            </w:tcBorders>
          </w:tcPr>
          <w:p>
            <w:pPr>
              <w:jc w:val="right"/>
              <w:ind w:right="39"/>
              <w:spacing w:after="0" w:line="182" w:lineRule="exact"/>
              <w:rPr>
                <w:sz w:val="20"/>
                <w:szCs w:val="20"/>
                <w:color w:val="auto"/>
              </w:rPr>
            </w:pPr>
            <w:r>
              <w:rPr>
                <w:rFonts w:ascii="Arial" w:cs="Arial" w:eastAsia="Arial" w:hAnsi="Arial"/>
                <w:sz w:val="16"/>
                <w:szCs w:val="16"/>
                <w:color w:val="auto"/>
              </w:rPr>
              <w:t>0</w:t>
            </w:r>
          </w:p>
        </w:tc>
        <w:tc>
          <w:tcPr>
            <w:tcW w:w="1860" w:type="dxa"/>
            <w:vAlign w:val="bottom"/>
            <w:tcBorders>
              <w:bottom w:val="single" w:sz="8" w:color="999999"/>
            </w:tcBorders>
          </w:tcPr>
          <w:p>
            <w:pPr>
              <w:jc w:val="right"/>
              <w:spacing w:after="0" w:line="182" w:lineRule="exact"/>
              <w:rPr>
                <w:sz w:val="20"/>
                <w:szCs w:val="20"/>
                <w:color w:val="auto"/>
              </w:rPr>
            </w:pPr>
            <w:r>
              <w:rPr>
                <w:rFonts w:ascii="Arial" w:cs="Arial" w:eastAsia="Arial" w:hAnsi="Arial"/>
                <w:sz w:val="16"/>
                <w:szCs w:val="16"/>
                <w:color w:val="auto"/>
              </w:rPr>
              <w:t>N/A</w:t>
            </w:r>
          </w:p>
        </w:tc>
      </w:tr>
      <w:tr>
        <w:trPr>
          <w:trHeight w:val="182"/>
        </w:trPr>
        <w:tc>
          <w:tcPr>
            <w:tcW w:w="4060" w:type="dxa"/>
            <w:vAlign w:val="bottom"/>
          </w:tcPr>
          <w:p>
            <w:pPr>
              <w:spacing w:after="0" w:line="177" w:lineRule="exact"/>
              <w:rPr>
                <w:sz w:val="20"/>
                <w:szCs w:val="20"/>
                <w:color w:val="auto"/>
              </w:rPr>
            </w:pPr>
            <w:r>
              <w:rPr>
                <w:rFonts w:ascii="Arial" w:cs="Arial" w:eastAsia="Arial" w:hAnsi="Arial"/>
                <w:sz w:val="16"/>
                <w:szCs w:val="16"/>
                <w:color w:val="auto"/>
              </w:rPr>
              <w:t>Retirement plan payments (9)</w:t>
            </w:r>
          </w:p>
        </w:tc>
        <w:tc>
          <w:tcPr>
            <w:tcW w:w="1560" w:type="dxa"/>
            <w:vAlign w:val="bottom"/>
            <w:tcBorders>
              <w:bottom w:val="single" w:sz="8" w:color="999999"/>
            </w:tcBorders>
          </w:tcPr>
          <w:p>
            <w:pPr>
              <w:jc w:val="right"/>
              <w:ind w:right="39"/>
              <w:spacing w:after="0" w:line="182" w:lineRule="exact"/>
              <w:rPr>
                <w:sz w:val="20"/>
                <w:szCs w:val="20"/>
                <w:color w:val="auto"/>
              </w:rPr>
            </w:pPr>
            <w:r>
              <w:rPr>
                <w:rFonts w:ascii="Arial" w:cs="Arial" w:eastAsia="Arial" w:hAnsi="Arial"/>
                <w:sz w:val="16"/>
                <w:szCs w:val="16"/>
                <w:color w:val="auto"/>
              </w:rPr>
              <w:t>1,601,807</w:t>
            </w:r>
          </w:p>
        </w:tc>
        <w:tc>
          <w:tcPr>
            <w:tcW w:w="2000" w:type="dxa"/>
            <w:vAlign w:val="bottom"/>
            <w:tcBorders>
              <w:bottom w:val="single" w:sz="8" w:color="999999"/>
            </w:tcBorders>
          </w:tcPr>
          <w:p>
            <w:pPr>
              <w:jc w:val="right"/>
              <w:spacing w:after="0" w:line="182" w:lineRule="exact"/>
              <w:rPr>
                <w:sz w:val="20"/>
                <w:szCs w:val="20"/>
                <w:color w:val="auto"/>
              </w:rPr>
            </w:pPr>
            <w:r>
              <w:rPr>
                <w:rFonts w:ascii="Arial" w:cs="Arial" w:eastAsia="Arial" w:hAnsi="Arial"/>
                <w:sz w:val="16"/>
                <w:szCs w:val="16"/>
                <w:color w:val="auto"/>
              </w:rPr>
              <w:t>1,601,807</w:t>
            </w:r>
          </w:p>
        </w:tc>
        <w:tc>
          <w:tcPr>
            <w:tcW w:w="1520" w:type="dxa"/>
            <w:vAlign w:val="bottom"/>
            <w:tcBorders>
              <w:bottom w:val="single" w:sz="8" w:color="999999"/>
            </w:tcBorders>
          </w:tcPr>
          <w:p>
            <w:pPr>
              <w:jc w:val="right"/>
              <w:ind w:right="39"/>
              <w:spacing w:after="0" w:line="182" w:lineRule="exact"/>
              <w:rPr>
                <w:sz w:val="20"/>
                <w:szCs w:val="20"/>
                <w:color w:val="auto"/>
              </w:rPr>
            </w:pPr>
            <w:r>
              <w:rPr>
                <w:rFonts w:ascii="Arial" w:cs="Arial" w:eastAsia="Arial" w:hAnsi="Arial"/>
                <w:sz w:val="16"/>
                <w:szCs w:val="16"/>
                <w:color w:val="auto"/>
              </w:rPr>
              <w:t>337,124</w:t>
            </w:r>
          </w:p>
        </w:tc>
        <w:tc>
          <w:tcPr>
            <w:tcW w:w="1860" w:type="dxa"/>
            <w:vAlign w:val="bottom"/>
            <w:tcBorders>
              <w:bottom w:val="single" w:sz="8" w:color="999999"/>
            </w:tcBorders>
          </w:tcPr>
          <w:p>
            <w:pPr>
              <w:jc w:val="right"/>
              <w:spacing w:after="0" w:line="182" w:lineRule="exact"/>
              <w:rPr>
                <w:sz w:val="20"/>
                <w:szCs w:val="20"/>
                <w:color w:val="auto"/>
              </w:rPr>
            </w:pPr>
            <w:r>
              <w:rPr>
                <w:rFonts w:ascii="Arial" w:cs="Arial" w:eastAsia="Arial" w:hAnsi="Arial"/>
                <w:sz w:val="16"/>
                <w:szCs w:val="16"/>
                <w:color w:val="auto"/>
              </w:rPr>
              <w:t>N/A</w:t>
            </w:r>
          </w:p>
        </w:tc>
      </w:tr>
      <w:tr>
        <w:trPr>
          <w:trHeight w:val="182"/>
        </w:trPr>
        <w:tc>
          <w:tcPr>
            <w:tcW w:w="4060" w:type="dxa"/>
            <w:vAlign w:val="bottom"/>
          </w:tcPr>
          <w:p>
            <w:pPr>
              <w:spacing w:after="0" w:line="177" w:lineRule="exact"/>
              <w:rPr>
                <w:sz w:val="20"/>
                <w:szCs w:val="20"/>
                <w:color w:val="auto"/>
              </w:rPr>
            </w:pPr>
            <w:r>
              <w:rPr>
                <w:rFonts w:ascii="Arial" w:cs="Arial" w:eastAsia="Arial" w:hAnsi="Arial"/>
                <w:sz w:val="16"/>
                <w:szCs w:val="16"/>
                <w:color w:val="auto"/>
              </w:rPr>
              <w:t>Deferred comp plan</w:t>
            </w:r>
          </w:p>
        </w:tc>
        <w:tc>
          <w:tcPr>
            <w:tcW w:w="1560" w:type="dxa"/>
            <w:vAlign w:val="bottom"/>
            <w:tcBorders>
              <w:bottom w:val="single" w:sz="8" w:color="999999"/>
            </w:tcBorders>
          </w:tcPr>
          <w:p>
            <w:pPr>
              <w:jc w:val="right"/>
              <w:ind w:right="39"/>
              <w:spacing w:after="0" w:line="182" w:lineRule="exact"/>
              <w:rPr>
                <w:sz w:val="20"/>
                <w:szCs w:val="20"/>
                <w:color w:val="auto"/>
              </w:rPr>
            </w:pPr>
            <w:r>
              <w:rPr>
                <w:rFonts w:ascii="Arial" w:cs="Arial" w:eastAsia="Arial" w:hAnsi="Arial"/>
                <w:sz w:val="16"/>
                <w:szCs w:val="16"/>
                <w:color w:val="auto"/>
              </w:rPr>
              <w:t>0</w:t>
            </w:r>
          </w:p>
        </w:tc>
        <w:tc>
          <w:tcPr>
            <w:tcW w:w="2000" w:type="dxa"/>
            <w:vAlign w:val="bottom"/>
            <w:tcBorders>
              <w:bottom w:val="single" w:sz="8" w:color="999999"/>
            </w:tcBorders>
          </w:tcPr>
          <w:p>
            <w:pPr>
              <w:jc w:val="right"/>
              <w:spacing w:after="0" w:line="182" w:lineRule="exact"/>
              <w:rPr>
                <w:sz w:val="20"/>
                <w:szCs w:val="20"/>
                <w:color w:val="auto"/>
              </w:rPr>
            </w:pPr>
            <w:r>
              <w:rPr>
                <w:rFonts w:ascii="Arial" w:cs="Arial" w:eastAsia="Arial" w:hAnsi="Arial"/>
                <w:sz w:val="16"/>
                <w:szCs w:val="16"/>
                <w:color w:val="auto"/>
              </w:rPr>
              <w:t>0</w:t>
            </w:r>
          </w:p>
        </w:tc>
        <w:tc>
          <w:tcPr>
            <w:tcW w:w="1520" w:type="dxa"/>
            <w:vAlign w:val="bottom"/>
            <w:tcBorders>
              <w:bottom w:val="single" w:sz="8" w:color="999999"/>
            </w:tcBorders>
          </w:tcPr>
          <w:p>
            <w:pPr>
              <w:jc w:val="right"/>
              <w:ind w:right="39"/>
              <w:spacing w:after="0" w:line="182" w:lineRule="exact"/>
              <w:rPr>
                <w:sz w:val="20"/>
                <w:szCs w:val="20"/>
                <w:color w:val="auto"/>
              </w:rPr>
            </w:pPr>
            <w:r>
              <w:rPr>
                <w:rFonts w:ascii="Arial" w:cs="Arial" w:eastAsia="Arial" w:hAnsi="Arial"/>
                <w:sz w:val="16"/>
                <w:szCs w:val="16"/>
                <w:color w:val="auto"/>
              </w:rPr>
              <w:t>0</w:t>
            </w:r>
          </w:p>
        </w:tc>
        <w:tc>
          <w:tcPr>
            <w:tcW w:w="1860" w:type="dxa"/>
            <w:vAlign w:val="bottom"/>
            <w:tcBorders>
              <w:bottom w:val="single" w:sz="8" w:color="999999"/>
            </w:tcBorders>
          </w:tcPr>
          <w:p>
            <w:pPr>
              <w:jc w:val="right"/>
              <w:spacing w:after="0" w:line="182" w:lineRule="exact"/>
              <w:rPr>
                <w:sz w:val="20"/>
                <w:szCs w:val="20"/>
                <w:color w:val="auto"/>
              </w:rPr>
            </w:pPr>
            <w:r>
              <w:rPr>
                <w:rFonts w:ascii="Arial" w:cs="Arial" w:eastAsia="Arial" w:hAnsi="Arial"/>
                <w:sz w:val="16"/>
                <w:szCs w:val="16"/>
                <w:color w:val="auto"/>
              </w:rPr>
              <w:t>N/A</w:t>
            </w:r>
          </w:p>
        </w:tc>
      </w:tr>
      <w:tr>
        <w:trPr>
          <w:trHeight w:val="182"/>
        </w:trPr>
        <w:tc>
          <w:tcPr>
            <w:tcW w:w="4060" w:type="dxa"/>
            <w:vAlign w:val="bottom"/>
          </w:tcPr>
          <w:p>
            <w:pPr>
              <w:spacing w:after="0" w:line="177" w:lineRule="exact"/>
              <w:rPr>
                <w:sz w:val="20"/>
                <w:szCs w:val="20"/>
                <w:color w:val="auto"/>
              </w:rPr>
            </w:pPr>
            <w:r>
              <w:rPr>
                <w:rFonts w:ascii="Arial" w:cs="Arial" w:eastAsia="Arial" w:hAnsi="Arial"/>
                <w:sz w:val="16"/>
                <w:szCs w:val="16"/>
                <w:color w:val="auto"/>
              </w:rPr>
              <w:t>Health and welfare benefits (11)</w:t>
            </w:r>
          </w:p>
        </w:tc>
        <w:tc>
          <w:tcPr>
            <w:tcW w:w="1560" w:type="dxa"/>
            <w:vAlign w:val="bottom"/>
            <w:tcBorders>
              <w:bottom w:val="single" w:sz="8" w:color="999999"/>
            </w:tcBorders>
          </w:tcPr>
          <w:p>
            <w:pPr>
              <w:jc w:val="right"/>
              <w:ind w:right="39"/>
              <w:spacing w:after="0" w:line="182" w:lineRule="exact"/>
              <w:rPr>
                <w:sz w:val="20"/>
                <w:szCs w:val="20"/>
                <w:color w:val="auto"/>
              </w:rPr>
            </w:pPr>
            <w:r>
              <w:rPr>
                <w:rFonts w:ascii="Arial" w:cs="Arial" w:eastAsia="Arial" w:hAnsi="Arial"/>
                <w:sz w:val="16"/>
                <w:szCs w:val="16"/>
                <w:color w:val="auto"/>
              </w:rPr>
              <w:t>0</w:t>
            </w:r>
          </w:p>
        </w:tc>
        <w:tc>
          <w:tcPr>
            <w:tcW w:w="2000" w:type="dxa"/>
            <w:vAlign w:val="bottom"/>
            <w:tcBorders>
              <w:bottom w:val="single" w:sz="8" w:color="999999"/>
            </w:tcBorders>
          </w:tcPr>
          <w:p>
            <w:pPr>
              <w:jc w:val="right"/>
              <w:spacing w:after="0" w:line="182" w:lineRule="exact"/>
              <w:rPr>
                <w:sz w:val="20"/>
                <w:szCs w:val="20"/>
                <w:color w:val="auto"/>
              </w:rPr>
            </w:pPr>
            <w:r>
              <w:rPr>
                <w:rFonts w:ascii="Arial" w:cs="Arial" w:eastAsia="Arial" w:hAnsi="Arial"/>
                <w:sz w:val="16"/>
                <w:szCs w:val="16"/>
                <w:color w:val="auto"/>
              </w:rPr>
              <w:t>19,615</w:t>
            </w:r>
          </w:p>
        </w:tc>
        <w:tc>
          <w:tcPr>
            <w:tcW w:w="1520" w:type="dxa"/>
            <w:vAlign w:val="bottom"/>
            <w:tcBorders>
              <w:bottom w:val="single" w:sz="8" w:color="999999"/>
            </w:tcBorders>
          </w:tcPr>
          <w:p>
            <w:pPr>
              <w:jc w:val="right"/>
              <w:ind w:right="39"/>
              <w:spacing w:after="0" w:line="182" w:lineRule="exact"/>
              <w:rPr>
                <w:sz w:val="20"/>
                <w:szCs w:val="20"/>
                <w:color w:val="auto"/>
              </w:rPr>
            </w:pPr>
            <w:r>
              <w:rPr>
                <w:rFonts w:ascii="Arial" w:cs="Arial" w:eastAsia="Arial" w:hAnsi="Arial"/>
                <w:sz w:val="16"/>
                <w:szCs w:val="16"/>
                <w:color w:val="auto"/>
              </w:rPr>
              <w:t>0</w:t>
            </w:r>
          </w:p>
        </w:tc>
        <w:tc>
          <w:tcPr>
            <w:tcW w:w="1860" w:type="dxa"/>
            <w:vAlign w:val="bottom"/>
            <w:tcBorders>
              <w:bottom w:val="single" w:sz="8" w:color="999999"/>
            </w:tcBorders>
          </w:tcPr>
          <w:p>
            <w:pPr>
              <w:jc w:val="right"/>
              <w:spacing w:after="0" w:line="182" w:lineRule="exact"/>
              <w:rPr>
                <w:sz w:val="20"/>
                <w:szCs w:val="20"/>
                <w:color w:val="auto"/>
              </w:rPr>
            </w:pPr>
            <w:r>
              <w:rPr>
                <w:rFonts w:ascii="Arial" w:cs="Arial" w:eastAsia="Arial" w:hAnsi="Arial"/>
                <w:sz w:val="16"/>
                <w:szCs w:val="16"/>
                <w:color w:val="auto"/>
              </w:rPr>
              <w:t>N/A</w:t>
            </w:r>
          </w:p>
        </w:tc>
      </w:tr>
      <w:tr>
        <w:trPr>
          <w:trHeight w:val="182"/>
        </w:trPr>
        <w:tc>
          <w:tcPr>
            <w:tcW w:w="4060" w:type="dxa"/>
            <w:vAlign w:val="bottom"/>
          </w:tcPr>
          <w:p>
            <w:pPr>
              <w:spacing w:after="0" w:line="177" w:lineRule="exact"/>
              <w:rPr>
                <w:sz w:val="20"/>
                <w:szCs w:val="20"/>
                <w:color w:val="auto"/>
              </w:rPr>
            </w:pPr>
            <w:r>
              <w:rPr>
                <w:rFonts w:ascii="Arial" w:cs="Arial" w:eastAsia="Arial" w:hAnsi="Arial"/>
                <w:sz w:val="16"/>
                <w:szCs w:val="16"/>
                <w:color w:val="auto"/>
              </w:rPr>
              <w:t>Outplacement</w:t>
            </w:r>
          </w:p>
        </w:tc>
        <w:tc>
          <w:tcPr>
            <w:tcW w:w="1560" w:type="dxa"/>
            <w:vAlign w:val="bottom"/>
            <w:tcBorders>
              <w:bottom w:val="single" w:sz="8" w:color="999999"/>
            </w:tcBorders>
          </w:tcPr>
          <w:p>
            <w:pPr>
              <w:jc w:val="right"/>
              <w:ind w:right="39"/>
              <w:spacing w:after="0" w:line="182" w:lineRule="exact"/>
              <w:rPr>
                <w:sz w:val="20"/>
                <w:szCs w:val="20"/>
                <w:color w:val="auto"/>
              </w:rPr>
            </w:pPr>
            <w:r>
              <w:rPr>
                <w:rFonts w:ascii="Arial" w:cs="Arial" w:eastAsia="Arial" w:hAnsi="Arial"/>
                <w:sz w:val="16"/>
                <w:szCs w:val="16"/>
                <w:color w:val="auto"/>
              </w:rPr>
              <w:t>N/A</w:t>
            </w:r>
          </w:p>
        </w:tc>
        <w:tc>
          <w:tcPr>
            <w:tcW w:w="2000" w:type="dxa"/>
            <w:vAlign w:val="bottom"/>
            <w:tcBorders>
              <w:bottom w:val="single" w:sz="8" w:color="999999"/>
            </w:tcBorders>
          </w:tcPr>
          <w:p>
            <w:pPr>
              <w:jc w:val="right"/>
              <w:spacing w:after="0" w:line="182" w:lineRule="exact"/>
              <w:rPr>
                <w:sz w:val="20"/>
                <w:szCs w:val="20"/>
                <w:color w:val="auto"/>
              </w:rPr>
            </w:pPr>
            <w:r>
              <w:rPr>
                <w:rFonts w:ascii="Arial" w:cs="Arial" w:eastAsia="Arial" w:hAnsi="Arial"/>
                <w:sz w:val="16"/>
                <w:szCs w:val="16"/>
                <w:color w:val="auto"/>
              </w:rPr>
              <w:t>10,000</w:t>
            </w:r>
          </w:p>
        </w:tc>
        <w:tc>
          <w:tcPr>
            <w:tcW w:w="1520" w:type="dxa"/>
            <w:vAlign w:val="bottom"/>
            <w:tcBorders>
              <w:bottom w:val="single" w:sz="8" w:color="999999"/>
            </w:tcBorders>
          </w:tcPr>
          <w:p>
            <w:pPr>
              <w:ind w:left="1140"/>
              <w:spacing w:after="0" w:line="182" w:lineRule="exact"/>
              <w:rPr>
                <w:sz w:val="20"/>
                <w:szCs w:val="20"/>
                <w:color w:val="auto"/>
              </w:rPr>
            </w:pPr>
            <w:r>
              <w:rPr>
                <w:rFonts w:ascii="Arial" w:cs="Arial" w:eastAsia="Arial" w:hAnsi="Arial"/>
                <w:sz w:val="16"/>
                <w:szCs w:val="16"/>
                <w:color w:val="auto"/>
              </w:rPr>
              <w:t>N/A</w:t>
            </w:r>
          </w:p>
        </w:tc>
        <w:tc>
          <w:tcPr>
            <w:tcW w:w="1860" w:type="dxa"/>
            <w:vAlign w:val="bottom"/>
            <w:tcBorders>
              <w:bottom w:val="single" w:sz="8" w:color="999999"/>
            </w:tcBorders>
          </w:tcPr>
          <w:p>
            <w:pPr>
              <w:jc w:val="right"/>
              <w:spacing w:after="0" w:line="182" w:lineRule="exact"/>
              <w:rPr>
                <w:sz w:val="20"/>
                <w:szCs w:val="20"/>
                <w:color w:val="auto"/>
              </w:rPr>
            </w:pPr>
            <w:r>
              <w:rPr>
                <w:rFonts w:ascii="Arial" w:cs="Arial" w:eastAsia="Arial" w:hAnsi="Arial"/>
                <w:sz w:val="16"/>
                <w:szCs w:val="16"/>
                <w:color w:val="auto"/>
              </w:rPr>
              <w:t>N/A</w:t>
            </w:r>
          </w:p>
        </w:tc>
      </w:tr>
      <w:tr>
        <w:trPr>
          <w:trHeight w:val="182"/>
        </w:trPr>
        <w:tc>
          <w:tcPr>
            <w:tcW w:w="4060" w:type="dxa"/>
            <w:vAlign w:val="bottom"/>
            <w:tcBorders>
              <w:bottom w:val="single" w:sz="8" w:color="auto"/>
            </w:tcBorders>
          </w:tcPr>
          <w:p>
            <w:pPr>
              <w:spacing w:after="0" w:line="182" w:lineRule="exact"/>
              <w:rPr>
                <w:sz w:val="20"/>
                <w:szCs w:val="20"/>
                <w:color w:val="auto"/>
              </w:rPr>
            </w:pPr>
            <w:r>
              <w:rPr>
                <w:rFonts w:ascii="Arial" w:cs="Arial" w:eastAsia="Arial" w:hAnsi="Arial"/>
                <w:sz w:val="16"/>
                <w:szCs w:val="16"/>
                <w:b w:val="1"/>
                <w:bCs w:val="1"/>
                <w:i w:val="1"/>
                <w:iCs w:val="1"/>
                <w:color w:val="auto"/>
              </w:rPr>
              <w:t>Total:</w:t>
            </w:r>
          </w:p>
        </w:tc>
        <w:tc>
          <w:tcPr>
            <w:tcW w:w="1560" w:type="dxa"/>
            <w:vAlign w:val="bottom"/>
            <w:tcBorders>
              <w:bottom w:val="single" w:sz="8" w:color="auto"/>
            </w:tcBorders>
          </w:tcPr>
          <w:p>
            <w:pPr>
              <w:jc w:val="right"/>
              <w:ind w:right="39"/>
              <w:spacing w:after="0" w:line="182" w:lineRule="exact"/>
              <w:rPr>
                <w:sz w:val="20"/>
                <w:szCs w:val="20"/>
                <w:color w:val="auto"/>
              </w:rPr>
            </w:pPr>
            <w:r>
              <w:rPr>
                <w:rFonts w:ascii="Arial" w:cs="Arial" w:eastAsia="Arial" w:hAnsi="Arial"/>
                <w:sz w:val="16"/>
                <w:szCs w:val="16"/>
                <w:color w:val="auto"/>
              </w:rPr>
              <w:t>12,853,965</w:t>
            </w:r>
          </w:p>
        </w:tc>
        <w:tc>
          <w:tcPr>
            <w:tcW w:w="20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14,253,580</w:t>
            </w:r>
          </w:p>
        </w:tc>
        <w:tc>
          <w:tcPr>
            <w:tcW w:w="1520" w:type="dxa"/>
            <w:vAlign w:val="bottom"/>
            <w:tcBorders>
              <w:bottom w:val="single" w:sz="8" w:color="auto"/>
            </w:tcBorders>
          </w:tcPr>
          <w:p>
            <w:pPr>
              <w:jc w:val="right"/>
              <w:ind w:right="39"/>
              <w:spacing w:after="0" w:line="182" w:lineRule="exact"/>
              <w:rPr>
                <w:sz w:val="20"/>
                <w:szCs w:val="20"/>
                <w:color w:val="auto"/>
              </w:rPr>
            </w:pPr>
            <w:r>
              <w:rPr>
                <w:rFonts w:ascii="Arial" w:cs="Arial" w:eastAsia="Arial" w:hAnsi="Arial"/>
                <w:sz w:val="16"/>
                <w:szCs w:val="16"/>
                <w:color w:val="auto"/>
              </w:rPr>
              <w:t>337,124</w:t>
            </w:r>
          </w:p>
        </w:tc>
        <w:tc>
          <w:tcPr>
            <w:tcW w:w="18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2720340</wp:posOffset>
            </wp:positionH>
            <wp:positionV relativeFrom="paragraph">
              <wp:posOffset>-1455420</wp:posOffset>
            </wp:positionV>
            <wp:extent cx="440309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403090" cy="8255"/>
                    </a:xfrm>
                    <a:prstGeom prst="rect">
                      <a:avLst/>
                    </a:prstGeom>
                    <a:noFill/>
                  </pic:spPr>
                </pic:pic>
              </a:graphicData>
            </a:graphic>
          </wp:anchor>
        </w:drawing>
        <w:drawing>
          <wp:anchor simplePos="0" relativeHeight="251657728" behindDoc="1" locked="0" layoutInCell="0" allowOverlap="1">
            <wp:simplePos x="0" y="0"/>
            <wp:positionH relativeFrom="column">
              <wp:posOffset>2720340</wp:posOffset>
            </wp:positionH>
            <wp:positionV relativeFrom="paragraph">
              <wp:posOffset>-1584325</wp:posOffset>
            </wp:positionV>
            <wp:extent cx="440309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403090" cy="8255"/>
                    </a:xfrm>
                    <a:prstGeom prst="rect">
                      <a:avLst/>
                    </a:prstGeom>
                    <a:noFill/>
                  </pic:spPr>
                </pic:pic>
              </a:graphicData>
            </a:graphic>
          </wp:anchor>
        </w:drawing>
        <w:drawing>
          <wp:anchor simplePos="0" relativeHeight="251657728" behindDoc="1" locked="0" layoutInCell="0" allowOverlap="1">
            <wp:simplePos x="0" y="0"/>
            <wp:positionH relativeFrom="column">
              <wp:posOffset>2720340</wp:posOffset>
            </wp:positionH>
            <wp:positionV relativeFrom="paragraph">
              <wp:posOffset>-1712595</wp:posOffset>
            </wp:positionV>
            <wp:extent cx="440309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403090" cy="8255"/>
                    </a:xfrm>
                    <a:prstGeom prst="rect">
                      <a:avLst/>
                    </a:prstGeom>
                    <a:noFill/>
                  </pic:spPr>
                </pic:pic>
              </a:graphicData>
            </a:graphic>
          </wp:anchor>
        </w:drawing>
        <w:drawing>
          <wp:anchor simplePos="0" relativeHeight="251657728" behindDoc="1" locked="0" layoutInCell="0" allowOverlap="1">
            <wp:simplePos x="0" y="0"/>
            <wp:positionH relativeFrom="column">
              <wp:posOffset>2720340</wp:posOffset>
            </wp:positionH>
            <wp:positionV relativeFrom="paragraph">
              <wp:posOffset>-1840865</wp:posOffset>
            </wp:positionV>
            <wp:extent cx="440309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403090" cy="8255"/>
                    </a:xfrm>
                    <a:prstGeom prst="rect">
                      <a:avLst/>
                    </a:prstGeom>
                    <a:noFill/>
                  </pic:spPr>
                </pic:pic>
              </a:graphicData>
            </a:graphic>
          </wp:anchor>
        </w:drawing>
        <w:drawing>
          <wp:anchor simplePos="0" relativeHeight="251657728" behindDoc="1" locked="0" layoutInCell="0" allowOverlap="1">
            <wp:simplePos x="0" y="0"/>
            <wp:positionH relativeFrom="column">
              <wp:posOffset>2720340</wp:posOffset>
            </wp:positionH>
            <wp:positionV relativeFrom="paragraph">
              <wp:posOffset>-1969770</wp:posOffset>
            </wp:positionV>
            <wp:extent cx="440309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403090" cy="8255"/>
                    </a:xfrm>
                    <a:prstGeom prst="rect">
                      <a:avLst/>
                    </a:prstGeom>
                    <a:noFill/>
                  </pic:spPr>
                </pic:pic>
              </a:graphicData>
            </a:graphic>
          </wp:anchor>
        </w:drawing>
        <w:drawing>
          <wp:anchor simplePos="0" relativeHeight="251657728" behindDoc="1" locked="0" layoutInCell="0" allowOverlap="1">
            <wp:simplePos x="0" y="0"/>
            <wp:positionH relativeFrom="column">
              <wp:posOffset>2720340</wp:posOffset>
            </wp:positionH>
            <wp:positionV relativeFrom="paragraph">
              <wp:posOffset>-2098040</wp:posOffset>
            </wp:positionV>
            <wp:extent cx="440309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403090" cy="8255"/>
                    </a:xfrm>
                    <a:prstGeom prst="rect">
                      <a:avLst/>
                    </a:prstGeom>
                    <a:noFill/>
                  </pic:spPr>
                </pic:pic>
              </a:graphicData>
            </a:graphic>
          </wp:anchor>
        </w:drawing>
        <w:drawing>
          <wp:anchor simplePos="0" relativeHeight="251657728" behindDoc="1" locked="0" layoutInCell="0" allowOverlap="1">
            <wp:simplePos x="0" y="0"/>
            <wp:positionH relativeFrom="column">
              <wp:posOffset>2720340</wp:posOffset>
            </wp:positionH>
            <wp:positionV relativeFrom="paragraph">
              <wp:posOffset>-2226310</wp:posOffset>
            </wp:positionV>
            <wp:extent cx="440309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403090" cy="8255"/>
                    </a:xfrm>
                    <a:prstGeom prst="rect">
                      <a:avLst/>
                    </a:prstGeom>
                    <a:noFill/>
                  </pic:spPr>
                </pic:pic>
              </a:graphicData>
            </a:graphic>
          </wp:anchor>
        </w:drawing>
        <w:drawing>
          <wp:anchor simplePos="0" relativeHeight="251657728" behindDoc="1" locked="0" layoutInCell="0" allowOverlap="1">
            <wp:simplePos x="0" y="0"/>
            <wp:positionH relativeFrom="column">
              <wp:posOffset>2720340</wp:posOffset>
            </wp:positionH>
            <wp:positionV relativeFrom="paragraph">
              <wp:posOffset>-2355215</wp:posOffset>
            </wp:positionV>
            <wp:extent cx="440309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403090" cy="8255"/>
                    </a:xfrm>
                    <a:prstGeom prst="rect">
                      <a:avLst/>
                    </a:prstGeom>
                    <a:noFill/>
                  </pic:spPr>
                </pic:pic>
              </a:graphicData>
            </a:graphic>
          </wp:anchor>
        </w:drawing>
        <w:drawing>
          <wp:anchor simplePos="0" relativeHeight="251657728" behindDoc="1" locked="0" layoutInCell="0" allowOverlap="1">
            <wp:simplePos x="0" y="0"/>
            <wp:positionH relativeFrom="column">
              <wp:posOffset>2720340</wp:posOffset>
            </wp:positionH>
            <wp:positionV relativeFrom="paragraph">
              <wp:posOffset>-2483485</wp:posOffset>
            </wp:positionV>
            <wp:extent cx="440309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403090" cy="8255"/>
                    </a:xfrm>
                    <a:prstGeom prst="rect">
                      <a:avLst/>
                    </a:prstGeom>
                    <a:noFill/>
                  </pic:spPr>
                </pic:pic>
              </a:graphicData>
            </a:graphic>
          </wp:anchor>
        </w:drawing>
      </w:r>
    </w:p>
    <w:p>
      <w:pPr>
        <w:spacing w:after="0" w:line="11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65</w:t>
      </w:r>
    </w:p>
    <w:p>
      <w:pPr>
        <w:sectPr>
          <w:pgSz w:w="11900" w:h="16838" w:orient="portrait"/>
          <w:cols w:equalWidth="0" w:num="1">
            <w:col w:w="11220"/>
          </w:cols>
          <w:pgMar w:left="240" w:top="459" w:right="4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EXECUTIVE COMPENSATION TABLES</w:t>
      </w:r>
    </w:p>
    <w:p>
      <w:pPr>
        <w:spacing w:after="0" w:line="151"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406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200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tcPr>
          <w:p>
            <w:pPr>
              <w:spacing w:after="0"/>
              <w:rPr>
                <w:sz w:val="14"/>
                <w:szCs w:val="14"/>
                <w:color w:val="auto"/>
              </w:rPr>
            </w:pPr>
          </w:p>
        </w:tc>
        <w:tc>
          <w:tcPr>
            <w:tcW w:w="2160" w:type="dxa"/>
            <w:vAlign w:val="bottom"/>
            <w:tcBorders>
              <w:top w:val="single" w:sz="8" w:color="auto"/>
            </w:tcBorders>
          </w:tcPr>
          <w:p>
            <w:pPr>
              <w:ind w:left="300"/>
              <w:spacing w:after="0"/>
              <w:rPr>
                <w:sz w:val="20"/>
                <w:szCs w:val="20"/>
                <w:color w:val="auto"/>
              </w:rPr>
            </w:pPr>
            <w:r>
              <w:rPr>
                <w:rFonts w:ascii="Arial" w:cs="Arial" w:eastAsia="Arial" w:hAnsi="Arial"/>
                <w:sz w:val="14"/>
                <w:szCs w:val="14"/>
                <w:b w:val="1"/>
                <w:bCs w:val="1"/>
                <w:color w:val="auto"/>
              </w:rPr>
              <w:t>Early Retirement</w:t>
            </w:r>
          </w:p>
        </w:tc>
      </w:tr>
      <w:tr>
        <w:trPr>
          <w:trHeight w:val="162"/>
        </w:trPr>
        <w:tc>
          <w:tcPr>
            <w:tcW w:w="4060" w:type="dxa"/>
            <w:vAlign w:val="bottom"/>
          </w:tcPr>
          <w:p>
            <w:pPr>
              <w:spacing w:after="0"/>
              <w:rPr>
                <w:sz w:val="14"/>
                <w:szCs w:val="14"/>
                <w:color w:val="auto"/>
              </w:rPr>
            </w:pPr>
          </w:p>
        </w:tc>
        <w:tc>
          <w:tcPr>
            <w:tcW w:w="1260" w:type="dxa"/>
            <w:vAlign w:val="bottom"/>
          </w:tcPr>
          <w:p>
            <w:pPr>
              <w:ind w:left="120"/>
              <w:spacing w:after="0"/>
              <w:rPr>
                <w:sz w:val="20"/>
                <w:szCs w:val="20"/>
                <w:color w:val="auto"/>
              </w:rPr>
            </w:pPr>
            <w:r>
              <w:rPr>
                <w:rFonts w:ascii="Arial" w:cs="Arial" w:eastAsia="Arial" w:hAnsi="Arial"/>
                <w:sz w:val="14"/>
                <w:szCs w:val="14"/>
                <w:b w:val="1"/>
                <w:bCs w:val="1"/>
                <w:color w:val="auto"/>
              </w:rPr>
              <w:t>Voluntary</w:t>
            </w:r>
          </w:p>
        </w:tc>
        <w:tc>
          <w:tcPr>
            <w:tcW w:w="2000" w:type="dxa"/>
            <w:vAlign w:val="bottom"/>
          </w:tcPr>
          <w:p>
            <w:pPr>
              <w:ind w:left="300"/>
              <w:spacing w:after="0"/>
              <w:rPr>
                <w:sz w:val="20"/>
                <w:szCs w:val="20"/>
                <w:color w:val="auto"/>
              </w:rPr>
            </w:pPr>
            <w:r>
              <w:rPr>
                <w:rFonts w:ascii="Arial" w:cs="Arial" w:eastAsia="Arial" w:hAnsi="Arial"/>
                <w:sz w:val="14"/>
                <w:szCs w:val="14"/>
                <w:b w:val="1"/>
                <w:bCs w:val="1"/>
                <w:color w:val="auto"/>
              </w:rPr>
              <w:t>Involuntary Not for</w:t>
            </w:r>
          </w:p>
        </w:tc>
        <w:tc>
          <w:tcPr>
            <w:tcW w:w="1520" w:type="dxa"/>
            <w:vAlign w:val="bottom"/>
          </w:tcPr>
          <w:p>
            <w:pPr>
              <w:ind w:left="400"/>
              <w:spacing w:after="0"/>
              <w:rPr>
                <w:sz w:val="20"/>
                <w:szCs w:val="20"/>
                <w:color w:val="auto"/>
              </w:rPr>
            </w:pPr>
            <w:r>
              <w:rPr>
                <w:rFonts w:ascii="Arial" w:cs="Arial" w:eastAsia="Arial" w:hAnsi="Arial"/>
                <w:sz w:val="14"/>
                <w:szCs w:val="14"/>
                <w:b w:val="1"/>
                <w:bCs w:val="1"/>
                <w:color w:val="auto"/>
              </w:rPr>
              <w:t>For Cause</w:t>
            </w:r>
          </w:p>
        </w:tc>
        <w:tc>
          <w:tcPr>
            <w:tcW w:w="2160" w:type="dxa"/>
            <w:vAlign w:val="bottom"/>
          </w:tcPr>
          <w:p>
            <w:pPr>
              <w:ind w:left="300"/>
              <w:spacing w:after="0"/>
              <w:rPr>
                <w:sz w:val="20"/>
                <w:szCs w:val="20"/>
                <w:color w:val="auto"/>
              </w:rPr>
            </w:pPr>
            <w:r>
              <w:rPr>
                <w:rFonts w:ascii="Arial" w:cs="Arial" w:eastAsia="Arial" w:hAnsi="Arial"/>
                <w:sz w:val="14"/>
                <w:szCs w:val="14"/>
                <w:b w:val="1"/>
                <w:bCs w:val="1"/>
                <w:color w:val="auto"/>
              </w:rPr>
              <w:t>under</w:t>
            </w:r>
          </w:p>
        </w:tc>
      </w:tr>
      <w:tr>
        <w:trPr>
          <w:trHeight w:val="162"/>
        </w:trPr>
        <w:tc>
          <w:tcPr>
            <w:tcW w:w="4060" w:type="dxa"/>
            <w:vAlign w:val="bottom"/>
          </w:tcPr>
          <w:p>
            <w:pPr>
              <w:spacing w:after="0"/>
              <w:rPr>
                <w:sz w:val="14"/>
                <w:szCs w:val="14"/>
                <w:color w:val="auto"/>
              </w:rPr>
            </w:pPr>
          </w:p>
        </w:tc>
        <w:tc>
          <w:tcPr>
            <w:tcW w:w="1260" w:type="dxa"/>
            <w:vAlign w:val="bottom"/>
          </w:tcPr>
          <w:p>
            <w:pPr>
              <w:ind w:left="120"/>
              <w:spacing w:after="0"/>
              <w:rPr>
                <w:sz w:val="20"/>
                <w:szCs w:val="20"/>
                <w:color w:val="auto"/>
              </w:rPr>
            </w:pPr>
            <w:r>
              <w:rPr>
                <w:rFonts w:ascii="Arial" w:cs="Arial" w:eastAsia="Arial" w:hAnsi="Arial"/>
                <w:sz w:val="14"/>
                <w:szCs w:val="14"/>
                <w:b w:val="1"/>
                <w:bCs w:val="1"/>
                <w:color w:val="auto"/>
              </w:rPr>
              <w:t>Termination</w:t>
            </w:r>
          </w:p>
        </w:tc>
        <w:tc>
          <w:tcPr>
            <w:tcW w:w="2000" w:type="dxa"/>
            <w:vAlign w:val="bottom"/>
          </w:tcPr>
          <w:p>
            <w:pPr>
              <w:ind w:left="300"/>
              <w:spacing w:after="0"/>
              <w:rPr>
                <w:sz w:val="20"/>
                <w:szCs w:val="20"/>
                <w:color w:val="auto"/>
              </w:rPr>
            </w:pPr>
            <w:r>
              <w:rPr>
                <w:rFonts w:ascii="Arial" w:cs="Arial" w:eastAsia="Arial" w:hAnsi="Arial"/>
                <w:sz w:val="14"/>
                <w:szCs w:val="14"/>
                <w:b w:val="1"/>
                <w:bCs w:val="1"/>
                <w:color w:val="auto"/>
              </w:rPr>
              <w:t>Cause Termination</w:t>
            </w:r>
          </w:p>
        </w:tc>
        <w:tc>
          <w:tcPr>
            <w:tcW w:w="1520" w:type="dxa"/>
            <w:vAlign w:val="bottom"/>
          </w:tcPr>
          <w:p>
            <w:pPr>
              <w:ind w:left="400"/>
              <w:spacing w:after="0"/>
              <w:rPr>
                <w:sz w:val="20"/>
                <w:szCs w:val="20"/>
                <w:color w:val="auto"/>
              </w:rPr>
            </w:pPr>
            <w:r>
              <w:rPr>
                <w:rFonts w:ascii="Arial" w:cs="Arial" w:eastAsia="Arial" w:hAnsi="Arial"/>
                <w:sz w:val="14"/>
                <w:szCs w:val="14"/>
                <w:b w:val="1"/>
                <w:bCs w:val="1"/>
                <w:color w:val="auto"/>
              </w:rPr>
              <w:t>Termination</w:t>
            </w:r>
          </w:p>
        </w:tc>
        <w:tc>
          <w:tcPr>
            <w:tcW w:w="2160" w:type="dxa"/>
            <w:vAlign w:val="bottom"/>
          </w:tcPr>
          <w:p>
            <w:pPr>
              <w:ind w:left="300"/>
              <w:spacing w:after="0"/>
              <w:rPr>
                <w:sz w:val="20"/>
                <w:szCs w:val="20"/>
                <w:color w:val="auto"/>
              </w:rPr>
            </w:pPr>
            <w:r>
              <w:rPr>
                <w:rFonts w:ascii="Arial" w:cs="Arial" w:eastAsia="Arial" w:hAnsi="Arial"/>
                <w:sz w:val="14"/>
                <w:szCs w:val="14"/>
                <w:b w:val="1"/>
                <w:bCs w:val="1"/>
                <w:color w:val="auto"/>
              </w:rPr>
              <w:t>Rule of 65 or 70</w:t>
            </w:r>
          </w:p>
        </w:tc>
      </w:tr>
      <w:tr>
        <w:trPr>
          <w:trHeight w:val="189"/>
        </w:trPr>
        <w:tc>
          <w:tcPr>
            <w:tcW w:w="40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($)(1)</w:t>
            </w:r>
          </w:p>
        </w:tc>
        <w:tc>
          <w:tcPr>
            <w:tcW w:w="200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($)(2)</w:t>
            </w:r>
          </w:p>
        </w:tc>
        <w:tc>
          <w:tcPr>
            <w:tcW w:w="152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($)(3)</w:t>
            </w:r>
          </w:p>
        </w:tc>
        <w:tc>
          <w:tcPr>
            <w:tcW w:w="216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($)(4)</w:t>
            </w:r>
          </w:p>
        </w:tc>
      </w:tr>
      <w:tr>
        <w:trPr>
          <w:trHeight w:val="47"/>
        </w:trPr>
        <w:tc>
          <w:tcPr>
            <w:tcW w:w="4060" w:type="dxa"/>
            <w:vAlign w:val="bottom"/>
          </w:tcPr>
          <w:p>
            <w:pPr>
              <w:spacing w:after="0"/>
              <w:rPr>
                <w:sz w:val="4"/>
                <w:szCs w:val="4"/>
                <w:color w:val="auto"/>
              </w:rPr>
            </w:pPr>
          </w:p>
        </w:tc>
        <w:tc>
          <w:tcPr>
            <w:tcW w:w="1260" w:type="dxa"/>
            <w:vAlign w:val="bottom"/>
            <w:shd w:val="clear" w:color="auto" w:fill="D8D8D8"/>
          </w:tcPr>
          <w:p>
            <w:pPr>
              <w:spacing w:after="0"/>
              <w:rPr>
                <w:sz w:val="4"/>
                <w:szCs w:val="4"/>
                <w:color w:val="auto"/>
              </w:rPr>
            </w:pPr>
          </w:p>
        </w:tc>
        <w:tc>
          <w:tcPr>
            <w:tcW w:w="2000" w:type="dxa"/>
            <w:vAlign w:val="bottom"/>
            <w:shd w:val="clear" w:color="auto" w:fill="D8D8D8"/>
          </w:tcPr>
          <w:p>
            <w:pPr>
              <w:spacing w:after="0"/>
              <w:rPr>
                <w:sz w:val="4"/>
                <w:szCs w:val="4"/>
                <w:color w:val="auto"/>
              </w:rPr>
            </w:pPr>
          </w:p>
        </w:tc>
        <w:tc>
          <w:tcPr>
            <w:tcW w:w="1520" w:type="dxa"/>
            <w:vAlign w:val="bottom"/>
            <w:shd w:val="clear" w:color="auto" w:fill="D8D8D8"/>
          </w:tcPr>
          <w:p>
            <w:pPr>
              <w:spacing w:after="0"/>
              <w:rPr>
                <w:sz w:val="4"/>
                <w:szCs w:val="4"/>
                <w:color w:val="auto"/>
              </w:rPr>
            </w:pPr>
          </w:p>
        </w:tc>
        <w:tc>
          <w:tcPr>
            <w:tcW w:w="2160" w:type="dxa"/>
            <w:vAlign w:val="bottom"/>
            <w:shd w:val="clear" w:color="auto" w:fill="D8D8D8"/>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-41910</wp:posOffset>
            </wp:positionV>
            <wp:extent cx="2586990" cy="131889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586990" cy="1318895"/>
                    </a:xfrm>
                    <a:prstGeom prst="rect">
                      <a:avLst/>
                    </a:prstGeom>
                    <a:noFill/>
                  </pic:spPr>
                </pic:pic>
              </a:graphicData>
            </a:graphic>
          </wp:anchor>
        </w:drawing>
      </w:r>
    </w:p>
    <w:tbl>
      <w:tblPr>
        <w:tblLayout w:type="fixed"/>
        <w:tblInd w:w="220" w:type="dxa"/>
        <w:tblCellMar>
          <w:top w:w="0" w:type="dxa"/>
          <w:left w:w="0" w:type="dxa"/>
          <w:bottom w:w="0" w:type="dxa"/>
          <w:right w:w="0" w:type="dxa"/>
        </w:tblCellMar>
      </w:tblPr>
      <w:tr>
        <w:trPr>
          <w:trHeight w:val="184"/>
        </w:trPr>
        <w:tc>
          <w:tcPr>
            <w:tcW w:w="4060" w:type="dxa"/>
            <w:vAlign w:val="bottom"/>
          </w:tcPr>
          <w:p>
            <w:pPr>
              <w:spacing w:after="0"/>
              <w:rPr>
                <w:sz w:val="20"/>
                <w:szCs w:val="20"/>
                <w:color w:val="auto"/>
              </w:rPr>
            </w:pPr>
            <w:r>
              <w:rPr>
                <w:rFonts w:ascii="Arial" w:cs="Arial" w:eastAsia="Arial" w:hAnsi="Arial"/>
                <w:sz w:val="16"/>
                <w:szCs w:val="16"/>
                <w:b w:val="1"/>
                <w:bCs w:val="1"/>
                <w:color w:val="auto"/>
              </w:rPr>
              <w:t>C. Anderson Fincher</w:t>
            </w:r>
          </w:p>
        </w:tc>
        <w:tc>
          <w:tcPr>
            <w:tcW w:w="1560" w:type="dxa"/>
            <w:vAlign w:val="bottom"/>
            <w:shd w:val="clear" w:color="auto" w:fill="D8D8D8"/>
          </w:tcPr>
          <w:p>
            <w:pPr>
              <w:spacing w:after="0"/>
              <w:rPr>
                <w:sz w:val="16"/>
                <w:szCs w:val="16"/>
                <w:color w:val="auto"/>
              </w:rPr>
            </w:pPr>
          </w:p>
        </w:tc>
        <w:tc>
          <w:tcPr>
            <w:tcW w:w="2000" w:type="dxa"/>
            <w:vAlign w:val="bottom"/>
            <w:shd w:val="clear" w:color="auto" w:fill="D8D8D8"/>
          </w:tcPr>
          <w:p>
            <w:pPr>
              <w:spacing w:after="0"/>
              <w:rPr>
                <w:sz w:val="16"/>
                <w:szCs w:val="16"/>
                <w:color w:val="auto"/>
              </w:rPr>
            </w:pPr>
          </w:p>
        </w:tc>
        <w:tc>
          <w:tcPr>
            <w:tcW w:w="1520" w:type="dxa"/>
            <w:vAlign w:val="bottom"/>
            <w:shd w:val="clear" w:color="auto" w:fill="D8D8D8"/>
          </w:tcPr>
          <w:p>
            <w:pPr>
              <w:spacing w:after="0"/>
              <w:rPr>
                <w:sz w:val="16"/>
                <w:szCs w:val="16"/>
                <w:color w:val="auto"/>
              </w:rPr>
            </w:pPr>
          </w:p>
        </w:tc>
        <w:tc>
          <w:tcPr>
            <w:tcW w:w="1860" w:type="dxa"/>
            <w:vAlign w:val="bottom"/>
            <w:shd w:val="clear" w:color="auto" w:fill="D8D8D8"/>
          </w:tcPr>
          <w:p>
            <w:pPr>
              <w:spacing w:after="0"/>
              <w:rPr>
                <w:sz w:val="16"/>
                <w:szCs w:val="16"/>
                <w:color w:val="auto"/>
              </w:rPr>
            </w:pPr>
          </w:p>
        </w:tc>
      </w:tr>
      <w:tr>
        <w:trPr>
          <w:trHeight w:val="202"/>
        </w:trPr>
        <w:tc>
          <w:tcPr>
            <w:tcW w:w="4060" w:type="dxa"/>
            <w:vAlign w:val="bottom"/>
          </w:tcPr>
          <w:p>
            <w:pPr>
              <w:spacing w:after="0"/>
              <w:rPr>
                <w:sz w:val="20"/>
                <w:szCs w:val="20"/>
                <w:color w:val="auto"/>
              </w:rPr>
            </w:pPr>
            <w:r>
              <w:rPr>
                <w:rFonts w:ascii="Arial" w:cs="Arial" w:eastAsia="Arial" w:hAnsi="Arial"/>
                <w:sz w:val="16"/>
                <w:szCs w:val="16"/>
                <w:color w:val="auto"/>
              </w:rPr>
              <w:t>Cash severance (5)</w:t>
            </w:r>
          </w:p>
        </w:tc>
        <w:tc>
          <w:tcPr>
            <w:tcW w:w="1560" w:type="dxa"/>
            <w:vAlign w:val="bottom"/>
            <w:shd w:val="clear" w:color="auto" w:fill="D8D8D8"/>
          </w:tcPr>
          <w:p>
            <w:pPr>
              <w:ind w:left="1180"/>
              <w:spacing w:after="0"/>
              <w:rPr>
                <w:sz w:val="20"/>
                <w:szCs w:val="20"/>
                <w:color w:val="auto"/>
              </w:rPr>
            </w:pPr>
            <w:r>
              <w:rPr>
                <w:rFonts w:ascii="Arial" w:cs="Arial" w:eastAsia="Arial" w:hAnsi="Arial"/>
                <w:sz w:val="16"/>
                <w:szCs w:val="16"/>
                <w:color w:val="auto"/>
              </w:rPr>
              <w:t>N/A</w:t>
            </w:r>
          </w:p>
        </w:tc>
        <w:tc>
          <w:tcPr>
            <w:tcW w:w="2000" w:type="dxa"/>
            <w:vAlign w:val="bottom"/>
            <w:shd w:val="clear" w:color="auto" w:fill="D8D8D8"/>
          </w:tcPr>
          <w:p>
            <w:pPr>
              <w:jc w:val="right"/>
              <w:spacing w:after="0"/>
              <w:rPr>
                <w:sz w:val="20"/>
                <w:szCs w:val="20"/>
                <w:color w:val="auto"/>
              </w:rPr>
            </w:pPr>
            <w:r>
              <w:rPr>
                <w:rFonts w:ascii="Arial" w:cs="Arial" w:eastAsia="Arial" w:hAnsi="Arial"/>
                <w:sz w:val="16"/>
                <w:szCs w:val="16"/>
                <w:color w:val="auto"/>
              </w:rPr>
              <w:t>1,045,000</w:t>
            </w:r>
          </w:p>
        </w:tc>
        <w:tc>
          <w:tcPr>
            <w:tcW w:w="1520" w:type="dxa"/>
            <w:vAlign w:val="bottom"/>
            <w:shd w:val="clear" w:color="auto" w:fill="D8D8D8"/>
          </w:tcPr>
          <w:p>
            <w:pPr>
              <w:ind w:left="1140"/>
              <w:spacing w:after="0"/>
              <w:rPr>
                <w:sz w:val="20"/>
                <w:szCs w:val="20"/>
                <w:color w:val="auto"/>
              </w:rPr>
            </w:pPr>
            <w:r>
              <w:rPr>
                <w:rFonts w:ascii="Arial" w:cs="Arial" w:eastAsia="Arial" w:hAnsi="Arial"/>
                <w:sz w:val="16"/>
                <w:szCs w:val="16"/>
                <w:color w:val="auto"/>
              </w:rPr>
              <w:t>N/A</w:t>
            </w:r>
          </w:p>
        </w:tc>
        <w:tc>
          <w:tcPr>
            <w:tcW w:w="1860" w:type="dxa"/>
            <w:vAlign w:val="bottom"/>
            <w:shd w:val="clear" w:color="auto" w:fill="D8D8D8"/>
          </w:tcPr>
          <w:p>
            <w:pPr>
              <w:jc w:val="right"/>
              <w:spacing w:after="0"/>
              <w:rPr>
                <w:sz w:val="20"/>
                <w:szCs w:val="20"/>
                <w:color w:val="auto"/>
              </w:rPr>
            </w:pPr>
            <w:r>
              <w:rPr>
                <w:rFonts w:ascii="Arial" w:cs="Arial" w:eastAsia="Arial" w:hAnsi="Arial"/>
                <w:sz w:val="16"/>
                <w:szCs w:val="16"/>
                <w:color w:val="auto"/>
              </w:rPr>
              <w:t>N/A</w:t>
            </w:r>
          </w:p>
        </w:tc>
      </w:tr>
      <w:tr>
        <w:trPr>
          <w:trHeight w:val="202"/>
        </w:trPr>
        <w:tc>
          <w:tcPr>
            <w:tcW w:w="4060" w:type="dxa"/>
            <w:vAlign w:val="bottom"/>
          </w:tcPr>
          <w:p>
            <w:pPr>
              <w:spacing w:after="0"/>
              <w:rPr>
                <w:sz w:val="20"/>
                <w:szCs w:val="20"/>
                <w:color w:val="auto"/>
              </w:rPr>
            </w:pPr>
            <w:r>
              <w:rPr>
                <w:rFonts w:ascii="Arial" w:cs="Arial" w:eastAsia="Arial" w:hAnsi="Arial"/>
                <w:sz w:val="16"/>
                <w:szCs w:val="16"/>
                <w:color w:val="auto"/>
              </w:rPr>
              <w:t>Performance share award (6)</w:t>
            </w:r>
          </w:p>
        </w:tc>
        <w:tc>
          <w:tcPr>
            <w:tcW w:w="1560" w:type="dxa"/>
            <w:vAlign w:val="bottom"/>
            <w:shd w:val="clear" w:color="auto" w:fill="D8D8D8"/>
          </w:tcPr>
          <w:p>
            <w:pPr>
              <w:jc w:val="right"/>
              <w:ind w:right="39"/>
              <w:spacing w:after="0"/>
              <w:rPr>
                <w:sz w:val="20"/>
                <w:szCs w:val="20"/>
                <w:color w:val="auto"/>
              </w:rPr>
            </w:pPr>
            <w:r>
              <w:rPr>
                <w:rFonts w:ascii="Arial" w:cs="Arial" w:eastAsia="Arial" w:hAnsi="Arial"/>
                <w:sz w:val="16"/>
                <w:szCs w:val="16"/>
                <w:color w:val="auto"/>
              </w:rPr>
              <w:t>212,079</w:t>
            </w:r>
          </w:p>
        </w:tc>
        <w:tc>
          <w:tcPr>
            <w:tcW w:w="2000" w:type="dxa"/>
            <w:vAlign w:val="bottom"/>
            <w:shd w:val="clear" w:color="auto" w:fill="D8D8D8"/>
          </w:tcPr>
          <w:p>
            <w:pPr>
              <w:jc w:val="right"/>
              <w:spacing w:after="0"/>
              <w:rPr>
                <w:sz w:val="20"/>
                <w:szCs w:val="20"/>
                <w:color w:val="auto"/>
              </w:rPr>
            </w:pPr>
            <w:r>
              <w:rPr>
                <w:rFonts w:ascii="Arial" w:cs="Arial" w:eastAsia="Arial" w:hAnsi="Arial"/>
                <w:sz w:val="16"/>
                <w:szCs w:val="16"/>
                <w:color w:val="auto"/>
              </w:rPr>
              <w:t>212,079</w:t>
            </w:r>
          </w:p>
        </w:tc>
        <w:tc>
          <w:tcPr>
            <w:tcW w:w="1520" w:type="dxa"/>
            <w:vAlign w:val="bottom"/>
            <w:shd w:val="clear" w:color="auto" w:fill="D8D8D8"/>
          </w:tcPr>
          <w:p>
            <w:pPr>
              <w:jc w:val="right"/>
              <w:ind w:right="39"/>
              <w:spacing w:after="0"/>
              <w:rPr>
                <w:sz w:val="20"/>
                <w:szCs w:val="20"/>
                <w:color w:val="auto"/>
              </w:rPr>
            </w:pPr>
            <w:r>
              <w:rPr>
                <w:rFonts w:ascii="Arial" w:cs="Arial" w:eastAsia="Arial" w:hAnsi="Arial"/>
                <w:sz w:val="16"/>
                <w:szCs w:val="16"/>
                <w:color w:val="auto"/>
              </w:rPr>
              <w:t>0</w:t>
            </w:r>
          </w:p>
        </w:tc>
        <w:tc>
          <w:tcPr>
            <w:tcW w:w="1860" w:type="dxa"/>
            <w:vAlign w:val="bottom"/>
            <w:shd w:val="clear" w:color="auto" w:fill="D8D8D8"/>
          </w:tcPr>
          <w:p>
            <w:pPr>
              <w:jc w:val="right"/>
              <w:spacing w:after="0"/>
              <w:rPr>
                <w:sz w:val="20"/>
                <w:szCs w:val="20"/>
                <w:color w:val="auto"/>
              </w:rPr>
            </w:pPr>
            <w:r>
              <w:rPr>
                <w:rFonts w:ascii="Arial" w:cs="Arial" w:eastAsia="Arial" w:hAnsi="Arial"/>
                <w:sz w:val="16"/>
                <w:szCs w:val="16"/>
                <w:color w:val="auto"/>
              </w:rPr>
              <w:t>N/A</w:t>
            </w:r>
          </w:p>
        </w:tc>
      </w:tr>
      <w:tr>
        <w:trPr>
          <w:trHeight w:val="202"/>
        </w:trPr>
        <w:tc>
          <w:tcPr>
            <w:tcW w:w="4060" w:type="dxa"/>
            <w:vAlign w:val="bottom"/>
          </w:tcPr>
          <w:p>
            <w:pPr>
              <w:spacing w:after="0"/>
              <w:rPr>
                <w:sz w:val="20"/>
                <w:szCs w:val="20"/>
                <w:color w:val="auto"/>
              </w:rPr>
            </w:pPr>
            <w:r>
              <w:rPr>
                <w:rFonts w:ascii="Arial" w:cs="Arial" w:eastAsia="Arial" w:hAnsi="Arial"/>
                <w:sz w:val="16"/>
                <w:szCs w:val="16"/>
                <w:color w:val="auto"/>
              </w:rPr>
              <w:t>Stock options/SSARs (7)</w:t>
            </w:r>
          </w:p>
        </w:tc>
        <w:tc>
          <w:tcPr>
            <w:tcW w:w="1560" w:type="dxa"/>
            <w:vAlign w:val="bottom"/>
            <w:shd w:val="clear" w:color="auto" w:fill="D8D8D8"/>
          </w:tcPr>
          <w:p>
            <w:pPr>
              <w:jc w:val="right"/>
              <w:ind w:right="39"/>
              <w:spacing w:after="0"/>
              <w:rPr>
                <w:sz w:val="20"/>
                <w:szCs w:val="20"/>
                <w:color w:val="auto"/>
              </w:rPr>
            </w:pPr>
            <w:r>
              <w:rPr>
                <w:rFonts w:ascii="Arial" w:cs="Arial" w:eastAsia="Arial" w:hAnsi="Arial"/>
                <w:sz w:val="16"/>
                <w:szCs w:val="16"/>
                <w:color w:val="auto"/>
              </w:rPr>
              <w:t>3,814.446</w:t>
            </w:r>
          </w:p>
        </w:tc>
        <w:tc>
          <w:tcPr>
            <w:tcW w:w="2000" w:type="dxa"/>
            <w:vAlign w:val="bottom"/>
            <w:shd w:val="clear" w:color="auto" w:fill="D8D8D8"/>
          </w:tcPr>
          <w:p>
            <w:pPr>
              <w:jc w:val="right"/>
              <w:spacing w:after="0"/>
              <w:rPr>
                <w:sz w:val="20"/>
                <w:szCs w:val="20"/>
                <w:color w:val="auto"/>
              </w:rPr>
            </w:pPr>
            <w:r>
              <w:rPr>
                <w:rFonts w:ascii="Arial" w:cs="Arial" w:eastAsia="Arial" w:hAnsi="Arial"/>
                <w:sz w:val="16"/>
                <w:szCs w:val="16"/>
                <w:color w:val="auto"/>
              </w:rPr>
              <w:t>3,814,446</w:t>
            </w:r>
          </w:p>
        </w:tc>
        <w:tc>
          <w:tcPr>
            <w:tcW w:w="1520" w:type="dxa"/>
            <w:vAlign w:val="bottom"/>
            <w:shd w:val="clear" w:color="auto" w:fill="D8D8D8"/>
          </w:tcPr>
          <w:p>
            <w:pPr>
              <w:jc w:val="right"/>
              <w:ind w:right="39"/>
              <w:spacing w:after="0"/>
              <w:rPr>
                <w:sz w:val="20"/>
                <w:szCs w:val="20"/>
                <w:color w:val="auto"/>
              </w:rPr>
            </w:pPr>
            <w:r>
              <w:rPr>
                <w:rFonts w:ascii="Arial" w:cs="Arial" w:eastAsia="Arial" w:hAnsi="Arial"/>
                <w:sz w:val="16"/>
                <w:szCs w:val="16"/>
                <w:color w:val="auto"/>
              </w:rPr>
              <w:t>0</w:t>
            </w:r>
          </w:p>
        </w:tc>
        <w:tc>
          <w:tcPr>
            <w:tcW w:w="1860" w:type="dxa"/>
            <w:vAlign w:val="bottom"/>
            <w:shd w:val="clear" w:color="auto" w:fill="D8D8D8"/>
          </w:tcPr>
          <w:p>
            <w:pPr>
              <w:jc w:val="right"/>
              <w:spacing w:after="0"/>
              <w:rPr>
                <w:sz w:val="20"/>
                <w:szCs w:val="20"/>
                <w:color w:val="auto"/>
              </w:rPr>
            </w:pPr>
            <w:r>
              <w:rPr>
                <w:rFonts w:ascii="Arial" w:cs="Arial" w:eastAsia="Arial" w:hAnsi="Arial"/>
                <w:sz w:val="16"/>
                <w:szCs w:val="16"/>
                <w:color w:val="auto"/>
              </w:rPr>
              <w:t>N/A</w:t>
            </w:r>
          </w:p>
        </w:tc>
      </w:tr>
      <w:tr>
        <w:trPr>
          <w:trHeight w:val="202"/>
        </w:trPr>
        <w:tc>
          <w:tcPr>
            <w:tcW w:w="4060" w:type="dxa"/>
            <w:vAlign w:val="bottom"/>
          </w:tcPr>
          <w:p>
            <w:pPr>
              <w:spacing w:after="0"/>
              <w:rPr>
                <w:sz w:val="20"/>
                <w:szCs w:val="20"/>
                <w:color w:val="auto"/>
              </w:rPr>
            </w:pPr>
            <w:r>
              <w:rPr>
                <w:rFonts w:ascii="Arial" w:cs="Arial" w:eastAsia="Arial" w:hAnsi="Arial"/>
                <w:sz w:val="16"/>
                <w:szCs w:val="16"/>
                <w:color w:val="auto"/>
              </w:rPr>
              <w:t>Restricted Stock Units (8)</w:t>
            </w:r>
          </w:p>
        </w:tc>
        <w:tc>
          <w:tcPr>
            <w:tcW w:w="1560" w:type="dxa"/>
            <w:vAlign w:val="bottom"/>
            <w:shd w:val="clear" w:color="auto" w:fill="D8D8D8"/>
          </w:tcPr>
          <w:p>
            <w:pPr>
              <w:jc w:val="right"/>
              <w:ind w:right="39"/>
              <w:spacing w:after="0"/>
              <w:rPr>
                <w:sz w:val="20"/>
                <w:szCs w:val="20"/>
                <w:color w:val="auto"/>
              </w:rPr>
            </w:pPr>
            <w:r>
              <w:rPr>
                <w:rFonts w:ascii="Arial" w:cs="Arial" w:eastAsia="Arial" w:hAnsi="Arial"/>
                <w:sz w:val="16"/>
                <w:szCs w:val="16"/>
                <w:color w:val="auto"/>
              </w:rPr>
              <w:t>0</w:t>
            </w:r>
          </w:p>
        </w:tc>
        <w:tc>
          <w:tcPr>
            <w:tcW w:w="2000" w:type="dxa"/>
            <w:vAlign w:val="bottom"/>
            <w:shd w:val="clear" w:color="auto" w:fill="D8D8D8"/>
          </w:tcPr>
          <w:p>
            <w:pPr>
              <w:jc w:val="right"/>
              <w:spacing w:after="0"/>
              <w:rPr>
                <w:sz w:val="20"/>
                <w:szCs w:val="20"/>
                <w:color w:val="auto"/>
              </w:rPr>
            </w:pPr>
            <w:r>
              <w:rPr>
                <w:rFonts w:ascii="Arial" w:cs="Arial" w:eastAsia="Arial" w:hAnsi="Arial"/>
                <w:sz w:val="16"/>
                <w:szCs w:val="16"/>
                <w:color w:val="auto"/>
              </w:rPr>
              <w:t>0</w:t>
            </w:r>
          </w:p>
        </w:tc>
        <w:tc>
          <w:tcPr>
            <w:tcW w:w="1520" w:type="dxa"/>
            <w:vAlign w:val="bottom"/>
            <w:shd w:val="clear" w:color="auto" w:fill="D8D8D8"/>
          </w:tcPr>
          <w:p>
            <w:pPr>
              <w:jc w:val="right"/>
              <w:ind w:right="39"/>
              <w:spacing w:after="0"/>
              <w:rPr>
                <w:sz w:val="20"/>
                <w:szCs w:val="20"/>
                <w:color w:val="auto"/>
              </w:rPr>
            </w:pPr>
            <w:r>
              <w:rPr>
                <w:rFonts w:ascii="Arial" w:cs="Arial" w:eastAsia="Arial" w:hAnsi="Arial"/>
                <w:sz w:val="16"/>
                <w:szCs w:val="16"/>
                <w:color w:val="auto"/>
              </w:rPr>
              <w:t>0</w:t>
            </w:r>
          </w:p>
        </w:tc>
        <w:tc>
          <w:tcPr>
            <w:tcW w:w="1860" w:type="dxa"/>
            <w:vAlign w:val="bottom"/>
            <w:shd w:val="clear" w:color="auto" w:fill="D8D8D8"/>
          </w:tcPr>
          <w:p>
            <w:pPr>
              <w:jc w:val="right"/>
              <w:spacing w:after="0"/>
              <w:rPr>
                <w:sz w:val="20"/>
                <w:szCs w:val="20"/>
                <w:color w:val="auto"/>
              </w:rPr>
            </w:pPr>
            <w:r>
              <w:rPr>
                <w:rFonts w:ascii="Arial" w:cs="Arial" w:eastAsia="Arial" w:hAnsi="Arial"/>
                <w:sz w:val="16"/>
                <w:szCs w:val="16"/>
                <w:color w:val="auto"/>
              </w:rPr>
              <w:t>N/A</w:t>
            </w:r>
          </w:p>
        </w:tc>
      </w:tr>
      <w:tr>
        <w:trPr>
          <w:trHeight w:val="202"/>
        </w:trPr>
        <w:tc>
          <w:tcPr>
            <w:tcW w:w="4060" w:type="dxa"/>
            <w:vAlign w:val="bottom"/>
          </w:tcPr>
          <w:p>
            <w:pPr>
              <w:spacing w:after="0"/>
              <w:rPr>
                <w:sz w:val="20"/>
                <w:szCs w:val="20"/>
                <w:color w:val="auto"/>
              </w:rPr>
            </w:pPr>
            <w:r>
              <w:rPr>
                <w:rFonts w:ascii="Arial" w:cs="Arial" w:eastAsia="Arial" w:hAnsi="Arial"/>
                <w:sz w:val="16"/>
                <w:szCs w:val="16"/>
                <w:color w:val="auto"/>
              </w:rPr>
              <w:t>Retirement plan payments (9)</w:t>
            </w:r>
          </w:p>
        </w:tc>
        <w:tc>
          <w:tcPr>
            <w:tcW w:w="1560" w:type="dxa"/>
            <w:vAlign w:val="bottom"/>
            <w:shd w:val="clear" w:color="auto" w:fill="D8D8D8"/>
          </w:tcPr>
          <w:p>
            <w:pPr>
              <w:jc w:val="right"/>
              <w:ind w:right="39"/>
              <w:spacing w:after="0"/>
              <w:rPr>
                <w:sz w:val="20"/>
                <w:szCs w:val="20"/>
                <w:color w:val="auto"/>
              </w:rPr>
            </w:pPr>
            <w:r>
              <w:rPr>
                <w:rFonts w:ascii="Arial" w:cs="Arial" w:eastAsia="Arial" w:hAnsi="Arial"/>
                <w:sz w:val="16"/>
                <w:szCs w:val="16"/>
                <w:color w:val="auto"/>
              </w:rPr>
              <w:t>2,727,466</w:t>
            </w:r>
          </w:p>
        </w:tc>
        <w:tc>
          <w:tcPr>
            <w:tcW w:w="2000" w:type="dxa"/>
            <w:vAlign w:val="bottom"/>
            <w:shd w:val="clear" w:color="auto" w:fill="D8D8D8"/>
          </w:tcPr>
          <w:p>
            <w:pPr>
              <w:jc w:val="right"/>
              <w:spacing w:after="0"/>
              <w:rPr>
                <w:sz w:val="20"/>
                <w:szCs w:val="20"/>
                <w:color w:val="auto"/>
              </w:rPr>
            </w:pPr>
            <w:r>
              <w:rPr>
                <w:rFonts w:ascii="Arial" w:cs="Arial" w:eastAsia="Arial" w:hAnsi="Arial"/>
                <w:sz w:val="16"/>
                <w:szCs w:val="16"/>
                <w:color w:val="auto"/>
              </w:rPr>
              <w:t>2,727,466</w:t>
            </w:r>
          </w:p>
        </w:tc>
        <w:tc>
          <w:tcPr>
            <w:tcW w:w="1520" w:type="dxa"/>
            <w:vAlign w:val="bottom"/>
            <w:shd w:val="clear" w:color="auto" w:fill="D8D8D8"/>
          </w:tcPr>
          <w:p>
            <w:pPr>
              <w:jc w:val="right"/>
              <w:ind w:right="39"/>
              <w:spacing w:after="0"/>
              <w:rPr>
                <w:sz w:val="20"/>
                <w:szCs w:val="20"/>
                <w:color w:val="auto"/>
              </w:rPr>
            </w:pPr>
            <w:r>
              <w:rPr>
                <w:rFonts w:ascii="Arial" w:cs="Arial" w:eastAsia="Arial" w:hAnsi="Arial"/>
                <w:sz w:val="16"/>
                <w:szCs w:val="16"/>
                <w:color w:val="auto"/>
              </w:rPr>
              <w:t>522,549</w:t>
            </w:r>
          </w:p>
        </w:tc>
        <w:tc>
          <w:tcPr>
            <w:tcW w:w="1860" w:type="dxa"/>
            <w:vAlign w:val="bottom"/>
            <w:shd w:val="clear" w:color="auto" w:fill="D8D8D8"/>
          </w:tcPr>
          <w:p>
            <w:pPr>
              <w:jc w:val="right"/>
              <w:spacing w:after="0"/>
              <w:rPr>
                <w:sz w:val="20"/>
                <w:szCs w:val="20"/>
                <w:color w:val="auto"/>
              </w:rPr>
            </w:pPr>
            <w:r>
              <w:rPr>
                <w:rFonts w:ascii="Arial" w:cs="Arial" w:eastAsia="Arial" w:hAnsi="Arial"/>
                <w:sz w:val="16"/>
                <w:szCs w:val="16"/>
                <w:color w:val="auto"/>
              </w:rPr>
              <w:t>N/A</w:t>
            </w:r>
          </w:p>
        </w:tc>
      </w:tr>
      <w:tr>
        <w:trPr>
          <w:trHeight w:val="202"/>
        </w:trPr>
        <w:tc>
          <w:tcPr>
            <w:tcW w:w="4060" w:type="dxa"/>
            <w:vAlign w:val="bottom"/>
          </w:tcPr>
          <w:p>
            <w:pPr>
              <w:spacing w:after="0"/>
              <w:rPr>
                <w:sz w:val="20"/>
                <w:szCs w:val="20"/>
                <w:color w:val="auto"/>
              </w:rPr>
            </w:pPr>
            <w:r>
              <w:rPr>
                <w:rFonts w:ascii="Arial" w:cs="Arial" w:eastAsia="Arial" w:hAnsi="Arial"/>
                <w:sz w:val="16"/>
                <w:szCs w:val="16"/>
                <w:color w:val="auto"/>
              </w:rPr>
              <w:t>Deferred comp plan (10)</w:t>
            </w:r>
          </w:p>
        </w:tc>
        <w:tc>
          <w:tcPr>
            <w:tcW w:w="1560" w:type="dxa"/>
            <w:vAlign w:val="bottom"/>
            <w:shd w:val="clear" w:color="auto" w:fill="D8D8D8"/>
          </w:tcPr>
          <w:p>
            <w:pPr>
              <w:jc w:val="right"/>
              <w:ind w:right="39"/>
              <w:spacing w:after="0"/>
              <w:rPr>
                <w:sz w:val="20"/>
                <w:szCs w:val="20"/>
                <w:color w:val="auto"/>
              </w:rPr>
            </w:pPr>
            <w:r>
              <w:rPr>
                <w:rFonts w:ascii="Arial" w:cs="Arial" w:eastAsia="Arial" w:hAnsi="Arial"/>
                <w:sz w:val="16"/>
                <w:szCs w:val="16"/>
                <w:color w:val="auto"/>
              </w:rPr>
              <w:t>514,611</w:t>
            </w:r>
          </w:p>
        </w:tc>
        <w:tc>
          <w:tcPr>
            <w:tcW w:w="2000" w:type="dxa"/>
            <w:vAlign w:val="bottom"/>
            <w:shd w:val="clear" w:color="auto" w:fill="D8D8D8"/>
          </w:tcPr>
          <w:p>
            <w:pPr>
              <w:jc w:val="right"/>
              <w:spacing w:after="0"/>
              <w:rPr>
                <w:sz w:val="20"/>
                <w:szCs w:val="20"/>
                <w:color w:val="auto"/>
              </w:rPr>
            </w:pPr>
            <w:r>
              <w:rPr>
                <w:rFonts w:ascii="Arial" w:cs="Arial" w:eastAsia="Arial" w:hAnsi="Arial"/>
                <w:sz w:val="16"/>
                <w:szCs w:val="16"/>
                <w:color w:val="auto"/>
              </w:rPr>
              <w:t>514,611</w:t>
            </w:r>
          </w:p>
        </w:tc>
        <w:tc>
          <w:tcPr>
            <w:tcW w:w="1520" w:type="dxa"/>
            <w:vAlign w:val="bottom"/>
            <w:shd w:val="clear" w:color="auto" w:fill="D8D8D8"/>
          </w:tcPr>
          <w:p>
            <w:pPr>
              <w:jc w:val="right"/>
              <w:ind w:right="39"/>
              <w:spacing w:after="0"/>
              <w:rPr>
                <w:sz w:val="20"/>
                <w:szCs w:val="20"/>
                <w:color w:val="auto"/>
              </w:rPr>
            </w:pPr>
            <w:r>
              <w:rPr>
                <w:rFonts w:ascii="Arial" w:cs="Arial" w:eastAsia="Arial" w:hAnsi="Arial"/>
                <w:sz w:val="16"/>
                <w:szCs w:val="16"/>
                <w:color w:val="auto"/>
              </w:rPr>
              <w:t>514,611</w:t>
            </w:r>
          </w:p>
        </w:tc>
        <w:tc>
          <w:tcPr>
            <w:tcW w:w="1860" w:type="dxa"/>
            <w:vAlign w:val="bottom"/>
            <w:shd w:val="clear" w:color="auto" w:fill="D8D8D8"/>
          </w:tcPr>
          <w:p>
            <w:pPr>
              <w:jc w:val="right"/>
              <w:spacing w:after="0"/>
              <w:rPr>
                <w:sz w:val="20"/>
                <w:szCs w:val="20"/>
                <w:color w:val="auto"/>
              </w:rPr>
            </w:pPr>
            <w:r>
              <w:rPr>
                <w:rFonts w:ascii="Arial" w:cs="Arial" w:eastAsia="Arial" w:hAnsi="Arial"/>
                <w:sz w:val="16"/>
                <w:szCs w:val="16"/>
                <w:color w:val="auto"/>
              </w:rPr>
              <w:t>N/A</w:t>
            </w:r>
          </w:p>
        </w:tc>
      </w:tr>
      <w:tr>
        <w:trPr>
          <w:trHeight w:val="204"/>
        </w:trPr>
        <w:tc>
          <w:tcPr>
            <w:tcW w:w="4060" w:type="dxa"/>
            <w:vAlign w:val="bottom"/>
          </w:tcPr>
          <w:p>
            <w:pPr>
              <w:spacing w:after="0"/>
              <w:rPr>
                <w:sz w:val="20"/>
                <w:szCs w:val="20"/>
                <w:color w:val="auto"/>
              </w:rPr>
            </w:pPr>
            <w:r>
              <w:rPr>
                <w:rFonts w:ascii="Arial" w:cs="Arial" w:eastAsia="Arial" w:hAnsi="Arial"/>
                <w:sz w:val="16"/>
                <w:szCs w:val="16"/>
                <w:color w:val="auto"/>
              </w:rPr>
              <w:t>Health and welfare benefits (11)</w:t>
            </w:r>
          </w:p>
        </w:tc>
        <w:tc>
          <w:tcPr>
            <w:tcW w:w="1560" w:type="dxa"/>
            <w:vAlign w:val="bottom"/>
            <w:shd w:val="clear" w:color="auto" w:fill="D8D8D8"/>
          </w:tcPr>
          <w:p>
            <w:pPr>
              <w:jc w:val="right"/>
              <w:ind w:right="39"/>
              <w:spacing w:after="0"/>
              <w:rPr>
                <w:sz w:val="20"/>
                <w:szCs w:val="20"/>
                <w:color w:val="auto"/>
              </w:rPr>
            </w:pPr>
            <w:r>
              <w:rPr>
                <w:rFonts w:ascii="Arial" w:cs="Arial" w:eastAsia="Arial" w:hAnsi="Arial"/>
                <w:sz w:val="16"/>
                <w:szCs w:val="16"/>
                <w:color w:val="auto"/>
              </w:rPr>
              <w:t>0</w:t>
            </w:r>
          </w:p>
        </w:tc>
        <w:tc>
          <w:tcPr>
            <w:tcW w:w="2000" w:type="dxa"/>
            <w:vAlign w:val="bottom"/>
            <w:shd w:val="clear" w:color="auto" w:fill="D8D8D8"/>
          </w:tcPr>
          <w:p>
            <w:pPr>
              <w:jc w:val="right"/>
              <w:spacing w:after="0"/>
              <w:rPr>
                <w:sz w:val="20"/>
                <w:szCs w:val="20"/>
                <w:color w:val="auto"/>
              </w:rPr>
            </w:pPr>
            <w:r>
              <w:rPr>
                <w:rFonts w:ascii="Arial" w:cs="Arial" w:eastAsia="Arial" w:hAnsi="Arial"/>
                <w:sz w:val="16"/>
                <w:szCs w:val="16"/>
                <w:color w:val="auto"/>
              </w:rPr>
              <w:t>19,615</w:t>
            </w:r>
          </w:p>
        </w:tc>
        <w:tc>
          <w:tcPr>
            <w:tcW w:w="1520" w:type="dxa"/>
            <w:vAlign w:val="bottom"/>
            <w:shd w:val="clear" w:color="auto" w:fill="D8D8D8"/>
          </w:tcPr>
          <w:p>
            <w:pPr>
              <w:jc w:val="right"/>
              <w:ind w:right="39"/>
              <w:spacing w:after="0"/>
              <w:rPr>
                <w:sz w:val="20"/>
                <w:szCs w:val="20"/>
                <w:color w:val="auto"/>
              </w:rPr>
            </w:pPr>
            <w:r>
              <w:rPr>
                <w:rFonts w:ascii="Arial" w:cs="Arial" w:eastAsia="Arial" w:hAnsi="Arial"/>
                <w:sz w:val="16"/>
                <w:szCs w:val="16"/>
                <w:color w:val="auto"/>
              </w:rPr>
              <w:t>0</w:t>
            </w:r>
          </w:p>
        </w:tc>
        <w:tc>
          <w:tcPr>
            <w:tcW w:w="1860" w:type="dxa"/>
            <w:vAlign w:val="bottom"/>
            <w:shd w:val="clear" w:color="auto" w:fill="D8D8D8"/>
          </w:tcPr>
          <w:p>
            <w:pPr>
              <w:jc w:val="right"/>
              <w:spacing w:after="0"/>
              <w:rPr>
                <w:sz w:val="20"/>
                <w:szCs w:val="20"/>
                <w:color w:val="auto"/>
              </w:rPr>
            </w:pPr>
            <w:r>
              <w:rPr>
                <w:rFonts w:ascii="Arial" w:cs="Arial" w:eastAsia="Arial" w:hAnsi="Arial"/>
                <w:sz w:val="16"/>
                <w:szCs w:val="16"/>
                <w:color w:val="auto"/>
              </w:rPr>
              <w:t>N/A</w:t>
            </w:r>
          </w:p>
        </w:tc>
      </w:tr>
      <w:tr>
        <w:trPr>
          <w:trHeight w:val="182"/>
        </w:trPr>
        <w:tc>
          <w:tcPr>
            <w:tcW w:w="4060" w:type="dxa"/>
            <w:vAlign w:val="bottom"/>
          </w:tcPr>
          <w:p>
            <w:pPr>
              <w:spacing w:after="0" w:line="182" w:lineRule="exact"/>
              <w:rPr>
                <w:sz w:val="20"/>
                <w:szCs w:val="20"/>
                <w:color w:val="auto"/>
              </w:rPr>
            </w:pPr>
            <w:r>
              <w:rPr>
                <w:rFonts w:ascii="Arial" w:cs="Arial" w:eastAsia="Arial" w:hAnsi="Arial"/>
                <w:sz w:val="16"/>
                <w:szCs w:val="16"/>
                <w:color w:val="auto"/>
              </w:rPr>
              <w:t>Outplacement</w:t>
            </w:r>
          </w:p>
        </w:tc>
        <w:tc>
          <w:tcPr>
            <w:tcW w:w="1560" w:type="dxa"/>
            <w:vAlign w:val="bottom"/>
            <w:shd w:val="clear" w:color="auto" w:fill="D8D8D8"/>
          </w:tcPr>
          <w:p>
            <w:pPr>
              <w:ind w:left="1180"/>
              <w:spacing w:after="0" w:line="182" w:lineRule="exact"/>
              <w:rPr>
                <w:sz w:val="20"/>
                <w:szCs w:val="20"/>
                <w:color w:val="auto"/>
              </w:rPr>
            </w:pPr>
            <w:r>
              <w:rPr>
                <w:rFonts w:ascii="Arial" w:cs="Arial" w:eastAsia="Arial" w:hAnsi="Arial"/>
                <w:sz w:val="16"/>
                <w:szCs w:val="16"/>
                <w:color w:val="auto"/>
              </w:rPr>
              <w:t>N/A</w:t>
            </w:r>
          </w:p>
        </w:tc>
        <w:tc>
          <w:tcPr>
            <w:tcW w:w="2000" w:type="dxa"/>
            <w:vAlign w:val="bottom"/>
            <w:shd w:val="clear" w:color="auto" w:fill="D8D8D8"/>
          </w:tcPr>
          <w:p>
            <w:pPr>
              <w:jc w:val="right"/>
              <w:spacing w:after="0" w:line="182" w:lineRule="exact"/>
              <w:rPr>
                <w:sz w:val="20"/>
                <w:szCs w:val="20"/>
                <w:color w:val="auto"/>
              </w:rPr>
            </w:pPr>
            <w:r>
              <w:rPr>
                <w:rFonts w:ascii="Arial" w:cs="Arial" w:eastAsia="Arial" w:hAnsi="Arial"/>
                <w:sz w:val="16"/>
                <w:szCs w:val="16"/>
                <w:color w:val="auto"/>
              </w:rPr>
              <w:t>10,000</w:t>
            </w:r>
          </w:p>
        </w:tc>
        <w:tc>
          <w:tcPr>
            <w:tcW w:w="1520" w:type="dxa"/>
            <w:vAlign w:val="bottom"/>
            <w:shd w:val="clear" w:color="auto" w:fill="D8D8D8"/>
          </w:tcPr>
          <w:p>
            <w:pPr>
              <w:ind w:left="1140"/>
              <w:spacing w:after="0" w:line="182" w:lineRule="exact"/>
              <w:rPr>
                <w:sz w:val="20"/>
                <w:szCs w:val="20"/>
                <w:color w:val="auto"/>
              </w:rPr>
            </w:pPr>
            <w:r>
              <w:rPr>
                <w:rFonts w:ascii="Arial" w:cs="Arial" w:eastAsia="Arial" w:hAnsi="Arial"/>
                <w:sz w:val="16"/>
                <w:szCs w:val="16"/>
                <w:color w:val="auto"/>
              </w:rPr>
              <w:t>N/A</w:t>
            </w:r>
          </w:p>
        </w:tc>
        <w:tc>
          <w:tcPr>
            <w:tcW w:w="1860" w:type="dxa"/>
            <w:vAlign w:val="bottom"/>
            <w:shd w:val="clear" w:color="auto" w:fill="D8D8D8"/>
          </w:tcPr>
          <w:p>
            <w:pPr>
              <w:jc w:val="right"/>
              <w:spacing w:after="0" w:line="182" w:lineRule="exact"/>
              <w:rPr>
                <w:sz w:val="20"/>
                <w:szCs w:val="20"/>
                <w:color w:val="auto"/>
              </w:rPr>
            </w:pPr>
            <w:r>
              <w:rPr>
                <w:rFonts w:ascii="Arial" w:cs="Arial" w:eastAsia="Arial" w:hAnsi="Arial"/>
                <w:sz w:val="16"/>
                <w:szCs w:val="16"/>
                <w:color w:val="auto"/>
              </w:rPr>
              <w:t>N/A</w:t>
            </w:r>
          </w:p>
        </w:tc>
      </w:tr>
      <w:tr>
        <w:trPr>
          <w:trHeight w:val="220"/>
        </w:trPr>
        <w:tc>
          <w:tcPr>
            <w:tcW w:w="4060" w:type="dxa"/>
            <w:vAlign w:val="bottom"/>
          </w:tcPr>
          <w:p>
            <w:pPr>
              <w:spacing w:after="0"/>
              <w:rPr>
                <w:sz w:val="20"/>
                <w:szCs w:val="20"/>
                <w:color w:val="auto"/>
              </w:rPr>
            </w:pPr>
            <w:r>
              <w:rPr>
                <w:rFonts w:ascii="Arial" w:cs="Arial" w:eastAsia="Arial" w:hAnsi="Arial"/>
                <w:sz w:val="16"/>
                <w:szCs w:val="16"/>
                <w:b w:val="1"/>
                <w:bCs w:val="1"/>
                <w:i w:val="1"/>
                <w:iCs w:val="1"/>
                <w:color w:val="auto"/>
              </w:rPr>
              <w:t>Total:</w:t>
            </w:r>
          </w:p>
        </w:tc>
        <w:tc>
          <w:tcPr>
            <w:tcW w:w="1560" w:type="dxa"/>
            <w:vAlign w:val="bottom"/>
            <w:shd w:val="clear" w:color="auto" w:fill="D8D8D8"/>
          </w:tcPr>
          <w:p>
            <w:pPr>
              <w:jc w:val="right"/>
              <w:ind w:right="39"/>
              <w:spacing w:after="0"/>
              <w:rPr>
                <w:sz w:val="20"/>
                <w:szCs w:val="20"/>
                <w:color w:val="auto"/>
              </w:rPr>
            </w:pPr>
            <w:r>
              <w:rPr>
                <w:rFonts w:ascii="Arial" w:cs="Arial" w:eastAsia="Arial" w:hAnsi="Arial"/>
                <w:sz w:val="16"/>
                <w:szCs w:val="16"/>
                <w:color w:val="auto"/>
              </w:rPr>
              <w:t>7,268,603</w:t>
            </w:r>
          </w:p>
        </w:tc>
        <w:tc>
          <w:tcPr>
            <w:tcW w:w="2000" w:type="dxa"/>
            <w:vAlign w:val="bottom"/>
            <w:shd w:val="clear" w:color="auto" w:fill="D8D8D8"/>
          </w:tcPr>
          <w:p>
            <w:pPr>
              <w:jc w:val="right"/>
              <w:spacing w:after="0"/>
              <w:rPr>
                <w:sz w:val="20"/>
                <w:szCs w:val="20"/>
                <w:color w:val="auto"/>
              </w:rPr>
            </w:pPr>
            <w:r>
              <w:rPr>
                <w:rFonts w:ascii="Arial" w:cs="Arial" w:eastAsia="Arial" w:hAnsi="Arial"/>
                <w:sz w:val="16"/>
                <w:szCs w:val="16"/>
                <w:color w:val="auto"/>
              </w:rPr>
              <w:t>8,343,217</w:t>
            </w:r>
          </w:p>
        </w:tc>
        <w:tc>
          <w:tcPr>
            <w:tcW w:w="1520" w:type="dxa"/>
            <w:vAlign w:val="bottom"/>
            <w:shd w:val="clear" w:color="auto" w:fill="D8D8D8"/>
          </w:tcPr>
          <w:p>
            <w:pPr>
              <w:jc w:val="right"/>
              <w:ind w:right="39"/>
              <w:spacing w:after="0"/>
              <w:rPr>
                <w:sz w:val="20"/>
                <w:szCs w:val="20"/>
                <w:color w:val="auto"/>
              </w:rPr>
            </w:pPr>
            <w:r>
              <w:rPr>
                <w:rFonts w:ascii="Arial" w:cs="Arial" w:eastAsia="Arial" w:hAnsi="Arial"/>
                <w:sz w:val="16"/>
                <w:szCs w:val="16"/>
                <w:color w:val="auto"/>
              </w:rPr>
              <w:t>1,037,160</w:t>
            </w:r>
          </w:p>
        </w:tc>
        <w:tc>
          <w:tcPr>
            <w:tcW w:w="1860" w:type="dxa"/>
            <w:vAlign w:val="bottom"/>
            <w:shd w:val="clear" w:color="auto" w:fill="D8D8D8"/>
          </w:tcPr>
          <w:p>
            <w:pPr>
              <w:jc w:val="right"/>
              <w:spacing w:after="0"/>
              <w:rPr>
                <w:sz w:val="20"/>
                <w:szCs w:val="20"/>
                <w:color w:val="auto"/>
              </w:rPr>
            </w:pPr>
            <w:r>
              <w:rPr>
                <w:rFonts w:ascii="Arial" w:cs="Arial" w:eastAsia="Arial" w:hAnsi="Arial"/>
                <w:sz w:val="16"/>
                <w:szCs w:val="16"/>
                <w:color w:val="auto"/>
              </w:rPr>
              <w:t>N/A</w:t>
            </w:r>
          </w:p>
        </w:tc>
      </w:tr>
      <w:tr>
        <w:trPr>
          <w:trHeight w:val="256"/>
        </w:trPr>
        <w:tc>
          <w:tcPr>
            <w:tcW w:w="4060" w:type="dxa"/>
            <w:vAlign w:val="bottom"/>
          </w:tcPr>
          <w:p>
            <w:pPr>
              <w:spacing w:after="0"/>
              <w:rPr>
                <w:sz w:val="20"/>
                <w:szCs w:val="20"/>
                <w:color w:val="auto"/>
              </w:rPr>
            </w:pPr>
            <w:r>
              <w:rPr>
                <w:rFonts w:ascii="Arial" w:cs="Arial" w:eastAsia="Arial" w:hAnsi="Arial"/>
                <w:sz w:val="16"/>
                <w:szCs w:val="16"/>
                <w:b w:val="1"/>
                <w:bCs w:val="1"/>
                <w:color w:val="auto"/>
              </w:rPr>
              <w:t>Sivasankaran Somasundaram</w:t>
            </w:r>
          </w:p>
        </w:tc>
        <w:tc>
          <w:tcPr>
            <w:tcW w:w="1560" w:type="dxa"/>
            <w:vAlign w:val="bottom"/>
            <w:tcBorders>
              <w:bottom w:val="single" w:sz="8" w:color="999999"/>
            </w:tcBorders>
          </w:tcPr>
          <w:p>
            <w:pPr>
              <w:spacing w:after="0"/>
              <w:rPr>
                <w:sz w:val="22"/>
                <w:szCs w:val="22"/>
                <w:color w:val="auto"/>
              </w:rPr>
            </w:pPr>
          </w:p>
        </w:tc>
        <w:tc>
          <w:tcPr>
            <w:tcW w:w="2000" w:type="dxa"/>
            <w:vAlign w:val="bottom"/>
            <w:tcBorders>
              <w:bottom w:val="single" w:sz="8" w:color="999999"/>
            </w:tcBorders>
          </w:tcPr>
          <w:p>
            <w:pPr>
              <w:spacing w:after="0"/>
              <w:rPr>
                <w:sz w:val="22"/>
                <w:szCs w:val="22"/>
                <w:color w:val="auto"/>
              </w:rPr>
            </w:pPr>
          </w:p>
        </w:tc>
        <w:tc>
          <w:tcPr>
            <w:tcW w:w="1520" w:type="dxa"/>
            <w:vAlign w:val="bottom"/>
            <w:tcBorders>
              <w:bottom w:val="single" w:sz="8" w:color="999999"/>
            </w:tcBorders>
          </w:tcPr>
          <w:p>
            <w:pPr>
              <w:spacing w:after="0"/>
              <w:rPr>
                <w:sz w:val="22"/>
                <w:szCs w:val="22"/>
                <w:color w:val="auto"/>
              </w:rPr>
            </w:pPr>
          </w:p>
        </w:tc>
        <w:tc>
          <w:tcPr>
            <w:tcW w:w="1860" w:type="dxa"/>
            <w:vAlign w:val="bottom"/>
            <w:tcBorders>
              <w:bottom w:val="single" w:sz="8" w:color="999999"/>
            </w:tcBorders>
          </w:tcPr>
          <w:p>
            <w:pPr>
              <w:spacing w:after="0"/>
              <w:rPr>
                <w:sz w:val="22"/>
                <w:szCs w:val="22"/>
                <w:color w:val="auto"/>
              </w:rPr>
            </w:pPr>
          </w:p>
        </w:tc>
      </w:tr>
      <w:tr>
        <w:trPr>
          <w:trHeight w:val="182"/>
        </w:trPr>
        <w:tc>
          <w:tcPr>
            <w:tcW w:w="4060" w:type="dxa"/>
            <w:vAlign w:val="bottom"/>
          </w:tcPr>
          <w:p>
            <w:pPr>
              <w:spacing w:after="0" w:line="177" w:lineRule="exact"/>
              <w:rPr>
                <w:sz w:val="20"/>
                <w:szCs w:val="20"/>
                <w:color w:val="auto"/>
              </w:rPr>
            </w:pPr>
            <w:r>
              <w:rPr>
                <w:rFonts w:ascii="Arial" w:cs="Arial" w:eastAsia="Arial" w:hAnsi="Arial"/>
                <w:sz w:val="16"/>
                <w:szCs w:val="16"/>
                <w:color w:val="auto"/>
              </w:rPr>
              <w:t>Cash severance (5)</w:t>
            </w:r>
          </w:p>
        </w:tc>
        <w:tc>
          <w:tcPr>
            <w:tcW w:w="1560" w:type="dxa"/>
            <w:vAlign w:val="bottom"/>
            <w:tcBorders>
              <w:bottom w:val="single" w:sz="8" w:color="999999"/>
            </w:tcBorders>
          </w:tcPr>
          <w:p>
            <w:pPr>
              <w:ind w:left="1180"/>
              <w:spacing w:after="0" w:line="182" w:lineRule="exact"/>
              <w:rPr>
                <w:sz w:val="20"/>
                <w:szCs w:val="20"/>
                <w:color w:val="auto"/>
              </w:rPr>
            </w:pPr>
            <w:r>
              <w:rPr>
                <w:rFonts w:ascii="Arial" w:cs="Arial" w:eastAsia="Arial" w:hAnsi="Arial"/>
                <w:sz w:val="16"/>
                <w:szCs w:val="16"/>
                <w:color w:val="auto"/>
              </w:rPr>
              <w:t>N/A</w:t>
            </w:r>
          </w:p>
        </w:tc>
        <w:tc>
          <w:tcPr>
            <w:tcW w:w="2000" w:type="dxa"/>
            <w:vAlign w:val="bottom"/>
            <w:tcBorders>
              <w:bottom w:val="single" w:sz="8" w:color="999999"/>
            </w:tcBorders>
          </w:tcPr>
          <w:p>
            <w:pPr>
              <w:jc w:val="right"/>
              <w:spacing w:after="0" w:line="182" w:lineRule="exact"/>
              <w:rPr>
                <w:sz w:val="20"/>
                <w:szCs w:val="20"/>
                <w:color w:val="auto"/>
              </w:rPr>
            </w:pPr>
            <w:r>
              <w:rPr>
                <w:rFonts w:ascii="Arial" w:cs="Arial" w:eastAsia="Arial" w:hAnsi="Arial"/>
                <w:sz w:val="16"/>
                <w:szCs w:val="16"/>
                <w:color w:val="auto"/>
              </w:rPr>
              <w:t>890,000</w:t>
            </w:r>
          </w:p>
        </w:tc>
        <w:tc>
          <w:tcPr>
            <w:tcW w:w="1520" w:type="dxa"/>
            <w:vAlign w:val="bottom"/>
            <w:tcBorders>
              <w:bottom w:val="single" w:sz="8" w:color="999999"/>
            </w:tcBorders>
          </w:tcPr>
          <w:p>
            <w:pPr>
              <w:ind w:left="1140"/>
              <w:spacing w:after="0" w:line="182" w:lineRule="exact"/>
              <w:rPr>
                <w:sz w:val="20"/>
                <w:szCs w:val="20"/>
                <w:color w:val="auto"/>
              </w:rPr>
            </w:pPr>
            <w:r>
              <w:rPr>
                <w:rFonts w:ascii="Arial" w:cs="Arial" w:eastAsia="Arial" w:hAnsi="Arial"/>
                <w:sz w:val="16"/>
                <w:szCs w:val="16"/>
                <w:color w:val="auto"/>
              </w:rPr>
              <w:t>N/A</w:t>
            </w:r>
          </w:p>
        </w:tc>
        <w:tc>
          <w:tcPr>
            <w:tcW w:w="1860" w:type="dxa"/>
            <w:vAlign w:val="bottom"/>
            <w:tcBorders>
              <w:bottom w:val="single" w:sz="8" w:color="999999"/>
            </w:tcBorders>
          </w:tcPr>
          <w:p>
            <w:pPr>
              <w:jc w:val="right"/>
              <w:spacing w:after="0" w:line="182" w:lineRule="exact"/>
              <w:rPr>
                <w:sz w:val="20"/>
                <w:szCs w:val="20"/>
                <w:color w:val="auto"/>
              </w:rPr>
            </w:pPr>
            <w:r>
              <w:rPr>
                <w:rFonts w:ascii="Arial" w:cs="Arial" w:eastAsia="Arial" w:hAnsi="Arial"/>
                <w:sz w:val="16"/>
                <w:szCs w:val="16"/>
                <w:color w:val="auto"/>
              </w:rPr>
              <w:t>N/A</w:t>
            </w:r>
          </w:p>
        </w:tc>
      </w:tr>
      <w:tr>
        <w:trPr>
          <w:trHeight w:val="182"/>
        </w:trPr>
        <w:tc>
          <w:tcPr>
            <w:tcW w:w="4060" w:type="dxa"/>
            <w:vAlign w:val="bottom"/>
          </w:tcPr>
          <w:p>
            <w:pPr>
              <w:spacing w:after="0" w:line="177" w:lineRule="exact"/>
              <w:rPr>
                <w:sz w:val="20"/>
                <w:szCs w:val="20"/>
                <w:color w:val="auto"/>
              </w:rPr>
            </w:pPr>
            <w:r>
              <w:rPr>
                <w:rFonts w:ascii="Arial" w:cs="Arial" w:eastAsia="Arial" w:hAnsi="Arial"/>
                <w:sz w:val="16"/>
                <w:szCs w:val="16"/>
                <w:color w:val="auto"/>
              </w:rPr>
              <w:t>Performance share award (6)</w:t>
            </w:r>
          </w:p>
        </w:tc>
        <w:tc>
          <w:tcPr>
            <w:tcW w:w="1560" w:type="dxa"/>
            <w:vAlign w:val="bottom"/>
            <w:tcBorders>
              <w:bottom w:val="single" w:sz="8" w:color="999999"/>
            </w:tcBorders>
          </w:tcPr>
          <w:p>
            <w:pPr>
              <w:jc w:val="right"/>
              <w:ind w:right="39"/>
              <w:spacing w:after="0" w:line="182" w:lineRule="exact"/>
              <w:rPr>
                <w:sz w:val="20"/>
                <w:szCs w:val="20"/>
                <w:color w:val="auto"/>
              </w:rPr>
            </w:pPr>
            <w:r>
              <w:rPr>
                <w:rFonts w:ascii="Arial" w:cs="Arial" w:eastAsia="Arial" w:hAnsi="Arial"/>
                <w:sz w:val="16"/>
                <w:szCs w:val="16"/>
                <w:color w:val="auto"/>
              </w:rPr>
              <w:t>0</w:t>
            </w:r>
          </w:p>
        </w:tc>
        <w:tc>
          <w:tcPr>
            <w:tcW w:w="2000" w:type="dxa"/>
            <w:vAlign w:val="bottom"/>
            <w:tcBorders>
              <w:bottom w:val="single" w:sz="8" w:color="999999"/>
            </w:tcBorders>
          </w:tcPr>
          <w:p>
            <w:pPr>
              <w:jc w:val="right"/>
              <w:spacing w:after="0" w:line="182" w:lineRule="exact"/>
              <w:rPr>
                <w:sz w:val="20"/>
                <w:szCs w:val="20"/>
                <w:color w:val="auto"/>
              </w:rPr>
            </w:pPr>
            <w:r>
              <w:rPr>
                <w:rFonts w:ascii="Arial" w:cs="Arial" w:eastAsia="Arial" w:hAnsi="Arial"/>
                <w:sz w:val="16"/>
                <w:szCs w:val="16"/>
                <w:color w:val="auto"/>
              </w:rPr>
              <w:t>0</w:t>
            </w:r>
          </w:p>
        </w:tc>
        <w:tc>
          <w:tcPr>
            <w:tcW w:w="1520" w:type="dxa"/>
            <w:vAlign w:val="bottom"/>
            <w:tcBorders>
              <w:bottom w:val="single" w:sz="8" w:color="999999"/>
            </w:tcBorders>
          </w:tcPr>
          <w:p>
            <w:pPr>
              <w:jc w:val="right"/>
              <w:ind w:right="39"/>
              <w:spacing w:after="0" w:line="182" w:lineRule="exact"/>
              <w:rPr>
                <w:sz w:val="20"/>
                <w:szCs w:val="20"/>
                <w:color w:val="auto"/>
              </w:rPr>
            </w:pPr>
            <w:r>
              <w:rPr>
                <w:rFonts w:ascii="Arial" w:cs="Arial" w:eastAsia="Arial" w:hAnsi="Arial"/>
                <w:sz w:val="16"/>
                <w:szCs w:val="16"/>
                <w:color w:val="auto"/>
              </w:rPr>
              <w:t>0</w:t>
            </w:r>
          </w:p>
        </w:tc>
        <w:tc>
          <w:tcPr>
            <w:tcW w:w="1860" w:type="dxa"/>
            <w:vAlign w:val="bottom"/>
            <w:tcBorders>
              <w:bottom w:val="single" w:sz="8" w:color="999999"/>
            </w:tcBorders>
          </w:tcPr>
          <w:p>
            <w:pPr>
              <w:jc w:val="right"/>
              <w:spacing w:after="0" w:line="182" w:lineRule="exact"/>
              <w:rPr>
                <w:sz w:val="20"/>
                <w:szCs w:val="20"/>
                <w:color w:val="auto"/>
              </w:rPr>
            </w:pPr>
            <w:r>
              <w:rPr>
                <w:rFonts w:ascii="Arial" w:cs="Arial" w:eastAsia="Arial" w:hAnsi="Arial"/>
                <w:sz w:val="16"/>
                <w:szCs w:val="16"/>
                <w:color w:val="auto"/>
              </w:rPr>
              <w:t>N/A</w:t>
            </w:r>
          </w:p>
        </w:tc>
      </w:tr>
      <w:tr>
        <w:trPr>
          <w:trHeight w:val="182"/>
        </w:trPr>
        <w:tc>
          <w:tcPr>
            <w:tcW w:w="4060" w:type="dxa"/>
            <w:vAlign w:val="bottom"/>
          </w:tcPr>
          <w:p>
            <w:pPr>
              <w:spacing w:after="0" w:line="177" w:lineRule="exact"/>
              <w:rPr>
                <w:sz w:val="20"/>
                <w:szCs w:val="20"/>
                <w:color w:val="auto"/>
              </w:rPr>
            </w:pPr>
            <w:r>
              <w:rPr>
                <w:rFonts w:ascii="Arial" w:cs="Arial" w:eastAsia="Arial" w:hAnsi="Arial"/>
                <w:sz w:val="16"/>
                <w:szCs w:val="16"/>
                <w:color w:val="auto"/>
              </w:rPr>
              <w:t>Stock options/SSARs (7)</w:t>
            </w:r>
          </w:p>
        </w:tc>
        <w:tc>
          <w:tcPr>
            <w:tcW w:w="1560" w:type="dxa"/>
            <w:vAlign w:val="bottom"/>
            <w:tcBorders>
              <w:bottom w:val="single" w:sz="8" w:color="999999"/>
            </w:tcBorders>
          </w:tcPr>
          <w:p>
            <w:pPr>
              <w:jc w:val="right"/>
              <w:ind w:right="39"/>
              <w:spacing w:after="0" w:line="182" w:lineRule="exact"/>
              <w:rPr>
                <w:sz w:val="20"/>
                <w:szCs w:val="20"/>
                <w:color w:val="auto"/>
              </w:rPr>
            </w:pPr>
            <w:r>
              <w:rPr>
                <w:rFonts w:ascii="Arial" w:cs="Arial" w:eastAsia="Arial" w:hAnsi="Arial"/>
                <w:sz w:val="16"/>
                <w:szCs w:val="16"/>
                <w:color w:val="auto"/>
              </w:rPr>
              <w:t>3,814,446</w:t>
            </w:r>
          </w:p>
        </w:tc>
        <w:tc>
          <w:tcPr>
            <w:tcW w:w="2000" w:type="dxa"/>
            <w:vAlign w:val="bottom"/>
            <w:tcBorders>
              <w:bottom w:val="single" w:sz="8" w:color="999999"/>
            </w:tcBorders>
          </w:tcPr>
          <w:p>
            <w:pPr>
              <w:jc w:val="right"/>
              <w:spacing w:after="0" w:line="182" w:lineRule="exact"/>
              <w:rPr>
                <w:sz w:val="20"/>
                <w:szCs w:val="20"/>
                <w:color w:val="auto"/>
              </w:rPr>
            </w:pPr>
            <w:r>
              <w:rPr>
                <w:rFonts w:ascii="Arial" w:cs="Arial" w:eastAsia="Arial" w:hAnsi="Arial"/>
                <w:sz w:val="16"/>
                <w:szCs w:val="16"/>
                <w:color w:val="auto"/>
              </w:rPr>
              <w:t>3,814,446</w:t>
            </w:r>
          </w:p>
        </w:tc>
        <w:tc>
          <w:tcPr>
            <w:tcW w:w="1520" w:type="dxa"/>
            <w:vAlign w:val="bottom"/>
            <w:tcBorders>
              <w:bottom w:val="single" w:sz="8" w:color="999999"/>
            </w:tcBorders>
          </w:tcPr>
          <w:p>
            <w:pPr>
              <w:jc w:val="right"/>
              <w:ind w:right="39"/>
              <w:spacing w:after="0" w:line="182" w:lineRule="exact"/>
              <w:rPr>
                <w:sz w:val="20"/>
                <w:szCs w:val="20"/>
                <w:color w:val="auto"/>
              </w:rPr>
            </w:pPr>
            <w:r>
              <w:rPr>
                <w:rFonts w:ascii="Arial" w:cs="Arial" w:eastAsia="Arial" w:hAnsi="Arial"/>
                <w:sz w:val="16"/>
                <w:szCs w:val="16"/>
                <w:color w:val="auto"/>
              </w:rPr>
              <w:t>0</w:t>
            </w:r>
          </w:p>
        </w:tc>
        <w:tc>
          <w:tcPr>
            <w:tcW w:w="1860" w:type="dxa"/>
            <w:vAlign w:val="bottom"/>
            <w:tcBorders>
              <w:bottom w:val="single" w:sz="8" w:color="999999"/>
            </w:tcBorders>
          </w:tcPr>
          <w:p>
            <w:pPr>
              <w:jc w:val="right"/>
              <w:spacing w:after="0" w:line="182" w:lineRule="exact"/>
              <w:rPr>
                <w:sz w:val="20"/>
                <w:szCs w:val="20"/>
                <w:color w:val="auto"/>
              </w:rPr>
            </w:pPr>
            <w:r>
              <w:rPr>
                <w:rFonts w:ascii="Arial" w:cs="Arial" w:eastAsia="Arial" w:hAnsi="Arial"/>
                <w:sz w:val="16"/>
                <w:szCs w:val="16"/>
                <w:color w:val="auto"/>
              </w:rPr>
              <w:t>N/A</w:t>
            </w:r>
          </w:p>
        </w:tc>
      </w:tr>
      <w:tr>
        <w:trPr>
          <w:trHeight w:val="182"/>
        </w:trPr>
        <w:tc>
          <w:tcPr>
            <w:tcW w:w="4060" w:type="dxa"/>
            <w:vAlign w:val="bottom"/>
          </w:tcPr>
          <w:p>
            <w:pPr>
              <w:spacing w:after="0" w:line="177" w:lineRule="exact"/>
              <w:rPr>
                <w:sz w:val="20"/>
                <w:szCs w:val="20"/>
                <w:color w:val="auto"/>
              </w:rPr>
            </w:pPr>
            <w:r>
              <w:rPr>
                <w:rFonts w:ascii="Arial" w:cs="Arial" w:eastAsia="Arial" w:hAnsi="Arial"/>
                <w:sz w:val="16"/>
                <w:szCs w:val="16"/>
                <w:color w:val="auto"/>
              </w:rPr>
              <w:t>Restricted Stock Units</w:t>
            </w:r>
          </w:p>
        </w:tc>
        <w:tc>
          <w:tcPr>
            <w:tcW w:w="1560" w:type="dxa"/>
            <w:vAlign w:val="bottom"/>
            <w:tcBorders>
              <w:bottom w:val="single" w:sz="8" w:color="999999"/>
            </w:tcBorders>
          </w:tcPr>
          <w:p>
            <w:pPr>
              <w:jc w:val="right"/>
              <w:ind w:right="39"/>
              <w:spacing w:after="0" w:line="182" w:lineRule="exact"/>
              <w:rPr>
                <w:sz w:val="20"/>
                <w:szCs w:val="20"/>
                <w:color w:val="auto"/>
              </w:rPr>
            </w:pPr>
            <w:r>
              <w:rPr>
                <w:rFonts w:ascii="Arial" w:cs="Arial" w:eastAsia="Arial" w:hAnsi="Arial"/>
                <w:sz w:val="16"/>
                <w:szCs w:val="16"/>
                <w:color w:val="auto"/>
              </w:rPr>
              <w:t>0</w:t>
            </w:r>
          </w:p>
        </w:tc>
        <w:tc>
          <w:tcPr>
            <w:tcW w:w="2000" w:type="dxa"/>
            <w:vAlign w:val="bottom"/>
            <w:tcBorders>
              <w:bottom w:val="single" w:sz="8" w:color="999999"/>
            </w:tcBorders>
          </w:tcPr>
          <w:p>
            <w:pPr>
              <w:jc w:val="right"/>
              <w:spacing w:after="0" w:line="182" w:lineRule="exact"/>
              <w:rPr>
                <w:sz w:val="20"/>
                <w:szCs w:val="20"/>
                <w:color w:val="auto"/>
              </w:rPr>
            </w:pPr>
            <w:r>
              <w:rPr>
                <w:rFonts w:ascii="Arial" w:cs="Arial" w:eastAsia="Arial" w:hAnsi="Arial"/>
                <w:sz w:val="16"/>
                <w:szCs w:val="16"/>
                <w:color w:val="auto"/>
              </w:rPr>
              <w:t>0</w:t>
            </w:r>
          </w:p>
        </w:tc>
        <w:tc>
          <w:tcPr>
            <w:tcW w:w="1520" w:type="dxa"/>
            <w:vAlign w:val="bottom"/>
            <w:tcBorders>
              <w:bottom w:val="single" w:sz="8" w:color="999999"/>
            </w:tcBorders>
          </w:tcPr>
          <w:p>
            <w:pPr>
              <w:jc w:val="right"/>
              <w:ind w:right="39"/>
              <w:spacing w:after="0" w:line="182" w:lineRule="exact"/>
              <w:rPr>
                <w:sz w:val="20"/>
                <w:szCs w:val="20"/>
                <w:color w:val="auto"/>
              </w:rPr>
            </w:pPr>
            <w:r>
              <w:rPr>
                <w:rFonts w:ascii="Arial" w:cs="Arial" w:eastAsia="Arial" w:hAnsi="Arial"/>
                <w:sz w:val="16"/>
                <w:szCs w:val="16"/>
                <w:color w:val="auto"/>
              </w:rPr>
              <w:t>0</w:t>
            </w:r>
          </w:p>
        </w:tc>
        <w:tc>
          <w:tcPr>
            <w:tcW w:w="1860" w:type="dxa"/>
            <w:vAlign w:val="bottom"/>
            <w:tcBorders>
              <w:bottom w:val="single" w:sz="8" w:color="999999"/>
            </w:tcBorders>
          </w:tcPr>
          <w:p>
            <w:pPr>
              <w:jc w:val="right"/>
              <w:spacing w:after="0" w:line="182" w:lineRule="exact"/>
              <w:rPr>
                <w:sz w:val="20"/>
                <w:szCs w:val="20"/>
                <w:color w:val="auto"/>
              </w:rPr>
            </w:pPr>
            <w:r>
              <w:rPr>
                <w:rFonts w:ascii="Arial" w:cs="Arial" w:eastAsia="Arial" w:hAnsi="Arial"/>
                <w:sz w:val="16"/>
                <w:szCs w:val="16"/>
                <w:color w:val="auto"/>
              </w:rPr>
              <w:t>N/A</w:t>
            </w:r>
          </w:p>
        </w:tc>
      </w:tr>
      <w:tr>
        <w:trPr>
          <w:trHeight w:val="182"/>
        </w:trPr>
        <w:tc>
          <w:tcPr>
            <w:tcW w:w="4060" w:type="dxa"/>
            <w:vAlign w:val="bottom"/>
          </w:tcPr>
          <w:p>
            <w:pPr>
              <w:spacing w:after="0" w:line="177" w:lineRule="exact"/>
              <w:rPr>
                <w:sz w:val="20"/>
                <w:szCs w:val="20"/>
                <w:color w:val="auto"/>
              </w:rPr>
            </w:pPr>
            <w:r>
              <w:rPr>
                <w:rFonts w:ascii="Arial" w:cs="Arial" w:eastAsia="Arial" w:hAnsi="Arial"/>
                <w:sz w:val="16"/>
                <w:szCs w:val="16"/>
                <w:color w:val="auto"/>
              </w:rPr>
              <w:t>Retirement plan payments (9)</w:t>
            </w:r>
          </w:p>
        </w:tc>
        <w:tc>
          <w:tcPr>
            <w:tcW w:w="1560" w:type="dxa"/>
            <w:vAlign w:val="bottom"/>
            <w:tcBorders>
              <w:bottom w:val="single" w:sz="8" w:color="999999"/>
            </w:tcBorders>
          </w:tcPr>
          <w:p>
            <w:pPr>
              <w:jc w:val="right"/>
              <w:ind w:right="39"/>
              <w:spacing w:after="0" w:line="182" w:lineRule="exact"/>
              <w:rPr>
                <w:sz w:val="20"/>
                <w:szCs w:val="20"/>
                <w:color w:val="auto"/>
              </w:rPr>
            </w:pPr>
            <w:r>
              <w:rPr>
                <w:rFonts w:ascii="Arial" w:cs="Arial" w:eastAsia="Arial" w:hAnsi="Arial"/>
                <w:sz w:val="16"/>
                <w:szCs w:val="16"/>
                <w:color w:val="auto"/>
              </w:rPr>
              <w:t>1,618,375</w:t>
            </w:r>
          </w:p>
        </w:tc>
        <w:tc>
          <w:tcPr>
            <w:tcW w:w="2000" w:type="dxa"/>
            <w:vAlign w:val="bottom"/>
            <w:tcBorders>
              <w:bottom w:val="single" w:sz="8" w:color="999999"/>
            </w:tcBorders>
          </w:tcPr>
          <w:p>
            <w:pPr>
              <w:jc w:val="right"/>
              <w:spacing w:after="0" w:line="182" w:lineRule="exact"/>
              <w:rPr>
                <w:sz w:val="20"/>
                <w:szCs w:val="20"/>
                <w:color w:val="auto"/>
              </w:rPr>
            </w:pPr>
            <w:r>
              <w:rPr>
                <w:rFonts w:ascii="Arial" w:cs="Arial" w:eastAsia="Arial" w:hAnsi="Arial"/>
                <w:sz w:val="16"/>
                <w:szCs w:val="16"/>
                <w:color w:val="auto"/>
              </w:rPr>
              <w:t>1,618,375</w:t>
            </w:r>
          </w:p>
        </w:tc>
        <w:tc>
          <w:tcPr>
            <w:tcW w:w="1520" w:type="dxa"/>
            <w:vAlign w:val="bottom"/>
            <w:tcBorders>
              <w:bottom w:val="single" w:sz="8" w:color="999999"/>
            </w:tcBorders>
          </w:tcPr>
          <w:p>
            <w:pPr>
              <w:jc w:val="right"/>
              <w:ind w:right="39"/>
              <w:spacing w:after="0" w:line="182" w:lineRule="exact"/>
              <w:rPr>
                <w:sz w:val="20"/>
                <w:szCs w:val="20"/>
                <w:color w:val="auto"/>
              </w:rPr>
            </w:pPr>
            <w:r>
              <w:rPr>
                <w:rFonts w:ascii="Arial" w:cs="Arial" w:eastAsia="Arial" w:hAnsi="Arial"/>
                <w:sz w:val="16"/>
                <w:szCs w:val="16"/>
                <w:color w:val="auto"/>
              </w:rPr>
              <w:t>411,116</w:t>
            </w:r>
          </w:p>
        </w:tc>
        <w:tc>
          <w:tcPr>
            <w:tcW w:w="1860" w:type="dxa"/>
            <w:vAlign w:val="bottom"/>
            <w:tcBorders>
              <w:bottom w:val="single" w:sz="8" w:color="999999"/>
            </w:tcBorders>
          </w:tcPr>
          <w:p>
            <w:pPr>
              <w:jc w:val="right"/>
              <w:spacing w:after="0" w:line="182" w:lineRule="exact"/>
              <w:rPr>
                <w:sz w:val="20"/>
                <w:szCs w:val="20"/>
                <w:color w:val="auto"/>
              </w:rPr>
            </w:pPr>
            <w:r>
              <w:rPr>
                <w:rFonts w:ascii="Arial" w:cs="Arial" w:eastAsia="Arial" w:hAnsi="Arial"/>
                <w:sz w:val="16"/>
                <w:szCs w:val="16"/>
                <w:color w:val="auto"/>
              </w:rPr>
              <w:t>N/A</w:t>
            </w:r>
          </w:p>
        </w:tc>
      </w:tr>
      <w:tr>
        <w:trPr>
          <w:trHeight w:val="182"/>
        </w:trPr>
        <w:tc>
          <w:tcPr>
            <w:tcW w:w="4060" w:type="dxa"/>
            <w:vAlign w:val="bottom"/>
          </w:tcPr>
          <w:p>
            <w:pPr>
              <w:spacing w:after="0" w:line="177" w:lineRule="exact"/>
              <w:rPr>
                <w:sz w:val="20"/>
                <w:szCs w:val="20"/>
                <w:color w:val="auto"/>
              </w:rPr>
            </w:pPr>
            <w:r>
              <w:rPr>
                <w:rFonts w:ascii="Arial" w:cs="Arial" w:eastAsia="Arial" w:hAnsi="Arial"/>
                <w:sz w:val="16"/>
                <w:szCs w:val="16"/>
                <w:color w:val="auto"/>
              </w:rPr>
              <w:t>Deferred comp plan (10)</w:t>
            </w:r>
          </w:p>
        </w:tc>
        <w:tc>
          <w:tcPr>
            <w:tcW w:w="1560" w:type="dxa"/>
            <w:vAlign w:val="bottom"/>
            <w:tcBorders>
              <w:bottom w:val="single" w:sz="8" w:color="999999"/>
            </w:tcBorders>
          </w:tcPr>
          <w:p>
            <w:pPr>
              <w:jc w:val="right"/>
              <w:ind w:right="39"/>
              <w:spacing w:after="0" w:line="182" w:lineRule="exact"/>
              <w:rPr>
                <w:sz w:val="20"/>
                <w:szCs w:val="20"/>
                <w:color w:val="auto"/>
              </w:rPr>
            </w:pPr>
            <w:r>
              <w:rPr>
                <w:rFonts w:ascii="Arial" w:cs="Arial" w:eastAsia="Arial" w:hAnsi="Arial"/>
                <w:sz w:val="16"/>
                <w:szCs w:val="16"/>
                <w:color w:val="auto"/>
              </w:rPr>
              <w:t>2,546,862</w:t>
            </w:r>
          </w:p>
        </w:tc>
        <w:tc>
          <w:tcPr>
            <w:tcW w:w="2000" w:type="dxa"/>
            <w:vAlign w:val="bottom"/>
            <w:tcBorders>
              <w:bottom w:val="single" w:sz="8" w:color="999999"/>
            </w:tcBorders>
          </w:tcPr>
          <w:p>
            <w:pPr>
              <w:jc w:val="right"/>
              <w:spacing w:after="0" w:line="182" w:lineRule="exact"/>
              <w:rPr>
                <w:sz w:val="20"/>
                <w:szCs w:val="20"/>
                <w:color w:val="auto"/>
              </w:rPr>
            </w:pPr>
            <w:r>
              <w:rPr>
                <w:rFonts w:ascii="Arial" w:cs="Arial" w:eastAsia="Arial" w:hAnsi="Arial"/>
                <w:sz w:val="16"/>
                <w:szCs w:val="16"/>
                <w:color w:val="auto"/>
              </w:rPr>
              <w:t>2,546,862</w:t>
            </w:r>
          </w:p>
        </w:tc>
        <w:tc>
          <w:tcPr>
            <w:tcW w:w="1520" w:type="dxa"/>
            <w:vAlign w:val="bottom"/>
            <w:tcBorders>
              <w:bottom w:val="single" w:sz="8" w:color="999999"/>
            </w:tcBorders>
          </w:tcPr>
          <w:p>
            <w:pPr>
              <w:jc w:val="right"/>
              <w:ind w:right="39"/>
              <w:spacing w:after="0" w:line="182" w:lineRule="exact"/>
              <w:rPr>
                <w:sz w:val="20"/>
                <w:szCs w:val="20"/>
                <w:color w:val="auto"/>
              </w:rPr>
            </w:pPr>
            <w:r>
              <w:rPr>
                <w:rFonts w:ascii="Arial" w:cs="Arial" w:eastAsia="Arial" w:hAnsi="Arial"/>
                <w:sz w:val="16"/>
                <w:szCs w:val="16"/>
                <w:color w:val="auto"/>
              </w:rPr>
              <w:t>2,546,862</w:t>
            </w:r>
          </w:p>
        </w:tc>
        <w:tc>
          <w:tcPr>
            <w:tcW w:w="1860" w:type="dxa"/>
            <w:vAlign w:val="bottom"/>
            <w:tcBorders>
              <w:bottom w:val="single" w:sz="8" w:color="999999"/>
            </w:tcBorders>
          </w:tcPr>
          <w:p>
            <w:pPr>
              <w:jc w:val="right"/>
              <w:spacing w:after="0" w:line="182" w:lineRule="exact"/>
              <w:rPr>
                <w:sz w:val="20"/>
                <w:szCs w:val="20"/>
                <w:color w:val="auto"/>
              </w:rPr>
            </w:pPr>
            <w:r>
              <w:rPr>
                <w:rFonts w:ascii="Arial" w:cs="Arial" w:eastAsia="Arial" w:hAnsi="Arial"/>
                <w:sz w:val="16"/>
                <w:szCs w:val="16"/>
                <w:color w:val="auto"/>
              </w:rPr>
              <w:t>N/A</w:t>
            </w:r>
          </w:p>
        </w:tc>
      </w:tr>
      <w:tr>
        <w:trPr>
          <w:trHeight w:val="182"/>
        </w:trPr>
        <w:tc>
          <w:tcPr>
            <w:tcW w:w="4060" w:type="dxa"/>
            <w:vAlign w:val="bottom"/>
          </w:tcPr>
          <w:p>
            <w:pPr>
              <w:spacing w:after="0" w:line="177" w:lineRule="exact"/>
              <w:rPr>
                <w:sz w:val="20"/>
                <w:szCs w:val="20"/>
                <w:color w:val="auto"/>
              </w:rPr>
            </w:pPr>
            <w:r>
              <w:rPr>
                <w:rFonts w:ascii="Arial" w:cs="Arial" w:eastAsia="Arial" w:hAnsi="Arial"/>
                <w:sz w:val="16"/>
                <w:szCs w:val="16"/>
                <w:color w:val="auto"/>
              </w:rPr>
              <w:t>Health and welfare benefits (11)</w:t>
            </w:r>
          </w:p>
        </w:tc>
        <w:tc>
          <w:tcPr>
            <w:tcW w:w="1560" w:type="dxa"/>
            <w:vAlign w:val="bottom"/>
            <w:tcBorders>
              <w:bottom w:val="single" w:sz="8" w:color="999999"/>
            </w:tcBorders>
          </w:tcPr>
          <w:p>
            <w:pPr>
              <w:jc w:val="right"/>
              <w:ind w:right="39"/>
              <w:spacing w:after="0" w:line="182" w:lineRule="exact"/>
              <w:rPr>
                <w:sz w:val="20"/>
                <w:szCs w:val="20"/>
                <w:color w:val="auto"/>
              </w:rPr>
            </w:pPr>
            <w:r>
              <w:rPr>
                <w:rFonts w:ascii="Arial" w:cs="Arial" w:eastAsia="Arial" w:hAnsi="Arial"/>
                <w:sz w:val="16"/>
                <w:szCs w:val="16"/>
                <w:color w:val="auto"/>
              </w:rPr>
              <w:t>0</w:t>
            </w:r>
          </w:p>
        </w:tc>
        <w:tc>
          <w:tcPr>
            <w:tcW w:w="2000" w:type="dxa"/>
            <w:vAlign w:val="bottom"/>
            <w:tcBorders>
              <w:bottom w:val="single" w:sz="8" w:color="999999"/>
            </w:tcBorders>
          </w:tcPr>
          <w:p>
            <w:pPr>
              <w:jc w:val="right"/>
              <w:spacing w:after="0" w:line="182" w:lineRule="exact"/>
              <w:rPr>
                <w:sz w:val="20"/>
                <w:szCs w:val="20"/>
                <w:color w:val="auto"/>
              </w:rPr>
            </w:pPr>
            <w:r>
              <w:rPr>
                <w:rFonts w:ascii="Arial" w:cs="Arial" w:eastAsia="Arial" w:hAnsi="Arial"/>
                <w:sz w:val="16"/>
                <w:szCs w:val="16"/>
                <w:color w:val="auto"/>
              </w:rPr>
              <w:t>18,981</w:t>
            </w:r>
          </w:p>
        </w:tc>
        <w:tc>
          <w:tcPr>
            <w:tcW w:w="1520" w:type="dxa"/>
            <w:vAlign w:val="bottom"/>
            <w:tcBorders>
              <w:bottom w:val="single" w:sz="8" w:color="999999"/>
            </w:tcBorders>
          </w:tcPr>
          <w:p>
            <w:pPr>
              <w:jc w:val="right"/>
              <w:ind w:right="39"/>
              <w:spacing w:after="0" w:line="182" w:lineRule="exact"/>
              <w:rPr>
                <w:sz w:val="20"/>
                <w:szCs w:val="20"/>
                <w:color w:val="auto"/>
              </w:rPr>
            </w:pPr>
            <w:r>
              <w:rPr>
                <w:rFonts w:ascii="Arial" w:cs="Arial" w:eastAsia="Arial" w:hAnsi="Arial"/>
                <w:sz w:val="16"/>
                <w:szCs w:val="16"/>
                <w:color w:val="auto"/>
              </w:rPr>
              <w:t>0</w:t>
            </w:r>
          </w:p>
        </w:tc>
        <w:tc>
          <w:tcPr>
            <w:tcW w:w="1860" w:type="dxa"/>
            <w:vAlign w:val="bottom"/>
            <w:tcBorders>
              <w:bottom w:val="single" w:sz="8" w:color="999999"/>
            </w:tcBorders>
          </w:tcPr>
          <w:p>
            <w:pPr>
              <w:jc w:val="right"/>
              <w:spacing w:after="0" w:line="182" w:lineRule="exact"/>
              <w:rPr>
                <w:sz w:val="20"/>
                <w:szCs w:val="20"/>
                <w:color w:val="auto"/>
              </w:rPr>
            </w:pPr>
            <w:r>
              <w:rPr>
                <w:rFonts w:ascii="Arial" w:cs="Arial" w:eastAsia="Arial" w:hAnsi="Arial"/>
                <w:sz w:val="16"/>
                <w:szCs w:val="16"/>
                <w:color w:val="auto"/>
              </w:rPr>
              <w:t>N/A</w:t>
            </w:r>
          </w:p>
        </w:tc>
      </w:tr>
      <w:tr>
        <w:trPr>
          <w:trHeight w:val="182"/>
        </w:trPr>
        <w:tc>
          <w:tcPr>
            <w:tcW w:w="4060" w:type="dxa"/>
            <w:vAlign w:val="bottom"/>
          </w:tcPr>
          <w:p>
            <w:pPr>
              <w:spacing w:after="0" w:line="177" w:lineRule="exact"/>
              <w:rPr>
                <w:sz w:val="20"/>
                <w:szCs w:val="20"/>
                <w:color w:val="auto"/>
              </w:rPr>
            </w:pPr>
            <w:r>
              <w:rPr>
                <w:rFonts w:ascii="Arial" w:cs="Arial" w:eastAsia="Arial" w:hAnsi="Arial"/>
                <w:sz w:val="16"/>
                <w:szCs w:val="16"/>
                <w:color w:val="auto"/>
              </w:rPr>
              <w:t>Outplacement</w:t>
            </w:r>
          </w:p>
        </w:tc>
        <w:tc>
          <w:tcPr>
            <w:tcW w:w="1560" w:type="dxa"/>
            <w:vAlign w:val="bottom"/>
            <w:tcBorders>
              <w:bottom w:val="single" w:sz="8" w:color="999999"/>
            </w:tcBorders>
          </w:tcPr>
          <w:p>
            <w:pPr>
              <w:ind w:left="1180"/>
              <w:spacing w:after="0" w:line="182" w:lineRule="exact"/>
              <w:rPr>
                <w:sz w:val="20"/>
                <w:szCs w:val="20"/>
                <w:color w:val="auto"/>
              </w:rPr>
            </w:pPr>
            <w:r>
              <w:rPr>
                <w:rFonts w:ascii="Arial" w:cs="Arial" w:eastAsia="Arial" w:hAnsi="Arial"/>
                <w:sz w:val="16"/>
                <w:szCs w:val="16"/>
                <w:color w:val="auto"/>
              </w:rPr>
              <w:t>N/A</w:t>
            </w:r>
          </w:p>
        </w:tc>
        <w:tc>
          <w:tcPr>
            <w:tcW w:w="2000" w:type="dxa"/>
            <w:vAlign w:val="bottom"/>
            <w:tcBorders>
              <w:bottom w:val="single" w:sz="8" w:color="999999"/>
            </w:tcBorders>
          </w:tcPr>
          <w:p>
            <w:pPr>
              <w:jc w:val="right"/>
              <w:spacing w:after="0" w:line="182" w:lineRule="exact"/>
              <w:rPr>
                <w:sz w:val="20"/>
                <w:szCs w:val="20"/>
                <w:color w:val="auto"/>
              </w:rPr>
            </w:pPr>
            <w:r>
              <w:rPr>
                <w:rFonts w:ascii="Arial" w:cs="Arial" w:eastAsia="Arial" w:hAnsi="Arial"/>
                <w:sz w:val="16"/>
                <w:szCs w:val="16"/>
                <w:color w:val="auto"/>
              </w:rPr>
              <w:t>10,000</w:t>
            </w:r>
          </w:p>
        </w:tc>
        <w:tc>
          <w:tcPr>
            <w:tcW w:w="1520" w:type="dxa"/>
            <w:vAlign w:val="bottom"/>
            <w:tcBorders>
              <w:bottom w:val="single" w:sz="8" w:color="999999"/>
            </w:tcBorders>
          </w:tcPr>
          <w:p>
            <w:pPr>
              <w:ind w:left="1140"/>
              <w:spacing w:after="0" w:line="182" w:lineRule="exact"/>
              <w:rPr>
                <w:sz w:val="20"/>
                <w:szCs w:val="20"/>
                <w:color w:val="auto"/>
              </w:rPr>
            </w:pPr>
            <w:r>
              <w:rPr>
                <w:rFonts w:ascii="Arial" w:cs="Arial" w:eastAsia="Arial" w:hAnsi="Arial"/>
                <w:sz w:val="16"/>
                <w:szCs w:val="16"/>
                <w:color w:val="auto"/>
              </w:rPr>
              <w:t>N/A</w:t>
            </w:r>
          </w:p>
        </w:tc>
        <w:tc>
          <w:tcPr>
            <w:tcW w:w="1860" w:type="dxa"/>
            <w:vAlign w:val="bottom"/>
            <w:tcBorders>
              <w:bottom w:val="single" w:sz="8" w:color="999999"/>
            </w:tcBorders>
          </w:tcPr>
          <w:p>
            <w:pPr>
              <w:jc w:val="right"/>
              <w:spacing w:after="0" w:line="182" w:lineRule="exact"/>
              <w:rPr>
                <w:sz w:val="20"/>
                <w:szCs w:val="20"/>
                <w:color w:val="auto"/>
              </w:rPr>
            </w:pPr>
            <w:r>
              <w:rPr>
                <w:rFonts w:ascii="Arial" w:cs="Arial" w:eastAsia="Arial" w:hAnsi="Arial"/>
                <w:sz w:val="16"/>
                <w:szCs w:val="16"/>
                <w:color w:val="auto"/>
              </w:rPr>
              <w:t>N/A</w:t>
            </w:r>
          </w:p>
        </w:tc>
      </w:tr>
      <w:tr>
        <w:trPr>
          <w:trHeight w:val="182"/>
        </w:trPr>
        <w:tc>
          <w:tcPr>
            <w:tcW w:w="4060" w:type="dxa"/>
            <w:vAlign w:val="bottom"/>
          </w:tcPr>
          <w:p>
            <w:pPr>
              <w:spacing w:after="0" w:line="182" w:lineRule="exact"/>
              <w:rPr>
                <w:sz w:val="20"/>
                <w:szCs w:val="20"/>
                <w:color w:val="auto"/>
              </w:rPr>
            </w:pPr>
            <w:r>
              <w:rPr>
                <w:rFonts w:ascii="Arial" w:cs="Arial" w:eastAsia="Arial" w:hAnsi="Arial"/>
                <w:sz w:val="16"/>
                <w:szCs w:val="16"/>
                <w:b w:val="1"/>
                <w:bCs w:val="1"/>
                <w:i w:val="1"/>
                <w:iCs w:val="1"/>
                <w:color w:val="auto"/>
              </w:rPr>
              <w:t>Total:</w:t>
            </w:r>
          </w:p>
        </w:tc>
        <w:tc>
          <w:tcPr>
            <w:tcW w:w="1560" w:type="dxa"/>
            <w:vAlign w:val="bottom"/>
          </w:tcPr>
          <w:p>
            <w:pPr>
              <w:jc w:val="right"/>
              <w:ind w:right="39"/>
              <w:spacing w:after="0" w:line="182" w:lineRule="exact"/>
              <w:rPr>
                <w:sz w:val="20"/>
                <w:szCs w:val="20"/>
                <w:color w:val="auto"/>
              </w:rPr>
            </w:pPr>
            <w:r>
              <w:rPr>
                <w:rFonts w:ascii="Arial" w:cs="Arial" w:eastAsia="Arial" w:hAnsi="Arial"/>
                <w:sz w:val="16"/>
                <w:szCs w:val="16"/>
                <w:color w:val="auto"/>
              </w:rPr>
              <w:t>7,979,683</w:t>
            </w:r>
          </w:p>
        </w:tc>
        <w:tc>
          <w:tcPr>
            <w:tcW w:w="2000" w:type="dxa"/>
            <w:vAlign w:val="bottom"/>
          </w:tcPr>
          <w:p>
            <w:pPr>
              <w:jc w:val="right"/>
              <w:spacing w:after="0" w:line="182" w:lineRule="exact"/>
              <w:rPr>
                <w:sz w:val="20"/>
                <w:szCs w:val="20"/>
                <w:color w:val="auto"/>
              </w:rPr>
            </w:pPr>
            <w:r>
              <w:rPr>
                <w:rFonts w:ascii="Arial" w:cs="Arial" w:eastAsia="Arial" w:hAnsi="Arial"/>
                <w:sz w:val="16"/>
                <w:szCs w:val="16"/>
                <w:color w:val="auto"/>
              </w:rPr>
              <w:t>8,898,665</w:t>
            </w:r>
          </w:p>
        </w:tc>
        <w:tc>
          <w:tcPr>
            <w:tcW w:w="1520" w:type="dxa"/>
            <w:vAlign w:val="bottom"/>
          </w:tcPr>
          <w:p>
            <w:pPr>
              <w:jc w:val="right"/>
              <w:ind w:right="39"/>
              <w:spacing w:after="0" w:line="182" w:lineRule="exact"/>
              <w:rPr>
                <w:sz w:val="20"/>
                <w:szCs w:val="20"/>
                <w:color w:val="auto"/>
              </w:rPr>
            </w:pPr>
            <w:r>
              <w:rPr>
                <w:rFonts w:ascii="Arial" w:cs="Arial" w:eastAsia="Arial" w:hAnsi="Arial"/>
                <w:sz w:val="16"/>
                <w:szCs w:val="16"/>
                <w:color w:val="auto"/>
              </w:rPr>
              <w:t>2,957,978</w:t>
            </w:r>
          </w:p>
        </w:tc>
        <w:tc>
          <w:tcPr>
            <w:tcW w:w="1860" w:type="dxa"/>
            <w:vAlign w:val="bottom"/>
          </w:tcPr>
          <w:p>
            <w:pPr>
              <w:jc w:val="right"/>
              <w:spacing w:after="0" w:line="182" w:lineRule="exact"/>
              <w:rPr>
                <w:sz w:val="20"/>
                <w:szCs w:val="20"/>
                <w:color w:val="auto"/>
              </w:rPr>
            </w:pPr>
            <w:r>
              <w:rPr>
                <w:rFonts w:ascii="Arial" w:cs="Arial" w:eastAsia="Arial" w:hAnsi="Arial"/>
                <w:sz w:val="16"/>
                <w:szCs w:val="16"/>
                <w:color w:val="auto"/>
              </w:rPr>
              <w:t>N/A</w:t>
            </w:r>
          </w:p>
        </w:tc>
      </w:tr>
      <w:tr>
        <w:trPr>
          <w:trHeight w:val="256"/>
        </w:trPr>
        <w:tc>
          <w:tcPr>
            <w:tcW w:w="4060" w:type="dxa"/>
            <w:vAlign w:val="bottom"/>
            <w:shd w:val="clear" w:color="auto" w:fill="D8D8D8"/>
          </w:tcPr>
          <w:p>
            <w:pPr>
              <w:spacing w:after="0"/>
              <w:rPr>
                <w:sz w:val="20"/>
                <w:szCs w:val="20"/>
                <w:color w:val="auto"/>
              </w:rPr>
            </w:pPr>
            <w:r>
              <w:rPr>
                <w:rFonts w:ascii="Arial" w:cs="Arial" w:eastAsia="Arial" w:hAnsi="Arial"/>
                <w:sz w:val="16"/>
                <w:szCs w:val="16"/>
                <w:b w:val="1"/>
                <w:bCs w:val="1"/>
                <w:color w:val="auto"/>
              </w:rPr>
              <w:t>William W. Spurgeon, Jr.</w:t>
            </w:r>
          </w:p>
        </w:tc>
        <w:tc>
          <w:tcPr>
            <w:tcW w:w="1560" w:type="dxa"/>
            <w:vAlign w:val="bottom"/>
            <w:shd w:val="clear" w:color="auto" w:fill="D8D8D8"/>
          </w:tcPr>
          <w:p>
            <w:pPr>
              <w:spacing w:after="0"/>
              <w:rPr>
                <w:sz w:val="22"/>
                <w:szCs w:val="22"/>
                <w:color w:val="auto"/>
              </w:rPr>
            </w:pPr>
          </w:p>
        </w:tc>
        <w:tc>
          <w:tcPr>
            <w:tcW w:w="2000" w:type="dxa"/>
            <w:vAlign w:val="bottom"/>
            <w:shd w:val="clear" w:color="auto" w:fill="D8D8D8"/>
          </w:tcPr>
          <w:p>
            <w:pPr>
              <w:spacing w:after="0"/>
              <w:rPr>
                <w:sz w:val="22"/>
                <w:szCs w:val="22"/>
                <w:color w:val="auto"/>
              </w:rPr>
            </w:pPr>
          </w:p>
        </w:tc>
        <w:tc>
          <w:tcPr>
            <w:tcW w:w="1520" w:type="dxa"/>
            <w:vAlign w:val="bottom"/>
            <w:shd w:val="clear" w:color="auto" w:fill="D8D8D8"/>
          </w:tcPr>
          <w:p>
            <w:pPr>
              <w:spacing w:after="0"/>
              <w:rPr>
                <w:sz w:val="22"/>
                <w:szCs w:val="22"/>
                <w:color w:val="auto"/>
              </w:rPr>
            </w:pPr>
          </w:p>
        </w:tc>
        <w:tc>
          <w:tcPr>
            <w:tcW w:w="1860" w:type="dxa"/>
            <w:vAlign w:val="bottom"/>
            <w:shd w:val="clear" w:color="auto" w:fill="D8D8D8"/>
          </w:tcPr>
          <w:p>
            <w:pPr>
              <w:spacing w:after="0"/>
              <w:rPr>
                <w:sz w:val="22"/>
                <w:szCs w:val="22"/>
                <w:color w:val="auto"/>
              </w:rPr>
            </w:pPr>
          </w:p>
        </w:tc>
      </w:tr>
      <w:tr>
        <w:trPr>
          <w:trHeight w:val="202"/>
        </w:trPr>
        <w:tc>
          <w:tcPr>
            <w:tcW w:w="4060" w:type="dxa"/>
            <w:vAlign w:val="bottom"/>
            <w:shd w:val="clear" w:color="auto" w:fill="D8D8D8"/>
          </w:tcPr>
          <w:p>
            <w:pPr>
              <w:spacing w:after="0"/>
              <w:rPr>
                <w:sz w:val="20"/>
                <w:szCs w:val="20"/>
                <w:color w:val="auto"/>
              </w:rPr>
            </w:pPr>
            <w:r>
              <w:rPr>
                <w:rFonts w:ascii="Arial" w:cs="Arial" w:eastAsia="Arial" w:hAnsi="Arial"/>
                <w:sz w:val="16"/>
                <w:szCs w:val="16"/>
                <w:color w:val="auto"/>
              </w:rPr>
              <w:t>Cash severance (5)</w:t>
            </w:r>
          </w:p>
        </w:tc>
        <w:tc>
          <w:tcPr>
            <w:tcW w:w="1560" w:type="dxa"/>
            <w:vAlign w:val="bottom"/>
            <w:shd w:val="clear" w:color="auto" w:fill="D8D8D8"/>
          </w:tcPr>
          <w:p>
            <w:pPr>
              <w:ind w:left="1180"/>
              <w:spacing w:after="0"/>
              <w:rPr>
                <w:sz w:val="20"/>
                <w:szCs w:val="20"/>
                <w:color w:val="auto"/>
              </w:rPr>
            </w:pPr>
            <w:r>
              <w:rPr>
                <w:rFonts w:ascii="Arial" w:cs="Arial" w:eastAsia="Arial" w:hAnsi="Arial"/>
                <w:sz w:val="16"/>
                <w:szCs w:val="16"/>
                <w:color w:val="auto"/>
              </w:rPr>
              <w:t>N/A</w:t>
            </w:r>
          </w:p>
        </w:tc>
        <w:tc>
          <w:tcPr>
            <w:tcW w:w="2000" w:type="dxa"/>
            <w:vAlign w:val="bottom"/>
            <w:shd w:val="clear" w:color="auto" w:fill="D8D8D8"/>
          </w:tcPr>
          <w:p>
            <w:pPr>
              <w:jc w:val="right"/>
              <w:spacing w:after="0"/>
              <w:rPr>
                <w:sz w:val="20"/>
                <w:szCs w:val="20"/>
                <w:color w:val="auto"/>
              </w:rPr>
            </w:pPr>
            <w:r>
              <w:rPr>
                <w:rFonts w:ascii="Arial" w:cs="Arial" w:eastAsia="Arial" w:hAnsi="Arial"/>
                <w:sz w:val="16"/>
                <w:szCs w:val="16"/>
                <w:color w:val="auto"/>
              </w:rPr>
              <w:t>960,000</w:t>
            </w:r>
          </w:p>
        </w:tc>
        <w:tc>
          <w:tcPr>
            <w:tcW w:w="1520" w:type="dxa"/>
            <w:vAlign w:val="bottom"/>
            <w:shd w:val="clear" w:color="auto" w:fill="D8D8D8"/>
          </w:tcPr>
          <w:p>
            <w:pPr>
              <w:ind w:left="1140"/>
              <w:spacing w:after="0"/>
              <w:rPr>
                <w:sz w:val="20"/>
                <w:szCs w:val="20"/>
                <w:color w:val="auto"/>
              </w:rPr>
            </w:pPr>
            <w:r>
              <w:rPr>
                <w:rFonts w:ascii="Arial" w:cs="Arial" w:eastAsia="Arial" w:hAnsi="Arial"/>
                <w:sz w:val="16"/>
                <w:szCs w:val="16"/>
                <w:color w:val="auto"/>
              </w:rPr>
              <w:t>N/A</w:t>
            </w:r>
          </w:p>
        </w:tc>
        <w:tc>
          <w:tcPr>
            <w:tcW w:w="1860" w:type="dxa"/>
            <w:vAlign w:val="bottom"/>
            <w:shd w:val="clear" w:color="auto" w:fill="D8D8D8"/>
          </w:tcPr>
          <w:p>
            <w:pPr>
              <w:jc w:val="right"/>
              <w:spacing w:after="0"/>
              <w:rPr>
                <w:sz w:val="20"/>
                <w:szCs w:val="20"/>
                <w:color w:val="auto"/>
              </w:rPr>
            </w:pPr>
            <w:r>
              <w:rPr>
                <w:rFonts w:ascii="Arial" w:cs="Arial" w:eastAsia="Arial" w:hAnsi="Arial"/>
                <w:sz w:val="16"/>
                <w:szCs w:val="16"/>
                <w:color w:val="auto"/>
              </w:rPr>
              <w:t>N/A</w:t>
            </w:r>
          </w:p>
        </w:tc>
      </w:tr>
      <w:tr>
        <w:trPr>
          <w:trHeight w:val="202"/>
        </w:trPr>
        <w:tc>
          <w:tcPr>
            <w:tcW w:w="4060" w:type="dxa"/>
            <w:vAlign w:val="bottom"/>
            <w:shd w:val="clear" w:color="auto" w:fill="D8D8D8"/>
          </w:tcPr>
          <w:p>
            <w:pPr>
              <w:spacing w:after="0"/>
              <w:rPr>
                <w:sz w:val="20"/>
                <w:szCs w:val="20"/>
                <w:color w:val="auto"/>
              </w:rPr>
            </w:pPr>
            <w:r>
              <w:rPr>
                <w:rFonts w:ascii="Arial" w:cs="Arial" w:eastAsia="Arial" w:hAnsi="Arial"/>
                <w:sz w:val="16"/>
                <w:szCs w:val="16"/>
                <w:color w:val="auto"/>
              </w:rPr>
              <w:t>Performance share award (6)</w:t>
            </w:r>
          </w:p>
        </w:tc>
        <w:tc>
          <w:tcPr>
            <w:tcW w:w="1560" w:type="dxa"/>
            <w:vAlign w:val="bottom"/>
            <w:shd w:val="clear" w:color="auto" w:fill="D8D8D8"/>
          </w:tcPr>
          <w:p>
            <w:pPr>
              <w:ind w:left="1180"/>
              <w:spacing w:after="0"/>
              <w:rPr>
                <w:sz w:val="20"/>
                <w:szCs w:val="20"/>
                <w:color w:val="auto"/>
              </w:rPr>
            </w:pPr>
            <w:r>
              <w:rPr>
                <w:rFonts w:ascii="Arial" w:cs="Arial" w:eastAsia="Arial" w:hAnsi="Arial"/>
                <w:sz w:val="16"/>
                <w:szCs w:val="16"/>
                <w:color w:val="auto"/>
              </w:rPr>
              <w:t>N/A</w:t>
            </w:r>
          </w:p>
        </w:tc>
        <w:tc>
          <w:tcPr>
            <w:tcW w:w="2000" w:type="dxa"/>
            <w:vAlign w:val="bottom"/>
            <w:shd w:val="clear" w:color="auto" w:fill="D8D8D8"/>
          </w:tcPr>
          <w:p>
            <w:pPr>
              <w:jc w:val="right"/>
              <w:spacing w:after="0"/>
              <w:rPr>
                <w:sz w:val="20"/>
                <w:szCs w:val="20"/>
                <w:color w:val="auto"/>
              </w:rPr>
            </w:pPr>
            <w:r>
              <w:rPr>
                <w:rFonts w:ascii="Arial" w:cs="Arial" w:eastAsia="Arial" w:hAnsi="Arial"/>
                <w:sz w:val="16"/>
                <w:szCs w:val="16"/>
                <w:color w:val="auto"/>
              </w:rPr>
              <w:t>582,106</w:t>
            </w:r>
          </w:p>
        </w:tc>
        <w:tc>
          <w:tcPr>
            <w:tcW w:w="1520" w:type="dxa"/>
            <w:vAlign w:val="bottom"/>
            <w:shd w:val="clear" w:color="auto" w:fill="D8D8D8"/>
          </w:tcPr>
          <w:p>
            <w:pPr>
              <w:jc w:val="right"/>
              <w:ind w:right="39"/>
              <w:spacing w:after="0"/>
              <w:rPr>
                <w:sz w:val="20"/>
                <w:szCs w:val="20"/>
                <w:color w:val="auto"/>
              </w:rPr>
            </w:pPr>
            <w:r>
              <w:rPr>
                <w:rFonts w:ascii="Arial" w:cs="Arial" w:eastAsia="Arial" w:hAnsi="Arial"/>
                <w:sz w:val="16"/>
                <w:szCs w:val="16"/>
                <w:color w:val="auto"/>
              </w:rPr>
              <w:t>0</w:t>
            </w:r>
          </w:p>
        </w:tc>
        <w:tc>
          <w:tcPr>
            <w:tcW w:w="1860" w:type="dxa"/>
            <w:vAlign w:val="bottom"/>
            <w:shd w:val="clear" w:color="auto" w:fill="D8D8D8"/>
          </w:tcPr>
          <w:p>
            <w:pPr>
              <w:jc w:val="right"/>
              <w:ind w:right="19"/>
              <w:spacing w:after="0"/>
              <w:rPr>
                <w:sz w:val="20"/>
                <w:szCs w:val="20"/>
                <w:color w:val="auto"/>
              </w:rPr>
            </w:pPr>
            <w:r>
              <w:rPr>
                <w:rFonts w:ascii="Arial" w:cs="Arial" w:eastAsia="Arial" w:hAnsi="Arial"/>
                <w:sz w:val="16"/>
                <w:szCs w:val="16"/>
                <w:color w:val="auto"/>
              </w:rPr>
              <w:t>582,106</w:t>
            </w:r>
          </w:p>
        </w:tc>
      </w:tr>
      <w:tr>
        <w:trPr>
          <w:trHeight w:val="202"/>
        </w:trPr>
        <w:tc>
          <w:tcPr>
            <w:tcW w:w="4060" w:type="dxa"/>
            <w:vAlign w:val="bottom"/>
            <w:shd w:val="clear" w:color="auto" w:fill="D8D8D8"/>
          </w:tcPr>
          <w:p>
            <w:pPr>
              <w:spacing w:after="0"/>
              <w:rPr>
                <w:sz w:val="20"/>
                <w:szCs w:val="20"/>
                <w:color w:val="auto"/>
              </w:rPr>
            </w:pPr>
            <w:r>
              <w:rPr>
                <w:rFonts w:ascii="Arial" w:cs="Arial" w:eastAsia="Arial" w:hAnsi="Arial"/>
                <w:sz w:val="16"/>
                <w:szCs w:val="16"/>
                <w:color w:val="auto"/>
              </w:rPr>
              <w:t>Stock options/SSARs (7)</w:t>
            </w:r>
          </w:p>
        </w:tc>
        <w:tc>
          <w:tcPr>
            <w:tcW w:w="1560" w:type="dxa"/>
            <w:vAlign w:val="bottom"/>
            <w:shd w:val="clear" w:color="auto" w:fill="D8D8D8"/>
          </w:tcPr>
          <w:p>
            <w:pPr>
              <w:ind w:left="1180"/>
              <w:spacing w:after="0"/>
              <w:rPr>
                <w:sz w:val="20"/>
                <w:szCs w:val="20"/>
                <w:color w:val="auto"/>
              </w:rPr>
            </w:pPr>
            <w:r>
              <w:rPr>
                <w:rFonts w:ascii="Arial" w:cs="Arial" w:eastAsia="Arial" w:hAnsi="Arial"/>
                <w:sz w:val="16"/>
                <w:szCs w:val="16"/>
                <w:color w:val="auto"/>
              </w:rPr>
              <w:t>N/A</w:t>
            </w:r>
          </w:p>
        </w:tc>
        <w:tc>
          <w:tcPr>
            <w:tcW w:w="2000" w:type="dxa"/>
            <w:vAlign w:val="bottom"/>
            <w:shd w:val="clear" w:color="auto" w:fill="D8D8D8"/>
          </w:tcPr>
          <w:p>
            <w:pPr>
              <w:jc w:val="right"/>
              <w:spacing w:after="0"/>
              <w:rPr>
                <w:sz w:val="20"/>
                <w:szCs w:val="20"/>
                <w:color w:val="auto"/>
              </w:rPr>
            </w:pPr>
            <w:r>
              <w:rPr>
                <w:rFonts w:ascii="Arial" w:cs="Arial" w:eastAsia="Arial" w:hAnsi="Arial"/>
                <w:sz w:val="16"/>
                <w:szCs w:val="16"/>
                <w:color w:val="auto"/>
              </w:rPr>
              <w:t>4,031,097</w:t>
            </w:r>
          </w:p>
        </w:tc>
        <w:tc>
          <w:tcPr>
            <w:tcW w:w="1520" w:type="dxa"/>
            <w:vAlign w:val="bottom"/>
            <w:shd w:val="clear" w:color="auto" w:fill="D8D8D8"/>
          </w:tcPr>
          <w:p>
            <w:pPr>
              <w:jc w:val="right"/>
              <w:ind w:right="39"/>
              <w:spacing w:after="0"/>
              <w:rPr>
                <w:sz w:val="20"/>
                <w:szCs w:val="20"/>
                <w:color w:val="auto"/>
              </w:rPr>
            </w:pPr>
            <w:r>
              <w:rPr>
                <w:rFonts w:ascii="Arial" w:cs="Arial" w:eastAsia="Arial" w:hAnsi="Arial"/>
                <w:sz w:val="16"/>
                <w:szCs w:val="16"/>
                <w:color w:val="auto"/>
              </w:rPr>
              <w:t>0</w:t>
            </w:r>
          </w:p>
        </w:tc>
        <w:tc>
          <w:tcPr>
            <w:tcW w:w="1860" w:type="dxa"/>
            <w:vAlign w:val="bottom"/>
            <w:shd w:val="clear" w:color="auto" w:fill="D8D8D8"/>
          </w:tcPr>
          <w:p>
            <w:pPr>
              <w:jc w:val="right"/>
              <w:ind w:right="19"/>
              <w:spacing w:after="0"/>
              <w:rPr>
                <w:sz w:val="20"/>
                <w:szCs w:val="20"/>
                <w:color w:val="auto"/>
              </w:rPr>
            </w:pPr>
            <w:r>
              <w:rPr>
                <w:rFonts w:ascii="Arial" w:cs="Arial" w:eastAsia="Arial" w:hAnsi="Arial"/>
                <w:sz w:val="16"/>
                <w:szCs w:val="16"/>
                <w:color w:val="auto"/>
              </w:rPr>
              <w:t>4,031,097</w:t>
            </w:r>
          </w:p>
        </w:tc>
      </w:tr>
      <w:tr>
        <w:trPr>
          <w:trHeight w:val="202"/>
        </w:trPr>
        <w:tc>
          <w:tcPr>
            <w:tcW w:w="4060" w:type="dxa"/>
            <w:vAlign w:val="bottom"/>
            <w:shd w:val="clear" w:color="auto" w:fill="D8D8D8"/>
          </w:tcPr>
          <w:p>
            <w:pPr>
              <w:spacing w:after="0"/>
              <w:rPr>
                <w:sz w:val="20"/>
                <w:szCs w:val="20"/>
                <w:color w:val="auto"/>
              </w:rPr>
            </w:pPr>
            <w:r>
              <w:rPr>
                <w:rFonts w:ascii="Arial" w:cs="Arial" w:eastAsia="Arial" w:hAnsi="Arial"/>
                <w:sz w:val="16"/>
                <w:szCs w:val="16"/>
                <w:color w:val="auto"/>
              </w:rPr>
              <w:t>Restricted Stock Units (8)</w:t>
            </w:r>
          </w:p>
        </w:tc>
        <w:tc>
          <w:tcPr>
            <w:tcW w:w="1560" w:type="dxa"/>
            <w:vAlign w:val="bottom"/>
            <w:shd w:val="clear" w:color="auto" w:fill="D8D8D8"/>
          </w:tcPr>
          <w:p>
            <w:pPr>
              <w:ind w:left="1180"/>
              <w:spacing w:after="0"/>
              <w:rPr>
                <w:sz w:val="20"/>
                <w:szCs w:val="20"/>
                <w:color w:val="auto"/>
              </w:rPr>
            </w:pPr>
            <w:r>
              <w:rPr>
                <w:rFonts w:ascii="Arial" w:cs="Arial" w:eastAsia="Arial" w:hAnsi="Arial"/>
                <w:sz w:val="16"/>
                <w:szCs w:val="16"/>
                <w:color w:val="auto"/>
              </w:rPr>
              <w:t>N/A</w:t>
            </w:r>
          </w:p>
        </w:tc>
        <w:tc>
          <w:tcPr>
            <w:tcW w:w="2000" w:type="dxa"/>
            <w:vAlign w:val="bottom"/>
            <w:shd w:val="clear" w:color="auto" w:fill="D8D8D8"/>
          </w:tcPr>
          <w:p>
            <w:pPr>
              <w:jc w:val="right"/>
              <w:spacing w:after="0"/>
              <w:rPr>
                <w:sz w:val="20"/>
                <w:szCs w:val="20"/>
                <w:color w:val="auto"/>
              </w:rPr>
            </w:pPr>
            <w:r>
              <w:rPr>
                <w:rFonts w:ascii="Arial" w:cs="Arial" w:eastAsia="Arial" w:hAnsi="Arial"/>
                <w:sz w:val="16"/>
                <w:szCs w:val="16"/>
                <w:color w:val="auto"/>
              </w:rPr>
              <w:t>546,659</w:t>
            </w:r>
          </w:p>
        </w:tc>
        <w:tc>
          <w:tcPr>
            <w:tcW w:w="1520" w:type="dxa"/>
            <w:vAlign w:val="bottom"/>
            <w:shd w:val="clear" w:color="auto" w:fill="D8D8D8"/>
          </w:tcPr>
          <w:p>
            <w:pPr>
              <w:jc w:val="right"/>
              <w:ind w:right="39"/>
              <w:spacing w:after="0"/>
              <w:rPr>
                <w:sz w:val="20"/>
                <w:szCs w:val="20"/>
                <w:color w:val="auto"/>
              </w:rPr>
            </w:pPr>
            <w:r>
              <w:rPr>
                <w:rFonts w:ascii="Arial" w:cs="Arial" w:eastAsia="Arial" w:hAnsi="Arial"/>
                <w:sz w:val="16"/>
                <w:szCs w:val="16"/>
                <w:color w:val="auto"/>
              </w:rPr>
              <w:t>0</w:t>
            </w:r>
          </w:p>
        </w:tc>
        <w:tc>
          <w:tcPr>
            <w:tcW w:w="1860" w:type="dxa"/>
            <w:vAlign w:val="bottom"/>
            <w:shd w:val="clear" w:color="auto" w:fill="D8D8D8"/>
          </w:tcPr>
          <w:p>
            <w:pPr>
              <w:jc w:val="right"/>
              <w:ind w:right="19"/>
              <w:spacing w:after="0"/>
              <w:rPr>
                <w:sz w:val="20"/>
                <w:szCs w:val="20"/>
                <w:color w:val="auto"/>
              </w:rPr>
            </w:pPr>
            <w:r>
              <w:rPr>
                <w:rFonts w:ascii="Arial" w:cs="Arial" w:eastAsia="Arial" w:hAnsi="Arial"/>
                <w:sz w:val="16"/>
                <w:szCs w:val="16"/>
                <w:color w:val="auto"/>
              </w:rPr>
              <w:t>546,659</w:t>
            </w:r>
          </w:p>
        </w:tc>
      </w:tr>
      <w:tr>
        <w:trPr>
          <w:trHeight w:val="202"/>
        </w:trPr>
        <w:tc>
          <w:tcPr>
            <w:tcW w:w="4060" w:type="dxa"/>
            <w:vAlign w:val="bottom"/>
            <w:shd w:val="clear" w:color="auto" w:fill="D8D8D8"/>
          </w:tcPr>
          <w:p>
            <w:pPr>
              <w:spacing w:after="0"/>
              <w:rPr>
                <w:sz w:val="20"/>
                <w:szCs w:val="20"/>
                <w:color w:val="auto"/>
              </w:rPr>
            </w:pPr>
            <w:r>
              <w:rPr>
                <w:rFonts w:ascii="Arial" w:cs="Arial" w:eastAsia="Arial" w:hAnsi="Arial"/>
                <w:sz w:val="16"/>
                <w:szCs w:val="16"/>
                <w:color w:val="auto"/>
              </w:rPr>
              <w:t>Retirement plan payments (9)</w:t>
            </w:r>
          </w:p>
        </w:tc>
        <w:tc>
          <w:tcPr>
            <w:tcW w:w="1560" w:type="dxa"/>
            <w:vAlign w:val="bottom"/>
            <w:shd w:val="clear" w:color="auto" w:fill="D8D8D8"/>
          </w:tcPr>
          <w:p>
            <w:pPr>
              <w:ind w:left="1180"/>
              <w:spacing w:after="0"/>
              <w:rPr>
                <w:sz w:val="20"/>
                <w:szCs w:val="20"/>
                <w:color w:val="auto"/>
              </w:rPr>
            </w:pPr>
            <w:r>
              <w:rPr>
                <w:rFonts w:ascii="Arial" w:cs="Arial" w:eastAsia="Arial" w:hAnsi="Arial"/>
                <w:sz w:val="16"/>
                <w:szCs w:val="16"/>
                <w:color w:val="auto"/>
              </w:rPr>
              <w:t>N/A</w:t>
            </w:r>
          </w:p>
        </w:tc>
        <w:tc>
          <w:tcPr>
            <w:tcW w:w="2000" w:type="dxa"/>
            <w:vAlign w:val="bottom"/>
            <w:shd w:val="clear" w:color="auto" w:fill="D8D8D8"/>
          </w:tcPr>
          <w:p>
            <w:pPr>
              <w:jc w:val="right"/>
              <w:spacing w:after="0"/>
              <w:rPr>
                <w:sz w:val="20"/>
                <w:szCs w:val="20"/>
                <w:color w:val="auto"/>
              </w:rPr>
            </w:pPr>
            <w:r>
              <w:rPr>
                <w:rFonts w:ascii="Arial" w:cs="Arial" w:eastAsia="Arial" w:hAnsi="Arial"/>
                <w:sz w:val="16"/>
                <w:szCs w:val="16"/>
                <w:color w:val="auto"/>
              </w:rPr>
              <w:t>8,498,693</w:t>
            </w:r>
          </w:p>
        </w:tc>
        <w:tc>
          <w:tcPr>
            <w:tcW w:w="1520" w:type="dxa"/>
            <w:vAlign w:val="bottom"/>
            <w:shd w:val="clear" w:color="auto" w:fill="D8D8D8"/>
          </w:tcPr>
          <w:p>
            <w:pPr>
              <w:jc w:val="right"/>
              <w:ind w:right="39"/>
              <w:spacing w:after="0"/>
              <w:rPr>
                <w:sz w:val="20"/>
                <w:szCs w:val="20"/>
                <w:color w:val="auto"/>
              </w:rPr>
            </w:pPr>
            <w:r>
              <w:rPr>
                <w:rFonts w:ascii="Arial" w:cs="Arial" w:eastAsia="Arial" w:hAnsi="Arial"/>
                <w:sz w:val="16"/>
                <w:szCs w:val="16"/>
                <w:color w:val="auto"/>
              </w:rPr>
              <w:t>969,456</w:t>
            </w:r>
          </w:p>
        </w:tc>
        <w:tc>
          <w:tcPr>
            <w:tcW w:w="1860" w:type="dxa"/>
            <w:vAlign w:val="bottom"/>
            <w:shd w:val="clear" w:color="auto" w:fill="D8D8D8"/>
          </w:tcPr>
          <w:p>
            <w:pPr>
              <w:jc w:val="right"/>
              <w:ind w:right="19"/>
              <w:spacing w:after="0"/>
              <w:rPr>
                <w:sz w:val="20"/>
                <w:szCs w:val="20"/>
                <w:color w:val="auto"/>
              </w:rPr>
            </w:pPr>
            <w:r>
              <w:rPr>
                <w:rFonts w:ascii="Arial" w:cs="Arial" w:eastAsia="Arial" w:hAnsi="Arial"/>
                <w:sz w:val="16"/>
                <w:szCs w:val="16"/>
                <w:color w:val="auto"/>
              </w:rPr>
              <w:t>8,498,693</w:t>
            </w:r>
          </w:p>
        </w:tc>
      </w:tr>
      <w:tr>
        <w:trPr>
          <w:trHeight w:val="202"/>
        </w:trPr>
        <w:tc>
          <w:tcPr>
            <w:tcW w:w="4060" w:type="dxa"/>
            <w:vAlign w:val="bottom"/>
            <w:shd w:val="clear" w:color="auto" w:fill="D8D8D8"/>
          </w:tcPr>
          <w:p>
            <w:pPr>
              <w:spacing w:after="0"/>
              <w:rPr>
                <w:sz w:val="20"/>
                <w:szCs w:val="20"/>
                <w:color w:val="auto"/>
              </w:rPr>
            </w:pPr>
            <w:r>
              <w:rPr>
                <w:rFonts w:ascii="Arial" w:cs="Arial" w:eastAsia="Arial" w:hAnsi="Arial"/>
                <w:sz w:val="16"/>
                <w:szCs w:val="16"/>
                <w:color w:val="auto"/>
              </w:rPr>
              <w:t>Deferred comp plan (10)</w:t>
            </w:r>
          </w:p>
        </w:tc>
        <w:tc>
          <w:tcPr>
            <w:tcW w:w="1560" w:type="dxa"/>
            <w:vAlign w:val="bottom"/>
            <w:shd w:val="clear" w:color="auto" w:fill="D8D8D8"/>
          </w:tcPr>
          <w:p>
            <w:pPr>
              <w:ind w:left="1180"/>
              <w:spacing w:after="0"/>
              <w:rPr>
                <w:sz w:val="20"/>
                <w:szCs w:val="20"/>
                <w:color w:val="auto"/>
              </w:rPr>
            </w:pPr>
            <w:r>
              <w:rPr>
                <w:rFonts w:ascii="Arial" w:cs="Arial" w:eastAsia="Arial" w:hAnsi="Arial"/>
                <w:sz w:val="16"/>
                <w:szCs w:val="16"/>
                <w:color w:val="auto"/>
              </w:rPr>
              <w:t>N/A</w:t>
            </w:r>
          </w:p>
        </w:tc>
        <w:tc>
          <w:tcPr>
            <w:tcW w:w="2000" w:type="dxa"/>
            <w:vAlign w:val="bottom"/>
            <w:shd w:val="clear" w:color="auto" w:fill="D8D8D8"/>
          </w:tcPr>
          <w:p>
            <w:pPr>
              <w:jc w:val="right"/>
              <w:spacing w:after="0"/>
              <w:rPr>
                <w:sz w:val="20"/>
                <w:szCs w:val="20"/>
                <w:color w:val="auto"/>
              </w:rPr>
            </w:pPr>
            <w:r>
              <w:rPr>
                <w:rFonts w:ascii="Arial" w:cs="Arial" w:eastAsia="Arial" w:hAnsi="Arial"/>
                <w:sz w:val="16"/>
                <w:szCs w:val="16"/>
                <w:color w:val="auto"/>
              </w:rPr>
              <w:t>2,566,804</w:t>
            </w:r>
          </w:p>
        </w:tc>
        <w:tc>
          <w:tcPr>
            <w:tcW w:w="1520" w:type="dxa"/>
            <w:vAlign w:val="bottom"/>
            <w:shd w:val="clear" w:color="auto" w:fill="D8D8D8"/>
          </w:tcPr>
          <w:p>
            <w:pPr>
              <w:jc w:val="right"/>
              <w:ind w:right="39"/>
              <w:spacing w:after="0"/>
              <w:rPr>
                <w:sz w:val="20"/>
                <w:szCs w:val="20"/>
                <w:color w:val="auto"/>
              </w:rPr>
            </w:pPr>
            <w:r>
              <w:rPr>
                <w:rFonts w:ascii="Arial" w:cs="Arial" w:eastAsia="Arial" w:hAnsi="Arial"/>
                <w:sz w:val="16"/>
                <w:szCs w:val="16"/>
                <w:color w:val="auto"/>
              </w:rPr>
              <w:t>2,566,804</w:t>
            </w:r>
          </w:p>
        </w:tc>
        <w:tc>
          <w:tcPr>
            <w:tcW w:w="1860" w:type="dxa"/>
            <w:vAlign w:val="bottom"/>
            <w:shd w:val="clear" w:color="auto" w:fill="D8D8D8"/>
          </w:tcPr>
          <w:p>
            <w:pPr>
              <w:jc w:val="right"/>
              <w:ind w:right="19"/>
              <w:spacing w:after="0"/>
              <w:rPr>
                <w:sz w:val="20"/>
                <w:szCs w:val="20"/>
                <w:color w:val="auto"/>
              </w:rPr>
            </w:pPr>
            <w:r>
              <w:rPr>
                <w:rFonts w:ascii="Arial" w:cs="Arial" w:eastAsia="Arial" w:hAnsi="Arial"/>
                <w:sz w:val="16"/>
                <w:szCs w:val="16"/>
                <w:color w:val="auto"/>
              </w:rPr>
              <w:t>2,566,804</w:t>
            </w:r>
          </w:p>
        </w:tc>
      </w:tr>
      <w:tr>
        <w:trPr>
          <w:trHeight w:val="204"/>
        </w:trPr>
        <w:tc>
          <w:tcPr>
            <w:tcW w:w="4060" w:type="dxa"/>
            <w:vAlign w:val="bottom"/>
            <w:shd w:val="clear" w:color="auto" w:fill="D8D8D8"/>
          </w:tcPr>
          <w:p>
            <w:pPr>
              <w:spacing w:after="0"/>
              <w:rPr>
                <w:sz w:val="20"/>
                <w:szCs w:val="20"/>
                <w:color w:val="auto"/>
              </w:rPr>
            </w:pPr>
            <w:r>
              <w:rPr>
                <w:rFonts w:ascii="Arial" w:cs="Arial" w:eastAsia="Arial" w:hAnsi="Arial"/>
                <w:sz w:val="16"/>
                <w:szCs w:val="16"/>
                <w:color w:val="auto"/>
              </w:rPr>
              <w:t>Health and welfare benefits (11)</w:t>
            </w:r>
          </w:p>
        </w:tc>
        <w:tc>
          <w:tcPr>
            <w:tcW w:w="1560" w:type="dxa"/>
            <w:vAlign w:val="bottom"/>
            <w:shd w:val="clear" w:color="auto" w:fill="D8D8D8"/>
          </w:tcPr>
          <w:p>
            <w:pPr>
              <w:ind w:left="1180"/>
              <w:spacing w:after="0"/>
              <w:rPr>
                <w:sz w:val="20"/>
                <w:szCs w:val="20"/>
                <w:color w:val="auto"/>
              </w:rPr>
            </w:pPr>
            <w:r>
              <w:rPr>
                <w:rFonts w:ascii="Arial" w:cs="Arial" w:eastAsia="Arial" w:hAnsi="Arial"/>
                <w:sz w:val="16"/>
                <w:szCs w:val="16"/>
                <w:color w:val="auto"/>
              </w:rPr>
              <w:t>N/A</w:t>
            </w:r>
          </w:p>
        </w:tc>
        <w:tc>
          <w:tcPr>
            <w:tcW w:w="2000" w:type="dxa"/>
            <w:vAlign w:val="bottom"/>
            <w:shd w:val="clear" w:color="auto" w:fill="D8D8D8"/>
          </w:tcPr>
          <w:p>
            <w:pPr>
              <w:jc w:val="right"/>
              <w:spacing w:after="0"/>
              <w:rPr>
                <w:sz w:val="20"/>
                <w:szCs w:val="20"/>
                <w:color w:val="auto"/>
              </w:rPr>
            </w:pPr>
            <w:r>
              <w:rPr>
                <w:rFonts w:ascii="Arial" w:cs="Arial" w:eastAsia="Arial" w:hAnsi="Arial"/>
                <w:sz w:val="16"/>
                <w:szCs w:val="16"/>
                <w:color w:val="auto"/>
              </w:rPr>
              <w:t>15,717</w:t>
            </w:r>
          </w:p>
        </w:tc>
        <w:tc>
          <w:tcPr>
            <w:tcW w:w="1520" w:type="dxa"/>
            <w:vAlign w:val="bottom"/>
            <w:shd w:val="clear" w:color="auto" w:fill="D8D8D8"/>
          </w:tcPr>
          <w:p>
            <w:pPr>
              <w:jc w:val="right"/>
              <w:ind w:right="39"/>
              <w:spacing w:after="0"/>
              <w:rPr>
                <w:sz w:val="20"/>
                <w:szCs w:val="20"/>
                <w:color w:val="auto"/>
              </w:rPr>
            </w:pPr>
            <w:r>
              <w:rPr>
                <w:rFonts w:ascii="Arial" w:cs="Arial" w:eastAsia="Arial" w:hAnsi="Arial"/>
                <w:sz w:val="16"/>
                <w:szCs w:val="16"/>
                <w:color w:val="auto"/>
              </w:rPr>
              <w:t>0</w:t>
            </w:r>
          </w:p>
        </w:tc>
        <w:tc>
          <w:tcPr>
            <w:tcW w:w="1860" w:type="dxa"/>
            <w:vAlign w:val="bottom"/>
            <w:shd w:val="clear" w:color="auto" w:fill="D8D8D8"/>
          </w:tcPr>
          <w:p>
            <w:pPr>
              <w:jc w:val="right"/>
              <w:ind w:right="19"/>
              <w:spacing w:after="0"/>
              <w:rPr>
                <w:sz w:val="20"/>
                <w:szCs w:val="20"/>
                <w:color w:val="auto"/>
              </w:rPr>
            </w:pPr>
            <w:r>
              <w:rPr>
                <w:rFonts w:ascii="Arial" w:cs="Arial" w:eastAsia="Arial" w:hAnsi="Arial"/>
                <w:sz w:val="16"/>
                <w:szCs w:val="16"/>
                <w:color w:val="auto"/>
              </w:rPr>
              <w:t>0</w:t>
            </w:r>
          </w:p>
        </w:tc>
      </w:tr>
      <w:tr>
        <w:trPr>
          <w:trHeight w:val="182"/>
        </w:trPr>
        <w:tc>
          <w:tcPr>
            <w:tcW w:w="4060" w:type="dxa"/>
            <w:vAlign w:val="bottom"/>
            <w:shd w:val="clear" w:color="auto" w:fill="D8D8D8"/>
          </w:tcPr>
          <w:p>
            <w:pPr>
              <w:spacing w:after="0" w:line="182" w:lineRule="exact"/>
              <w:rPr>
                <w:sz w:val="20"/>
                <w:szCs w:val="20"/>
                <w:color w:val="auto"/>
              </w:rPr>
            </w:pPr>
            <w:r>
              <w:rPr>
                <w:rFonts w:ascii="Arial" w:cs="Arial" w:eastAsia="Arial" w:hAnsi="Arial"/>
                <w:sz w:val="16"/>
                <w:szCs w:val="16"/>
                <w:color w:val="auto"/>
              </w:rPr>
              <w:t>Outplacement</w:t>
            </w:r>
          </w:p>
        </w:tc>
        <w:tc>
          <w:tcPr>
            <w:tcW w:w="1560" w:type="dxa"/>
            <w:vAlign w:val="bottom"/>
            <w:shd w:val="clear" w:color="auto" w:fill="D8D8D8"/>
          </w:tcPr>
          <w:p>
            <w:pPr>
              <w:ind w:left="1180"/>
              <w:spacing w:after="0" w:line="182" w:lineRule="exact"/>
              <w:rPr>
                <w:sz w:val="20"/>
                <w:szCs w:val="20"/>
                <w:color w:val="auto"/>
              </w:rPr>
            </w:pPr>
            <w:r>
              <w:rPr>
                <w:rFonts w:ascii="Arial" w:cs="Arial" w:eastAsia="Arial" w:hAnsi="Arial"/>
                <w:sz w:val="16"/>
                <w:szCs w:val="16"/>
                <w:color w:val="auto"/>
              </w:rPr>
              <w:t>N/A</w:t>
            </w:r>
          </w:p>
        </w:tc>
        <w:tc>
          <w:tcPr>
            <w:tcW w:w="2000" w:type="dxa"/>
            <w:vAlign w:val="bottom"/>
            <w:shd w:val="clear" w:color="auto" w:fill="D8D8D8"/>
          </w:tcPr>
          <w:p>
            <w:pPr>
              <w:jc w:val="right"/>
              <w:spacing w:after="0" w:line="182" w:lineRule="exact"/>
              <w:rPr>
                <w:sz w:val="20"/>
                <w:szCs w:val="20"/>
                <w:color w:val="auto"/>
              </w:rPr>
            </w:pPr>
            <w:r>
              <w:rPr>
                <w:rFonts w:ascii="Arial" w:cs="Arial" w:eastAsia="Arial" w:hAnsi="Arial"/>
                <w:sz w:val="16"/>
                <w:szCs w:val="16"/>
                <w:color w:val="auto"/>
              </w:rPr>
              <w:t>10,000</w:t>
            </w:r>
          </w:p>
        </w:tc>
        <w:tc>
          <w:tcPr>
            <w:tcW w:w="1520" w:type="dxa"/>
            <w:vAlign w:val="bottom"/>
            <w:shd w:val="clear" w:color="auto" w:fill="D8D8D8"/>
          </w:tcPr>
          <w:p>
            <w:pPr>
              <w:ind w:left="1140"/>
              <w:spacing w:after="0" w:line="182" w:lineRule="exact"/>
              <w:rPr>
                <w:sz w:val="20"/>
                <w:szCs w:val="20"/>
                <w:color w:val="auto"/>
              </w:rPr>
            </w:pPr>
            <w:r>
              <w:rPr>
                <w:rFonts w:ascii="Arial" w:cs="Arial" w:eastAsia="Arial" w:hAnsi="Arial"/>
                <w:sz w:val="16"/>
                <w:szCs w:val="16"/>
                <w:color w:val="auto"/>
              </w:rPr>
              <w:t>N/A</w:t>
            </w:r>
          </w:p>
        </w:tc>
        <w:tc>
          <w:tcPr>
            <w:tcW w:w="1860" w:type="dxa"/>
            <w:vAlign w:val="bottom"/>
            <w:shd w:val="clear" w:color="auto" w:fill="D8D8D8"/>
          </w:tcPr>
          <w:p>
            <w:pPr>
              <w:jc w:val="right"/>
              <w:spacing w:after="0" w:line="182" w:lineRule="exact"/>
              <w:rPr>
                <w:sz w:val="20"/>
                <w:szCs w:val="20"/>
                <w:color w:val="auto"/>
              </w:rPr>
            </w:pPr>
            <w:r>
              <w:rPr>
                <w:rFonts w:ascii="Arial" w:cs="Arial" w:eastAsia="Arial" w:hAnsi="Arial"/>
                <w:sz w:val="16"/>
                <w:szCs w:val="16"/>
                <w:color w:val="auto"/>
              </w:rPr>
              <w:t>N/A</w:t>
            </w:r>
          </w:p>
        </w:tc>
      </w:tr>
      <w:tr>
        <w:trPr>
          <w:trHeight w:val="220"/>
        </w:trPr>
        <w:tc>
          <w:tcPr>
            <w:tcW w:w="4060" w:type="dxa"/>
            <w:vAlign w:val="bottom"/>
            <w:tcBorders>
              <w:bottom w:val="single" w:sz="8" w:color="auto"/>
            </w:tcBorders>
            <w:shd w:val="clear" w:color="auto" w:fill="D8D8D8"/>
          </w:tcPr>
          <w:p>
            <w:pPr>
              <w:spacing w:after="0"/>
              <w:rPr>
                <w:sz w:val="20"/>
                <w:szCs w:val="20"/>
                <w:color w:val="auto"/>
              </w:rPr>
            </w:pPr>
            <w:r>
              <w:rPr>
                <w:rFonts w:ascii="Arial" w:cs="Arial" w:eastAsia="Arial" w:hAnsi="Arial"/>
                <w:sz w:val="16"/>
                <w:szCs w:val="16"/>
                <w:b w:val="1"/>
                <w:bCs w:val="1"/>
                <w:i w:val="1"/>
                <w:iCs w:val="1"/>
                <w:color w:val="auto"/>
              </w:rPr>
              <w:t>Total:</w:t>
            </w:r>
          </w:p>
        </w:tc>
        <w:tc>
          <w:tcPr>
            <w:tcW w:w="1560" w:type="dxa"/>
            <w:vAlign w:val="bottom"/>
            <w:tcBorders>
              <w:bottom w:val="single" w:sz="8" w:color="auto"/>
            </w:tcBorders>
            <w:shd w:val="clear" w:color="auto" w:fill="D8D8D8"/>
          </w:tcPr>
          <w:p>
            <w:pPr>
              <w:ind w:left="1180"/>
              <w:spacing w:after="0"/>
              <w:rPr>
                <w:sz w:val="20"/>
                <w:szCs w:val="20"/>
                <w:color w:val="auto"/>
              </w:rPr>
            </w:pPr>
            <w:r>
              <w:rPr>
                <w:rFonts w:ascii="Arial" w:cs="Arial" w:eastAsia="Arial" w:hAnsi="Arial"/>
                <w:sz w:val="16"/>
                <w:szCs w:val="16"/>
                <w:color w:val="auto"/>
              </w:rPr>
              <w:t>N/A</w:t>
            </w:r>
          </w:p>
        </w:tc>
        <w:tc>
          <w:tcPr>
            <w:tcW w:w="200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6"/>
                <w:szCs w:val="16"/>
                <w:color w:val="auto"/>
              </w:rPr>
              <w:t>17,211,077</w:t>
            </w:r>
          </w:p>
        </w:tc>
        <w:tc>
          <w:tcPr>
            <w:tcW w:w="1520" w:type="dxa"/>
            <w:vAlign w:val="bottom"/>
            <w:tcBorders>
              <w:bottom w:val="single" w:sz="8" w:color="auto"/>
            </w:tcBorders>
            <w:shd w:val="clear" w:color="auto" w:fill="D8D8D8"/>
          </w:tcPr>
          <w:p>
            <w:pPr>
              <w:jc w:val="right"/>
              <w:ind w:right="39"/>
              <w:spacing w:after="0"/>
              <w:rPr>
                <w:sz w:val="20"/>
                <w:szCs w:val="20"/>
                <w:color w:val="auto"/>
              </w:rPr>
            </w:pPr>
            <w:r>
              <w:rPr>
                <w:rFonts w:ascii="Arial" w:cs="Arial" w:eastAsia="Arial" w:hAnsi="Arial"/>
                <w:sz w:val="16"/>
                <w:szCs w:val="16"/>
                <w:color w:val="auto"/>
              </w:rPr>
              <w:t>3,506,260</w:t>
            </w:r>
          </w:p>
        </w:tc>
        <w:tc>
          <w:tcPr>
            <w:tcW w:w="1860" w:type="dxa"/>
            <w:vAlign w:val="bottom"/>
            <w:tcBorders>
              <w:bottom w:val="single" w:sz="8" w:color="auto"/>
            </w:tcBorders>
            <w:shd w:val="clear" w:color="auto" w:fill="D8D8D8"/>
          </w:tcPr>
          <w:p>
            <w:pPr>
              <w:jc w:val="right"/>
              <w:ind w:right="19"/>
              <w:spacing w:after="0"/>
              <w:rPr>
                <w:sz w:val="20"/>
                <w:szCs w:val="20"/>
                <w:color w:val="auto"/>
              </w:rPr>
            </w:pPr>
            <w:r>
              <w:rPr>
                <w:rFonts w:ascii="Arial" w:cs="Arial" w:eastAsia="Arial" w:hAnsi="Arial"/>
                <w:sz w:val="16"/>
                <w:szCs w:val="16"/>
                <w:color w:val="auto"/>
              </w:rPr>
              <w:t>16,225,360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2720340</wp:posOffset>
            </wp:positionH>
            <wp:positionV relativeFrom="paragraph">
              <wp:posOffset>-136525</wp:posOffset>
            </wp:positionV>
            <wp:extent cx="440309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403090" cy="8255"/>
                    </a:xfrm>
                    <a:prstGeom prst="rect">
                      <a:avLst/>
                    </a:prstGeom>
                    <a:noFill/>
                  </pic:spPr>
                </pic:pic>
              </a:graphicData>
            </a:graphic>
          </wp:anchor>
        </w:drawing>
        <w:drawing>
          <wp:anchor simplePos="0" relativeHeight="251657728" behindDoc="1" locked="0" layoutInCell="0" allowOverlap="1">
            <wp:simplePos x="0" y="0"/>
            <wp:positionH relativeFrom="column">
              <wp:posOffset>2720340</wp:posOffset>
            </wp:positionH>
            <wp:positionV relativeFrom="paragraph">
              <wp:posOffset>-264795</wp:posOffset>
            </wp:positionV>
            <wp:extent cx="440309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403090" cy="8255"/>
                    </a:xfrm>
                    <a:prstGeom prst="rect">
                      <a:avLst/>
                    </a:prstGeom>
                    <a:noFill/>
                  </pic:spPr>
                </pic:pic>
              </a:graphicData>
            </a:graphic>
          </wp:anchor>
        </w:drawing>
        <w:drawing>
          <wp:anchor simplePos="0" relativeHeight="251657728" behindDoc="1" locked="0" layoutInCell="0" allowOverlap="1">
            <wp:simplePos x="0" y="0"/>
            <wp:positionH relativeFrom="column">
              <wp:posOffset>2720340</wp:posOffset>
            </wp:positionH>
            <wp:positionV relativeFrom="paragraph">
              <wp:posOffset>-393700</wp:posOffset>
            </wp:positionV>
            <wp:extent cx="440309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403090" cy="8255"/>
                    </a:xfrm>
                    <a:prstGeom prst="rect">
                      <a:avLst/>
                    </a:prstGeom>
                    <a:noFill/>
                  </pic:spPr>
                </pic:pic>
              </a:graphicData>
            </a:graphic>
          </wp:anchor>
        </w:drawing>
        <w:drawing>
          <wp:anchor simplePos="0" relativeHeight="251657728" behindDoc="1" locked="0" layoutInCell="0" allowOverlap="1">
            <wp:simplePos x="0" y="0"/>
            <wp:positionH relativeFrom="column">
              <wp:posOffset>2720340</wp:posOffset>
            </wp:positionH>
            <wp:positionV relativeFrom="paragraph">
              <wp:posOffset>-521970</wp:posOffset>
            </wp:positionV>
            <wp:extent cx="440309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403090" cy="8255"/>
                    </a:xfrm>
                    <a:prstGeom prst="rect">
                      <a:avLst/>
                    </a:prstGeom>
                    <a:noFill/>
                  </pic:spPr>
                </pic:pic>
              </a:graphicData>
            </a:graphic>
          </wp:anchor>
        </w:drawing>
        <w:drawing>
          <wp:anchor simplePos="0" relativeHeight="251657728" behindDoc="1" locked="0" layoutInCell="0" allowOverlap="1">
            <wp:simplePos x="0" y="0"/>
            <wp:positionH relativeFrom="column">
              <wp:posOffset>2720340</wp:posOffset>
            </wp:positionH>
            <wp:positionV relativeFrom="paragraph">
              <wp:posOffset>-650240</wp:posOffset>
            </wp:positionV>
            <wp:extent cx="440309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403090" cy="8255"/>
                    </a:xfrm>
                    <a:prstGeom prst="rect">
                      <a:avLst/>
                    </a:prstGeom>
                    <a:noFill/>
                  </pic:spPr>
                </pic:pic>
              </a:graphicData>
            </a:graphic>
          </wp:anchor>
        </w:drawing>
        <w:drawing>
          <wp:anchor simplePos="0" relativeHeight="251657728" behindDoc="1" locked="0" layoutInCell="0" allowOverlap="1">
            <wp:simplePos x="0" y="0"/>
            <wp:positionH relativeFrom="column">
              <wp:posOffset>2720340</wp:posOffset>
            </wp:positionH>
            <wp:positionV relativeFrom="paragraph">
              <wp:posOffset>-779145</wp:posOffset>
            </wp:positionV>
            <wp:extent cx="440309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403090" cy="8255"/>
                    </a:xfrm>
                    <a:prstGeom prst="rect">
                      <a:avLst/>
                    </a:prstGeom>
                    <a:noFill/>
                  </pic:spPr>
                </pic:pic>
              </a:graphicData>
            </a:graphic>
          </wp:anchor>
        </w:drawing>
        <w:drawing>
          <wp:anchor simplePos="0" relativeHeight="251657728" behindDoc="1" locked="0" layoutInCell="0" allowOverlap="1">
            <wp:simplePos x="0" y="0"/>
            <wp:positionH relativeFrom="column">
              <wp:posOffset>2720340</wp:posOffset>
            </wp:positionH>
            <wp:positionV relativeFrom="paragraph">
              <wp:posOffset>-907415</wp:posOffset>
            </wp:positionV>
            <wp:extent cx="440309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403090" cy="8255"/>
                    </a:xfrm>
                    <a:prstGeom prst="rect">
                      <a:avLst/>
                    </a:prstGeom>
                    <a:noFill/>
                  </pic:spPr>
                </pic:pic>
              </a:graphicData>
            </a:graphic>
          </wp:anchor>
        </w:drawing>
        <w:drawing>
          <wp:anchor simplePos="0" relativeHeight="251657728" behindDoc="1" locked="0" layoutInCell="0" allowOverlap="1">
            <wp:simplePos x="0" y="0"/>
            <wp:positionH relativeFrom="column">
              <wp:posOffset>2720340</wp:posOffset>
            </wp:positionH>
            <wp:positionV relativeFrom="paragraph">
              <wp:posOffset>-1035685</wp:posOffset>
            </wp:positionV>
            <wp:extent cx="440309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4403090" cy="8255"/>
                    </a:xfrm>
                    <a:prstGeom prst="rect">
                      <a:avLst/>
                    </a:prstGeom>
                    <a:noFill/>
                  </pic:spPr>
                </pic:pic>
              </a:graphicData>
            </a:graphic>
          </wp:anchor>
        </w:drawing>
        <w:drawing>
          <wp:anchor simplePos="0" relativeHeight="251657728" behindDoc="1" locked="0" layoutInCell="0" allowOverlap="1">
            <wp:simplePos x="0" y="0"/>
            <wp:positionH relativeFrom="column">
              <wp:posOffset>2720340</wp:posOffset>
            </wp:positionH>
            <wp:positionV relativeFrom="paragraph">
              <wp:posOffset>-1164590</wp:posOffset>
            </wp:positionV>
            <wp:extent cx="440309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403090" cy="8255"/>
                    </a:xfrm>
                    <a:prstGeom prst="rect">
                      <a:avLst/>
                    </a:prstGeom>
                    <a:noFill/>
                  </pic:spPr>
                </pic:pic>
              </a:graphicData>
            </a:graphic>
          </wp:anchor>
        </w:drawing>
        <w:drawing>
          <wp:anchor simplePos="0" relativeHeight="251657728" behindDoc="1" locked="0" layoutInCell="0" allowOverlap="1">
            <wp:simplePos x="0" y="0"/>
            <wp:positionH relativeFrom="column">
              <wp:posOffset>2720340</wp:posOffset>
            </wp:positionH>
            <wp:positionV relativeFrom="paragraph">
              <wp:posOffset>-2774950</wp:posOffset>
            </wp:positionV>
            <wp:extent cx="440309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403090" cy="8255"/>
                    </a:xfrm>
                    <a:prstGeom prst="rect">
                      <a:avLst/>
                    </a:prstGeom>
                    <a:noFill/>
                  </pic:spPr>
                </pic:pic>
              </a:graphicData>
            </a:graphic>
          </wp:anchor>
        </w:drawing>
        <w:drawing>
          <wp:anchor simplePos="0" relativeHeight="251657728" behindDoc="1" locked="0" layoutInCell="0" allowOverlap="1">
            <wp:simplePos x="0" y="0"/>
            <wp:positionH relativeFrom="column">
              <wp:posOffset>2720340</wp:posOffset>
            </wp:positionH>
            <wp:positionV relativeFrom="paragraph">
              <wp:posOffset>-2903220</wp:posOffset>
            </wp:positionV>
            <wp:extent cx="440309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4403090" cy="8255"/>
                    </a:xfrm>
                    <a:prstGeom prst="rect">
                      <a:avLst/>
                    </a:prstGeom>
                    <a:noFill/>
                  </pic:spPr>
                </pic:pic>
              </a:graphicData>
            </a:graphic>
          </wp:anchor>
        </w:drawing>
        <w:drawing>
          <wp:anchor simplePos="0" relativeHeight="251657728" behindDoc="1" locked="0" layoutInCell="0" allowOverlap="1">
            <wp:simplePos x="0" y="0"/>
            <wp:positionH relativeFrom="column">
              <wp:posOffset>2720340</wp:posOffset>
            </wp:positionH>
            <wp:positionV relativeFrom="paragraph">
              <wp:posOffset>-3031490</wp:posOffset>
            </wp:positionV>
            <wp:extent cx="440309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4403090" cy="8255"/>
                    </a:xfrm>
                    <a:prstGeom prst="rect">
                      <a:avLst/>
                    </a:prstGeom>
                    <a:noFill/>
                  </pic:spPr>
                </pic:pic>
              </a:graphicData>
            </a:graphic>
          </wp:anchor>
        </w:drawing>
        <w:drawing>
          <wp:anchor simplePos="0" relativeHeight="251657728" behindDoc="1" locked="0" layoutInCell="0" allowOverlap="1">
            <wp:simplePos x="0" y="0"/>
            <wp:positionH relativeFrom="column">
              <wp:posOffset>2720340</wp:posOffset>
            </wp:positionH>
            <wp:positionV relativeFrom="paragraph">
              <wp:posOffset>-3160395</wp:posOffset>
            </wp:positionV>
            <wp:extent cx="440309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4403090" cy="8255"/>
                    </a:xfrm>
                    <a:prstGeom prst="rect">
                      <a:avLst/>
                    </a:prstGeom>
                    <a:noFill/>
                  </pic:spPr>
                </pic:pic>
              </a:graphicData>
            </a:graphic>
          </wp:anchor>
        </w:drawing>
        <w:drawing>
          <wp:anchor simplePos="0" relativeHeight="251657728" behindDoc="1" locked="0" layoutInCell="0" allowOverlap="1">
            <wp:simplePos x="0" y="0"/>
            <wp:positionH relativeFrom="column">
              <wp:posOffset>2720340</wp:posOffset>
            </wp:positionH>
            <wp:positionV relativeFrom="paragraph">
              <wp:posOffset>-3288665</wp:posOffset>
            </wp:positionV>
            <wp:extent cx="440309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403090" cy="8255"/>
                    </a:xfrm>
                    <a:prstGeom prst="rect">
                      <a:avLst/>
                    </a:prstGeom>
                    <a:noFill/>
                  </pic:spPr>
                </pic:pic>
              </a:graphicData>
            </a:graphic>
          </wp:anchor>
        </w:drawing>
        <w:drawing>
          <wp:anchor simplePos="0" relativeHeight="251657728" behindDoc="1" locked="0" layoutInCell="0" allowOverlap="1">
            <wp:simplePos x="0" y="0"/>
            <wp:positionH relativeFrom="column">
              <wp:posOffset>2720340</wp:posOffset>
            </wp:positionH>
            <wp:positionV relativeFrom="paragraph">
              <wp:posOffset>-3416935</wp:posOffset>
            </wp:positionV>
            <wp:extent cx="440309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4403090" cy="8255"/>
                    </a:xfrm>
                    <a:prstGeom prst="rect">
                      <a:avLst/>
                    </a:prstGeom>
                    <a:noFill/>
                  </pic:spPr>
                </pic:pic>
              </a:graphicData>
            </a:graphic>
          </wp:anchor>
        </w:drawing>
        <w:drawing>
          <wp:anchor simplePos="0" relativeHeight="251657728" behindDoc="1" locked="0" layoutInCell="0" allowOverlap="1">
            <wp:simplePos x="0" y="0"/>
            <wp:positionH relativeFrom="column">
              <wp:posOffset>2720340</wp:posOffset>
            </wp:positionH>
            <wp:positionV relativeFrom="paragraph">
              <wp:posOffset>-3545840</wp:posOffset>
            </wp:positionV>
            <wp:extent cx="440309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4403090" cy="8255"/>
                    </a:xfrm>
                    <a:prstGeom prst="rect">
                      <a:avLst/>
                    </a:prstGeom>
                    <a:noFill/>
                  </pic:spPr>
                </pic:pic>
              </a:graphicData>
            </a:graphic>
          </wp:anchor>
        </w:drawing>
        <w:drawing>
          <wp:anchor simplePos="0" relativeHeight="251657728" behindDoc="1" locked="0" layoutInCell="0" allowOverlap="1">
            <wp:simplePos x="0" y="0"/>
            <wp:positionH relativeFrom="column">
              <wp:posOffset>2720340</wp:posOffset>
            </wp:positionH>
            <wp:positionV relativeFrom="paragraph">
              <wp:posOffset>-3674110</wp:posOffset>
            </wp:positionV>
            <wp:extent cx="440309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4403090" cy="8255"/>
                    </a:xfrm>
                    <a:prstGeom prst="rect">
                      <a:avLst/>
                    </a:prstGeom>
                    <a:noFill/>
                  </pic:spPr>
                </pic:pic>
              </a:graphicData>
            </a:graphic>
          </wp:anchor>
        </w:drawing>
        <w:drawing>
          <wp:anchor simplePos="0" relativeHeight="251657728" behindDoc="1" locked="0" layoutInCell="0" allowOverlap="1">
            <wp:simplePos x="0" y="0"/>
            <wp:positionH relativeFrom="column">
              <wp:posOffset>2720340</wp:posOffset>
            </wp:positionH>
            <wp:positionV relativeFrom="paragraph">
              <wp:posOffset>-3802380</wp:posOffset>
            </wp:positionV>
            <wp:extent cx="440309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4403090" cy="8255"/>
                    </a:xfrm>
                    <a:prstGeom prst="rect">
                      <a:avLst/>
                    </a:prstGeom>
                    <a:noFill/>
                  </pic:spPr>
                </pic:pic>
              </a:graphicData>
            </a:graphic>
          </wp:anchor>
        </w:drawing>
      </w:r>
    </w:p>
    <w:p>
      <w:pPr>
        <w:spacing w:after="0" w:line="33" w:lineRule="exact"/>
        <w:rPr>
          <w:sz w:val="20"/>
          <w:szCs w:val="20"/>
          <w:color w:val="auto"/>
        </w:rPr>
      </w:pPr>
    </w:p>
    <w:p>
      <w:pPr>
        <w:ind w:left="540" w:right="60" w:hanging="330"/>
        <w:spacing w:after="0" w:line="256" w:lineRule="auto"/>
        <w:tabs>
          <w:tab w:leader="none" w:pos="540" w:val="left"/>
        </w:tabs>
        <w:numPr>
          <w:ilvl w:val="0"/>
          <w:numId w:val="54"/>
        </w:numPr>
        <w:rPr>
          <w:rFonts w:ascii="Arial" w:cs="Arial" w:eastAsia="Arial" w:hAnsi="Arial"/>
          <w:sz w:val="16"/>
          <w:szCs w:val="16"/>
          <w:i w:val="1"/>
          <w:iCs w:val="1"/>
          <w:color w:val="auto"/>
        </w:rPr>
      </w:pPr>
      <w:r>
        <w:rPr>
          <w:rFonts w:ascii="Arial" w:cs="Arial" w:eastAsia="Arial" w:hAnsi="Arial"/>
          <w:sz w:val="16"/>
          <w:szCs w:val="16"/>
          <w:i w:val="1"/>
          <w:iCs w:val="1"/>
          <w:color w:val="auto"/>
        </w:rPr>
        <w:t>Messrs. Livingston and Spurgeon are eligible for retirement under the 2005 Plan and early retirement under the LTIP. Accordingly, we have assumed that each would take early retirement rather than voluntary termination.</w:t>
      </w:r>
    </w:p>
    <w:p>
      <w:pPr>
        <w:spacing w:after="0" w:line="1" w:lineRule="exact"/>
        <w:rPr>
          <w:rFonts w:ascii="Arial" w:cs="Arial" w:eastAsia="Arial" w:hAnsi="Arial"/>
          <w:sz w:val="16"/>
          <w:szCs w:val="16"/>
          <w:i w:val="1"/>
          <w:iCs w:val="1"/>
          <w:color w:val="auto"/>
        </w:rPr>
      </w:pPr>
    </w:p>
    <w:p>
      <w:pPr>
        <w:ind w:left="540" w:right="100" w:hanging="330"/>
        <w:spacing w:after="0" w:line="246" w:lineRule="auto"/>
        <w:tabs>
          <w:tab w:leader="none" w:pos="540" w:val="left"/>
        </w:tabs>
        <w:numPr>
          <w:ilvl w:val="0"/>
          <w:numId w:val="54"/>
        </w:numPr>
        <w:rPr>
          <w:rFonts w:ascii="Arial" w:cs="Arial" w:eastAsia="Arial" w:hAnsi="Arial"/>
          <w:sz w:val="16"/>
          <w:szCs w:val="16"/>
          <w:i w:val="1"/>
          <w:iCs w:val="1"/>
          <w:color w:val="auto"/>
        </w:rPr>
      </w:pPr>
      <w:r>
        <w:rPr>
          <w:rFonts w:ascii="Arial" w:cs="Arial" w:eastAsia="Arial" w:hAnsi="Arial"/>
          <w:sz w:val="16"/>
          <w:szCs w:val="16"/>
          <w:i w:val="1"/>
          <w:iCs w:val="1"/>
          <w:color w:val="auto"/>
        </w:rPr>
        <w:t>Dover anticipates allowing anyone eligible for early retirement under the Rule of 70 to take early retirement in the event of involuntary termination for awards under the LTIP. Accordingly, for Messrs. Livingston and Spurgeon, this column reflects the applicable early retirement treatment of their performance shares, restricted stock units, stock options and SSARs.</w:t>
      </w:r>
    </w:p>
    <w:p>
      <w:pPr>
        <w:ind w:left="540" w:hanging="330"/>
        <w:spacing w:after="0" w:line="253" w:lineRule="auto"/>
        <w:tabs>
          <w:tab w:leader="none" w:pos="540" w:val="left"/>
        </w:tabs>
        <w:numPr>
          <w:ilvl w:val="0"/>
          <w:numId w:val="54"/>
        </w:numPr>
        <w:rPr>
          <w:rFonts w:ascii="Arial" w:cs="Arial" w:eastAsia="Arial" w:hAnsi="Arial"/>
          <w:sz w:val="16"/>
          <w:szCs w:val="16"/>
          <w:i w:val="1"/>
          <w:iCs w:val="1"/>
          <w:color w:val="auto"/>
        </w:rPr>
      </w:pPr>
      <w:r>
        <w:rPr>
          <w:rFonts w:ascii="Arial" w:cs="Arial" w:eastAsia="Arial" w:hAnsi="Arial"/>
          <w:sz w:val="16"/>
          <w:szCs w:val="16"/>
          <w:i w:val="1"/>
          <w:iCs w:val="1"/>
          <w:color w:val="auto"/>
        </w:rPr>
        <w:t>A NEO whose employment is terminated by us for cause will forfeit all outstanding cash and equity awards, whether or not vested or exercisable. The executive will receive a payment of amounts deferred and accrued in the deferred compensation plan but will forfeit benefits under the PRP in accordance with the PRP terms.</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66</w:t>
      </w:r>
    </w:p>
    <w:p>
      <w:pPr>
        <w:sectPr>
          <w:pgSz w:w="11900" w:h="16838" w:orient="portrait"/>
          <w:cols w:equalWidth="0" w:num="1">
            <w:col w:w="11220"/>
          </w:cols>
          <w:pgMar w:left="240" w:top="459" w:right="4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EXECUTIVE COMPENSATION TABLES</w:t>
      </w:r>
    </w:p>
    <w:p>
      <w:pPr>
        <w:spacing w:after="0" w:line="157" w:lineRule="exact"/>
        <w:rPr>
          <w:sz w:val="20"/>
          <w:szCs w:val="20"/>
          <w:color w:val="auto"/>
        </w:rPr>
      </w:pPr>
    </w:p>
    <w:p>
      <w:pPr>
        <w:ind w:left="540" w:right="60" w:hanging="330"/>
        <w:spacing w:after="0" w:line="251" w:lineRule="auto"/>
        <w:tabs>
          <w:tab w:leader="none" w:pos="540" w:val="left"/>
        </w:tabs>
        <w:numPr>
          <w:ilvl w:val="0"/>
          <w:numId w:val="55"/>
        </w:numPr>
        <w:rPr>
          <w:rFonts w:ascii="Arial" w:cs="Arial" w:eastAsia="Arial" w:hAnsi="Arial"/>
          <w:sz w:val="16"/>
          <w:szCs w:val="16"/>
          <w:i w:val="1"/>
          <w:iCs w:val="1"/>
          <w:color w:val="auto"/>
        </w:rPr>
      </w:pPr>
      <w:r>
        <w:rPr>
          <w:rFonts w:ascii="Arial" w:cs="Arial" w:eastAsia="Arial" w:hAnsi="Arial"/>
          <w:sz w:val="16"/>
          <w:szCs w:val="16"/>
          <w:i w:val="1"/>
          <w:iCs w:val="1"/>
          <w:color w:val="auto"/>
        </w:rPr>
        <w:t>Under the 2005 Plan and LTIP, in respect of awards granted prior to August 6, 2014, a NEO who has (i) at least 10 years of service with a Dover company and the sum of his or her age and years of service on the date of termination equals at least 65 or (ii) at least 15 years of service with a Dover company and the sum of his or her age and years of service on the date of termination equals at least 70, may take early retirement under the Rule of 65 or Rule of 70, respectively provided the executive complies with applicable notice and non-competition provisions.</w:t>
      </w:r>
    </w:p>
    <w:p>
      <w:pPr>
        <w:spacing w:after="0" w:line="1" w:lineRule="exact"/>
        <w:rPr>
          <w:rFonts w:ascii="Arial" w:cs="Arial" w:eastAsia="Arial" w:hAnsi="Arial"/>
          <w:sz w:val="16"/>
          <w:szCs w:val="16"/>
          <w:i w:val="1"/>
          <w:iCs w:val="1"/>
          <w:color w:val="auto"/>
        </w:rPr>
      </w:pPr>
    </w:p>
    <w:p>
      <w:pPr>
        <w:ind w:left="540" w:hanging="330"/>
        <w:spacing w:after="0" w:line="246" w:lineRule="auto"/>
        <w:tabs>
          <w:tab w:leader="none" w:pos="540" w:val="left"/>
        </w:tabs>
        <w:numPr>
          <w:ilvl w:val="0"/>
          <w:numId w:val="55"/>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12 month salary continuation plus an amount equal to the pro rata portion of the annual bonus paid for the prior year, subject to the Compensation Committee’s discretion to reduce the payment amount, or in the case of Mr. Cerepak a pro rata portion of the target bonus for the prior year.</w:t>
      </w:r>
    </w:p>
    <w:p>
      <w:pPr>
        <w:ind w:left="540" w:right="60" w:hanging="330"/>
        <w:spacing w:after="0" w:line="246" w:lineRule="auto"/>
        <w:tabs>
          <w:tab w:leader="none" w:pos="540" w:val="left"/>
        </w:tabs>
        <w:numPr>
          <w:ilvl w:val="0"/>
          <w:numId w:val="55"/>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payout of the performance share award for the performance period 2014-2016. Also includes for those NEOs eligible for early retirement under the Rule of 70, assumed pro rata payouts of the performance share awards for the three-year performance period 2015-2017 at the actual performance level through December 31, 2017. This calculation assumes that the Compensation Committee approves payout for the performance periods for the NEO.</w:t>
      </w:r>
    </w:p>
    <w:p>
      <w:pPr>
        <w:spacing w:after="0" w:line="1" w:lineRule="exact"/>
        <w:rPr>
          <w:rFonts w:ascii="Arial" w:cs="Arial" w:eastAsia="Arial" w:hAnsi="Arial"/>
          <w:sz w:val="16"/>
          <w:szCs w:val="16"/>
          <w:i w:val="1"/>
          <w:iCs w:val="1"/>
          <w:color w:val="auto"/>
        </w:rPr>
      </w:pPr>
    </w:p>
    <w:p>
      <w:pPr>
        <w:ind w:left="540" w:right="100" w:hanging="330"/>
        <w:spacing w:after="0" w:line="246" w:lineRule="auto"/>
        <w:tabs>
          <w:tab w:leader="none" w:pos="540" w:val="left"/>
        </w:tabs>
        <w:numPr>
          <w:ilvl w:val="0"/>
          <w:numId w:val="55"/>
        </w:numPr>
        <w:rPr>
          <w:rFonts w:ascii="Arial" w:cs="Arial" w:eastAsia="Arial" w:hAnsi="Arial"/>
          <w:sz w:val="16"/>
          <w:szCs w:val="16"/>
          <w:i w:val="1"/>
          <w:iCs w:val="1"/>
          <w:color w:val="auto"/>
        </w:rPr>
      </w:pPr>
      <w:r>
        <w:rPr>
          <w:rFonts w:ascii="Arial" w:cs="Arial" w:eastAsia="Arial" w:hAnsi="Arial"/>
          <w:sz w:val="16"/>
          <w:szCs w:val="16"/>
          <w:i w:val="1"/>
          <w:iCs w:val="1"/>
          <w:color w:val="auto"/>
        </w:rPr>
        <w:t>Reflects the value of vested options and SSARs as of December 31, 2017, which is the difference between the closing price of $100.99 per share of our common stock on December 31, 2017, and the exercise price of each option and SSAR award multiplied by the number of shares covered by such award. Also includes for the NEOs eligible for early retirement under the Rule of 70, the value of unvested options and SSARs that would vest within 36 months following the executive’s retirement valued in the same manner.</w:t>
      </w:r>
    </w:p>
    <w:p>
      <w:pPr>
        <w:spacing w:after="0" w:line="1" w:lineRule="exact"/>
        <w:rPr>
          <w:rFonts w:ascii="Arial" w:cs="Arial" w:eastAsia="Arial" w:hAnsi="Arial"/>
          <w:sz w:val="16"/>
          <w:szCs w:val="16"/>
          <w:i w:val="1"/>
          <w:iCs w:val="1"/>
          <w:color w:val="auto"/>
        </w:rPr>
      </w:pPr>
    </w:p>
    <w:p>
      <w:pPr>
        <w:ind w:left="540" w:right="160" w:hanging="330"/>
        <w:spacing w:after="0" w:line="246" w:lineRule="auto"/>
        <w:tabs>
          <w:tab w:leader="none" w:pos="540" w:val="left"/>
        </w:tabs>
        <w:numPr>
          <w:ilvl w:val="0"/>
          <w:numId w:val="55"/>
        </w:numPr>
        <w:rPr>
          <w:rFonts w:ascii="Arial" w:cs="Arial" w:eastAsia="Arial" w:hAnsi="Arial"/>
          <w:sz w:val="16"/>
          <w:szCs w:val="16"/>
          <w:i w:val="1"/>
          <w:iCs w:val="1"/>
          <w:color w:val="auto"/>
        </w:rPr>
      </w:pPr>
      <w:r>
        <w:rPr>
          <w:rFonts w:ascii="Arial" w:cs="Arial" w:eastAsia="Arial" w:hAnsi="Arial"/>
          <w:sz w:val="16"/>
          <w:szCs w:val="16"/>
          <w:i w:val="1"/>
          <w:iCs w:val="1"/>
          <w:color w:val="auto"/>
        </w:rPr>
        <w:t>For those NEOs eligible for early retirement under the Rule of 70, reflects the value as of December 31, 2017 of unvested restricted stock units that will vest within 36 months.</w:t>
      </w:r>
    </w:p>
    <w:p>
      <w:pPr>
        <w:ind w:left="540" w:hanging="330"/>
        <w:spacing w:after="0"/>
        <w:tabs>
          <w:tab w:leader="none" w:pos="540" w:val="left"/>
        </w:tabs>
        <w:numPr>
          <w:ilvl w:val="0"/>
          <w:numId w:val="55"/>
        </w:numPr>
        <w:rPr>
          <w:rFonts w:ascii="Arial" w:cs="Arial" w:eastAsia="Arial" w:hAnsi="Arial"/>
          <w:sz w:val="16"/>
          <w:szCs w:val="16"/>
          <w:i w:val="1"/>
          <w:iCs w:val="1"/>
          <w:color w:val="auto"/>
        </w:rPr>
      </w:pPr>
      <w:r>
        <w:rPr>
          <w:rFonts w:ascii="Arial" w:cs="Arial" w:eastAsia="Arial" w:hAnsi="Arial"/>
          <w:sz w:val="16"/>
          <w:szCs w:val="16"/>
          <w:i w:val="1"/>
          <w:iCs w:val="1"/>
          <w:color w:val="auto"/>
        </w:rPr>
        <w:t>Reflects benefits accrued under the PRP and pension plan as of December 31, 2017.</w:t>
      </w:r>
    </w:p>
    <w:p>
      <w:pPr>
        <w:spacing w:after="0" w:line="4" w:lineRule="exact"/>
        <w:rPr>
          <w:rFonts w:ascii="Arial" w:cs="Arial" w:eastAsia="Arial" w:hAnsi="Arial"/>
          <w:sz w:val="16"/>
          <w:szCs w:val="16"/>
          <w:i w:val="1"/>
          <w:iCs w:val="1"/>
          <w:color w:val="auto"/>
        </w:rPr>
      </w:pPr>
    </w:p>
    <w:p>
      <w:pPr>
        <w:ind w:left="540" w:right="800" w:hanging="330"/>
        <w:spacing w:after="0" w:line="246" w:lineRule="auto"/>
        <w:tabs>
          <w:tab w:leader="none" w:pos="540" w:val="left"/>
        </w:tabs>
        <w:numPr>
          <w:ilvl w:val="0"/>
          <w:numId w:val="55"/>
        </w:numPr>
        <w:rPr>
          <w:rFonts w:ascii="Arial" w:cs="Arial" w:eastAsia="Arial" w:hAnsi="Arial"/>
          <w:sz w:val="16"/>
          <w:szCs w:val="16"/>
          <w:i w:val="1"/>
          <w:iCs w:val="1"/>
          <w:color w:val="auto"/>
        </w:rPr>
      </w:pPr>
      <w:r>
        <w:rPr>
          <w:rFonts w:ascii="Arial" w:cs="Arial" w:eastAsia="Arial" w:hAnsi="Arial"/>
          <w:sz w:val="16"/>
          <w:szCs w:val="16"/>
          <w:i w:val="1"/>
          <w:iCs w:val="1"/>
          <w:color w:val="auto"/>
        </w:rPr>
        <w:t>These amounts reflect compensation deferred by the executive and earnings accrued thereon under the deferred compensation plan as of December 31, 2017; no increase in such benefits would result from the termination event.</w:t>
      </w:r>
    </w:p>
    <w:p>
      <w:pPr>
        <w:ind w:left="540" w:right="100" w:hanging="330"/>
        <w:spacing w:after="0" w:line="253" w:lineRule="auto"/>
        <w:tabs>
          <w:tab w:leader="none" w:pos="540" w:val="left"/>
        </w:tabs>
        <w:numPr>
          <w:ilvl w:val="0"/>
          <w:numId w:val="55"/>
        </w:numPr>
        <w:rPr>
          <w:rFonts w:ascii="Arial" w:cs="Arial" w:eastAsia="Arial" w:hAnsi="Arial"/>
          <w:sz w:val="16"/>
          <w:szCs w:val="16"/>
          <w:i w:val="1"/>
          <w:iCs w:val="1"/>
          <w:color w:val="auto"/>
        </w:rPr>
      </w:pPr>
      <w:r>
        <w:rPr>
          <w:rFonts w:ascii="Arial" w:cs="Arial" w:eastAsia="Arial" w:hAnsi="Arial"/>
          <w:sz w:val="16"/>
          <w:szCs w:val="16"/>
          <w:i w:val="1"/>
          <w:iCs w:val="1"/>
          <w:color w:val="auto"/>
        </w:rPr>
        <w:t>Under the severance plan, an executive is entitled to a monthly amount equal to the then cost of COBRA health continuation coverage based on the level of health care coverage in effect on the termination date, if any, for the lesser of 12 months or the period that the executive receives COBRA benefits.</w:t>
      </w:r>
    </w:p>
    <w:p>
      <w:pPr>
        <w:spacing w:after="0" w:line="166"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32406B"/>
        </w:rPr>
        <w:t>Potential Payments in Connection with a Change-in-Control (Without Termination)</w:t>
      </w:r>
    </w:p>
    <w:p>
      <w:pPr>
        <w:spacing w:after="0" w:line="105" w:lineRule="exact"/>
        <w:rPr>
          <w:sz w:val="20"/>
          <w:szCs w:val="20"/>
          <w:color w:val="auto"/>
        </w:rPr>
      </w:pPr>
    </w:p>
    <w:p>
      <w:pPr>
        <w:ind w:left="220" w:right="140"/>
        <w:spacing w:after="0" w:line="250" w:lineRule="auto"/>
        <w:rPr>
          <w:sz w:val="20"/>
          <w:szCs w:val="20"/>
          <w:color w:val="auto"/>
        </w:rPr>
      </w:pPr>
      <w:r>
        <w:rPr>
          <w:rFonts w:ascii="Arial" w:cs="Arial" w:eastAsia="Arial" w:hAnsi="Arial"/>
          <w:sz w:val="16"/>
          <w:szCs w:val="16"/>
          <w:color w:val="auto"/>
        </w:rPr>
        <w:t>As discussed below, the payment of severance benefits following a change-in-control is subject to a double-trigger —that is, such benefits are payable only upon certain specified termination events following a change-in-control. However, rights of an executive under the 2005 Plan, the LTIP, the deferred compensation plan, the pension plan, the PRP and other incentive and benefit plans are governed by the terms of those plans and typically are effected by the change-in-control event itself, even if the executive continues to be employed by us or a successor company following the change-in-control.</w:t>
      </w:r>
    </w:p>
    <w:p>
      <w:pPr>
        <w:spacing w:after="0" w:line="164" w:lineRule="exact"/>
        <w:rPr>
          <w:sz w:val="20"/>
          <w:szCs w:val="20"/>
          <w:color w:val="auto"/>
        </w:rPr>
      </w:pPr>
    </w:p>
    <w:p>
      <w:pPr>
        <w:ind w:left="220" w:right="60"/>
        <w:spacing w:after="0" w:line="248" w:lineRule="auto"/>
        <w:rPr>
          <w:sz w:val="20"/>
          <w:szCs w:val="20"/>
          <w:color w:val="auto"/>
        </w:rPr>
      </w:pPr>
      <w:r>
        <w:rPr>
          <w:rFonts w:ascii="Arial" w:cs="Arial" w:eastAsia="Arial" w:hAnsi="Arial"/>
          <w:sz w:val="16"/>
          <w:szCs w:val="16"/>
          <w:color w:val="auto"/>
        </w:rPr>
        <w:t>All equity and cash performance awards outstanding as of December 31, 2017 were granted under the 2005 Plan or the LTIP. Under the 2005 Plan, upon a change-in-control, all outstanding options and SSARs will immediately become exercisable in accordance with the terms of the appropriate stock option or SSAR agreement. All outstanding cash performance awards and performance share awards immediately vest and become immediately due and payable. The performance periods of all outstanding cash performance awards and performance share awards terminate on the last day of the month prior to the month in which the change-in-control occurs. The participant is entitled to a payment, the amount of which is determined in accordance with the plan and the relevant cash performance award or performance share award agreement, which is then prorated based on the portion of the performance period that the participant completed prior to the change-in-control.</w:t>
      </w:r>
    </w:p>
    <w:p>
      <w:pPr>
        <w:spacing w:after="0" w:line="12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67</w:t>
      </w:r>
    </w:p>
    <w:p>
      <w:pPr>
        <w:sectPr>
          <w:pgSz w:w="11900" w:h="16838" w:orient="portrait"/>
          <w:cols w:equalWidth="0" w:num="1">
            <w:col w:w="11220"/>
          </w:cols>
          <w:pgMar w:left="240" w:top="459" w:right="4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EXECUTIVE COMPENSATION TABLES</w:t>
      </w:r>
    </w:p>
    <w:p>
      <w:pPr>
        <w:spacing w:after="0" w:line="173" w:lineRule="exact"/>
        <w:rPr>
          <w:sz w:val="20"/>
          <w:szCs w:val="20"/>
          <w:color w:val="auto"/>
        </w:rPr>
      </w:pPr>
    </w:p>
    <w:p>
      <w:pPr>
        <w:ind w:left="220" w:right="100"/>
        <w:spacing w:after="0" w:line="250" w:lineRule="auto"/>
        <w:rPr>
          <w:sz w:val="20"/>
          <w:szCs w:val="20"/>
          <w:color w:val="auto"/>
        </w:rPr>
      </w:pPr>
      <w:r>
        <w:rPr>
          <w:rFonts w:ascii="Arial" w:cs="Arial" w:eastAsia="Arial" w:hAnsi="Arial"/>
          <w:sz w:val="16"/>
          <w:szCs w:val="16"/>
          <w:color w:val="auto"/>
        </w:rPr>
        <w:t>Under the LTIP, upon a change in control of Dover (as defined in the LTIP) and if, within 18 months following the date of the change in control, the participant is either involuntarily terminated other than for cause, death or disability, such that the participant is no longer employed by a Dover company or an event or condition that constitutes “good reason” under the LTIP occurs, and the participant subsequently resigns for good reason within applicable time limits and other applicable requirements under the LTIP:</w:t>
      </w:r>
    </w:p>
    <w:p>
      <w:pPr>
        <w:spacing w:after="0" w:line="205" w:lineRule="exact"/>
        <w:rPr>
          <w:sz w:val="20"/>
          <w:szCs w:val="20"/>
          <w:color w:val="auto"/>
        </w:rPr>
      </w:pPr>
    </w:p>
    <w:p>
      <w:pPr>
        <w:ind w:left="860" w:right="300" w:hanging="326"/>
        <w:spacing w:after="0" w:line="260" w:lineRule="auto"/>
        <w:tabs>
          <w:tab w:leader="none" w:pos="8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All options and SSARs immediately vest upon the date of termination and become exercisable in accordance with the terms of the applicable award agreement;</w:t>
      </w:r>
    </w:p>
    <w:p>
      <w:pPr>
        <w:spacing w:after="0" w:line="60" w:lineRule="exact"/>
        <w:rPr>
          <w:rFonts w:ascii="Arial" w:cs="Arial" w:eastAsia="Arial" w:hAnsi="Arial"/>
          <w:sz w:val="16"/>
          <w:szCs w:val="16"/>
          <w:color w:val="auto"/>
        </w:rPr>
      </w:pPr>
    </w:p>
    <w:p>
      <w:pPr>
        <w:ind w:left="860" w:right="420" w:hanging="326"/>
        <w:spacing w:after="0" w:line="260" w:lineRule="auto"/>
        <w:tabs>
          <w:tab w:leader="none" w:pos="8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All cash performance and performance share awards will be deemed to have been earned “at target” as if the performance target had been achieved and such awards will immediately vest and become immediately due and payable on the date of termination; and</w:t>
      </w:r>
    </w:p>
    <w:p>
      <w:pPr>
        <w:spacing w:after="0" w:line="60" w:lineRule="exact"/>
        <w:rPr>
          <w:rFonts w:ascii="Arial" w:cs="Arial" w:eastAsia="Arial" w:hAnsi="Arial"/>
          <w:sz w:val="16"/>
          <w:szCs w:val="16"/>
          <w:color w:val="auto"/>
        </w:rPr>
      </w:pPr>
    </w:p>
    <w:p>
      <w:pPr>
        <w:ind w:left="860" w:right="60" w:hanging="326"/>
        <w:spacing w:after="0" w:line="253" w:lineRule="auto"/>
        <w:tabs>
          <w:tab w:leader="none" w:pos="8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All outstanding restrictions, including any performance targets, on restricted stock or restricted stock unit awards will immediately vest or expire on the date of termination, and be deemed to have been satisfied or earned “at target” as if the performance targets, if any, have been achieved, and the award will become immediately due and payable on the date of termination.</w:t>
      </w:r>
    </w:p>
    <w:p>
      <w:pPr>
        <w:spacing w:after="0" w:line="174" w:lineRule="exact"/>
        <w:rPr>
          <w:sz w:val="20"/>
          <w:szCs w:val="20"/>
          <w:color w:val="auto"/>
        </w:rPr>
      </w:pPr>
    </w:p>
    <w:p>
      <w:pPr>
        <w:ind w:left="220" w:right="40"/>
        <w:spacing w:after="0" w:line="250" w:lineRule="auto"/>
        <w:rPr>
          <w:sz w:val="20"/>
          <w:szCs w:val="20"/>
          <w:color w:val="auto"/>
        </w:rPr>
      </w:pPr>
      <w:r>
        <w:rPr>
          <w:rFonts w:ascii="Arial" w:cs="Arial" w:eastAsia="Arial" w:hAnsi="Arial"/>
          <w:sz w:val="16"/>
          <w:szCs w:val="16"/>
          <w:color w:val="auto"/>
        </w:rPr>
        <w:t>In the event of a change in control in which a participant’s outstanding awards are impaired in value or rights as determined solely in the discretion of Dover’s “continuing directors” (as defined in the plan), are not assumed by a successor corporation or an affiliate thereof, or are not replaced with an award or grant that, solely in the discretion of the Dover’s continuing directors, will preserve the existing value of the outstanding awards at the time of the change in control:</w:t>
      </w:r>
    </w:p>
    <w:p>
      <w:pPr>
        <w:spacing w:after="0" w:line="205" w:lineRule="exact"/>
        <w:rPr>
          <w:sz w:val="20"/>
          <w:szCs w:val="20"/>
          <w:color w:val="auto"/>
        </w:rPr>
      </w:pPr>
    </w:p>
    <w:p>
      <w:pPr>
        <w:ind w:left="860" w:right="300" w:hanging="326"/>
        <w:spacing w:after="0" w:line="260" w:lineRule="auto"/>
        <w:tabs>
          <w:tab w:leader="none" w:pos="8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All outstanding options and SSARs will immediately vest on the date of the change in control and become exercisable in accordance with the terms of the applicable award agreement;</w:t>
      </w:r>
    </w:p>
    <w:p>
      <w:pPr>
        <w:spacing w:after="0" w:line="60" w:lineRule="exact"/>
        <w:rPr>
          <w:rFonts w:ascii="Arial" w:cs="Arial" w:eastAsia="Arial" w:hAnsi="Arial"/>
          <w:sz w:val="16"/>
          <w:szCs w:val="16"/>
          <w:color w:val="auto"/>
        </w:rPr>
      </w:pPr>
    </w:p>
    <w:p>
      <w:pPr>
        <w:ind w:left="860" w:right="100" w:hanging="326"/>
        <w:spacing w:after="0" w:line="249" w:lineRule="auto"/>
        <w:tabs>
          <w:tab w:leader="none" w:pos="8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All outstanding performance share awards and cash performance awards will immediately vest and become due and payable on the date of the change in control as follows: the performance period of each such award will terminate on the last day of the month prior to the month in which the change in control occurs and the participant will be entitled to a cash or stock payment, the amount of which will be determined in accordance with the LTIP and the applicable award agreement prorated based on the number of months in the performance period which have passed prior to the change in control as compared to the total number of months in the original performance period; and</w:t>
      </w:r>
    </w:p>
    <w:p>
      <w:pPr>
        <w:spacing w:after="0" w:line="70" w:lineRule="exact"/>
        <w:rPr>
          <w:rFonts w:ascii="Arial" w:cs="Arial" w:eastAsia="Arial" w:hAnsi="Arial"/>
          <w:sz w:val="16"/>
          <w:szCs w:val="16"/>
          <w:color w:val="auto"/>
        </w:rPr>
      </w:pPr>
    </w:p>
    <w:p>
      <w:pPr>
        <w:ind w:left="860" w:right="180" w:hanging="326"/>
        <w:spacing w:after="0" w:line="250" w:lineRule="auto"/>
        <w:tabs>
          <w:tab w:leader="none" w:pos="8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All outstanding restrictions, including any performance targets with respect to any options, SSARs, restricted stock or restricted stock unit awards will immediately vest or expire on the date of the change in control and be deemed to have been satisfied or earned at “target” as if the performance targets, if any, have been achieved and such awards will become immediately due and payable on the date of the change in control.</w:t>
      </w:r>
    </w:p>
    <w:p>
      <w:pPr>
        <w:spacing w:after="0" w:line="164" w:lineRule="exact"/>
        <w:rPr>
          <w:sz w:val="20"/>
          <w:szCs w:val="20"/>
          <w:color w:val="auto"/>
        </w:rPr>
      </w:pPr>
    </w:p>
    <w:p>
      <w:pPr>
        <w:ind w:left="220" w:right="20"/>
        <w:spacing w:after="0" w:line="250" w:lineRule="auto"/>
        <w:rPr>
          <w:sz w:val="20"/>
          <w:szCs w:val="20"/>
          <w:color w:val="auto"/>
        </w:rPr>
      </w:pPr>
      <w:r>
        <w:rPr>
          <w:rFonts w:ascii="Arial" w:cs="Arial" w:eastAsia="Arial" w:hAnsi="Arial"/>
          <w:sz w:val="16"/>
          <w:szCs w:val="16"/>
          <w:color w:val="auto"/>
        </w:rPr>
        <w:t>Each person granted an award under the 2005 Plan or LTIP is deemed to agree that, upon a tender or exchange offer, proxy solicitation or other action seeking to effect a change-in-control of Dover, he or she will not voluntarily terminate employment with us or any of our companies and, unless terminated by us, will continue to render services to us until the person seeking to effect a change-in-control of our Company has abandoned, terminated or succeeded in such person’s efforts to effect the change-in-control.</w:t>
      </w:r>
    </w:p>
    <w:p>
      <w:pPr>
        <w:spacing w:after="0" w:line="164" w:lineRule="exact"/>
        <w:rPr>
          <w:sz w:val="20"/>
          <w:szCs w:val="20"/>
          <w:color w:val="auto"/>
        </w:rPr>
      </w:pPr>
    </w:p>
    <w:p>
      <w:pPr>
        <w:jc w:val="both"/>
        <w:ind w:left="220" w:right="160"/>
        <w:spacing w:after="0" w:line="253" w:lineRule="auto"/>
        <w:rPr>
          <w:sz w:val="20"/>
          <w:szCs w:val="20"/>
          <w:color w:val="auto"/>
        </w:rPr>
      </w:pPr>
      <w:r>
        <w:rPr>
          <w:rFonts w:ascii="Arial" w:cs="Arial" w:eastAsia="Arial" w:hAnsi="Arial"/>
          <w:sz w:val="16"/>
          <w:szCs w:val="16"/>
          <w:color w:val="auto"/>
        </w:rPr>
        <w:t>Under the PRP, upon a change-in-control, each participant will become entitled to receive the actuarial value of the participant’s benefit accrued through the date of the change-in-control. Under the deferred compensation plan, amounts deferred under the plan will continue to accrue any earnings and will be payable in accordance with the elections made by the executive officer.</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68</w:t>
      </w:r>
    </w:p>
    <w:p>
      <w:pPr>
        <w:sectPr>
          <w:pgSz w:w="11900" w:h="16838" w:orient="portrait"/>
          <w:cols w:equalWidth="0" w:num="1">
            <w:col w:w="11220"/>
          </w:cols>
          <w:pgMar w:left="240" w:top="459" w:right="4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EXECUTIVE COMPENSATION TABLES</w:t>
      </w:r>
    </w:p>
    <w:p>
      <w:pPr>
        <w:spacing w:after="0" w:line="173" w:lineRule="exact"/>
        <w:rPr>
          <w:sz w:val="20"/>
          <w:szCs w:val="20"/>
          <w:color w:val="auto"/>
        </w:rPr>
      </w:pPr>
    </w:p>
    <w:p>
      <w:pPr>
        <w:ind w:left="220" w:right="240"/>
        <w:spacing w:after="0" w:line="260" w:lineRule="auto"/>
        <w:rPr>
          <w:sz w:val="20"/>
          <w:szCs w:val="20"/>
          <w:color w:val="auto"/>
        </w:rPr>
      </w:pPr>
      <w:r>
        <w:rPr>
          <w:rFonts w:ascii="Arial" w:cs="Arial" w:eastAsia="Arial" w:hAnsi="Arial"/>
          <w:sz w:val="16"/>
          <w:szCs w:val="16"/>
          <w:color w:val="auto"/>
        </w:rPr>
        <w:t>The following table shows the aggregate potential equity values and potential payments under plans to which each of the continuing NEOs would have been entitled upon a change-in-control on December 31, 2017.</w:t>
      </w:r>
    </w:p>
    <w:p>
      <w:pPr>
        <w:spacing w:after="0" w:line="200"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504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ind w:left="120"/>
              <w:spacing w:after="0"/>
              <w:rPr>
                <w:sz w:val="20"/>
                <w:szCs w:val="20"/>
                <w:color w:val="auto"/>
              </w:rPr>
            </w:pPr>
            <w:r>
              <w:rPr>
                <w:rFonts w:ascii="Arial" w:cs="Arial" w:eastAsia="Arial" w:hAnsi="Arial"/>
                <w:sz w:val="14"/>
                <w:szCs w:val="14"/>
                <w:b w:val="1"/>
                <w:bCs w:val="1"/>
                <w:color w:val="auto"/>
              </w:rPr>
              <w:t>Stock</w:t>
            </w:r>
          </w:p>
        </w:tc>
        <w:tc>
          <w:tcPr>
            <w:tcW w:w="1000" w:type="dxa"/>
            <w:vAlign w:val="bottom"/>
            <w:tcBorders>
              <w:top w:val="single" w:sz="8" w:color="auto"/>
            </w:tcBorders>
          </w:tcPr>
          <w:p>
            <w:pPr>
              <w:ind w:left="80"/>
              <w:spacing w:after="0"/>
              <w:rPr>
                <w:sz w:val="20"/>
                <w:szCs w:val="20"/>
                <w:color w:val="auto"/>
              </w:rPr>
            </w:pPr>
            <w:r>
              <w:rPr>
                <w:rFonts w:ascii="Arial" w:cs="Arial" w:eastAsia="Arial" w:hAnsi="Arial"/>
                <w:sz w:val="14"/>
                <w:szCs w:val="14"/>
                <w:b w:val="1"/>
                <w:bCs w:val="1"/>
                <w:color w:val="auto"/>
              </w:rPr>
              <w:t>Restricted</w:t>
            </w:r>
          </w:p>
        </w:tc>
        <w:tc>
          <w:tcPr>
            <w:tcW w:w="1320" w:type="dxa"/>
            <w:vAlign w:val="bottom"/>
            <w:tcBorders>
              <w:top w:val="single" w:sz="8" w:color="auto"/>
            </w:tcBorders>
          </w:tcPr>
          <w:p>
            <w:pPr>
              <w:ind w:left="60"/>
              <w:spacing w:after="0"/>
              <w:rPr>
                <w:sz w:val="20"/>
                <w:szCs w:val="20"/>
                <w:color w:val="auto"/>
              </w:rPr>
            </w:pPr>
            <w:r>
              <w:rPr>
                <w:rFonts w:ascii="Arial" w:cs="Arial" w:eastAsia="Arial" w:hAnsi="Arial"/>
                <w:sz w:val="14"/>
                <w:szCs w:val="14"/>
                <w:b w:val="1"/>
                <w:bCs w:val="1"/>
                <w:color w:val="auto"/>
              </w:rPr>
              <w:t>Performance</w:t>
            </w:r>
          </w:p>
        </w:tc>
        <w:tc>
          <w:tcPr>
            <w:tcW w:w="1100" w:type="dxa"/>
            <w:vAlign w:val="bottom"/>
            <w:tcBorders>
              <w:top w:val="single" w:sz="8" w:color="auto"/>
            </w:tcBorders>
          </w:tcPr>
          <w:p>
            <w:pPr>
              <w:ind w:left="40"/>
              <w:spacing w:after="0"/>
              <w:rPr>
                <w:sz w:val="20"/>
                <w:szCs w:val="20"/>
                <w:color w:val="auto"/>
              </w:rPr>
            </w:pPr>
            <w:r>
              <w:rPr>
                <w:rFonts w:ascii="Arial" w:cs="Arial" w:eastAsia="Arial" w:hAnsi="Arial"/>
                <w:sz w:val="14"/>
                <w:szCs w:val="14"/>
                <w:b w:val="1"/>
                <w:bCs w:val="1"/>
                <w:color w:val="auto"/>
              </w:rPr>
              <w:t>PRP and</w:t>
            </w:r>
          </w:p>
        </w:tc>
        <w:tc>
          <w:tcPr>
            <w:tcW w:w="1380" w:type="dxa"/>
            <w:vAlign w:val="bottom"/>
            <w:tcBorders>
              <w:top w:val="single" w:sz="8" w:color="auto"/>
            </w:tcBorders>
          </w:tcPr>
          <w:p>
            <w:pPr>
              <w:ind w:left="60"/>
              <w:spacing w:after="0"/>
              <w:rPr>
                <w:sz w:val="20"/>
                <w:szCs w:val="20"/>
                <w:color w:val="auto"/>
              </w:rPr>
            </w:pPr>
            <w:r>
              <w:rPr>
                <w:rFonts w:ascii="Arial" w:cs="Arial" w:eastAsia="Arial" w:hAnsi="Arial"/>
                <w:sz w:val="14"/>
                <w:szCs w:val="14"/>
                <w:b w:val="1"/>
                <w:bCs w:val="1"/>
                <w:color w:val="auto"/>
              </w:rPr>
              <w:t>Deferred</w:t>
            </w:r>
          </w:p>
        </w:tc>
        <w:tc>
          <w:tcPr>
            <w:tcW w:w="0" w:type="dxa"/>
            <w:vAlign w:val="bottom"/>
          </w:tcPr>
          <w:p>
            <w:pPr>
              <w:spacing w:after="0"/>
              <w:rPr>
                <w:sz w:val="1"/>
                <w:szCs w:val="1"/>
                <w:color w:val="auto"/>
              </w:rPr>
            </w:pPr>
          </w:p>
        </w:tc>
      </w:tr>
      <w:tr>
        <w:trPr>
          <w:trHeight w:val="162"/>
        </w:trPr>
        <w:tc>
          <w:tcPr>
            <w:tcW w:w="5040" w:type="dxa"/>
            <w:vAlign w:val="bottom"/>
          </w:tcPr>
          <w:p>
            <w:pPr>
              <w:spacing w:after="0"/>
              <w:rPr>
                <w:sz w:val="14"/>
                <w:szCs w:val="14"/>
                <w:color w:val="auto"/>
              </w:rPr>
            </w:pPr>
          </w:p>
        </w:tc>
        <w:tc>
          <w:tcPr>
            <w:tcW w:w="1160" w:type="dxa"/>
            <w:vAlign w:val="bottom"/>
          </w:tcPr>
          <w:p>
            <w:pPr>
              <w:ind w:left="120"/>
              <w:spacing w:after="0"/>
              <w:rPr>
                <w:sz w:val="20"/>
                <w:szCs w:val="20"/>
                <w:color w:val="auto"/>
              </w:rPr>
            </w:pPr>
            <w:r>
              <w:rPr>
                <w:rFonts w:ascii="Arial" w:cs="Arial" w:eastAsia="Arial" w:hAnsi="Arial"/>
                <w:sz w:val="14"/>
                <w:szCs w:val="14"/>
                <w:b w:val="1"/>
                <w:bCs w:val="1"/>
                <w:color w:val="auto"/>
              </w:rPr>
              <w:t>Options/</w:t>
            </w:r>
          </w:p>
        </w:tc>
        <w:tc>
          <w:tcPr>
            <w:tcW w:w="1000" w:type="dxa"/>
            <w:vAlign w:val="bottom"/>
          </w:tcPr>
          <w:p>
            <w:pPr>
              <w:ind w:left="80"/>
              <w:spacing w:after="0"/>
              <w:rPr>
                <w:sz w:val="20"/>
                <w:szCs w:val="20"/>
                <w:color w:val="auto"/>
              </w:rPr>
            </w:pPr>
            <w:r>
              <w:rPr>
                <w:rFonts w:ascii="Arial" w:cs="Arial" w:eastAsia="Arial" w:hAnsi="Arial"/>
                <w:sz w:val="14"/>
                <w:szCs w:val="14"/>
                <w:b w:val="1"/>
                <w:bCs w:val="1"/>
                <w:color w:val="auto"/>
              </w:rPr>
              <w:t>Stock</w:t>
            </w:r>
          </w:p>
        </w:tc>
        <w:tc>
          <w:tcPr>
            <w:tcW w:w="1320" w:type="dxa"/>
            <w:vAlign w:val="bottom"/>
          </w:tcPr>
          <w:p>
            <w:pPr>
              <w:ind w:left="60"/>
              <w:spacing w:after="0"/>
              <w:rPr>
                <w:sz w:val="20"/>
                <w:szCs w:val="20"/>
                <w:color w:val="auto"/>
              </w:rPr>
            </w:pPr>
            <w:r>
              <w:rPr>
                <w:rFonts w:ascii="Arial" w:cs="Arial" w:eastAsia="Arial" w:hAnsi="Arial"/>
                <w:sz w:val="14"/>
                <w:szCs w:val="14"/>
                <w:b w:val="1"/>
                <w:bCs w:val="1"/>
                <w:color w:val="auto"/>
              </w:rPr>
              <w:t>Share Awards</w:t>
            </w:r>
          </w:p>
        </w:tc>
        <w:tc>
          <w:tcPr>
            <w:tcW w:w="1100" w:type="dxa"/>
            <w:vAlign w:val="bottom"/>
          </w:tcPr>
          <w:p>
            <w:pPr>
              <w:ind w:left="40"/>
              <w:spacing w:after="0"/>
              <w:rPr>
                <w:sz w:val="20"/>
                <w:szCs w:val="20"/>
                <w:color w:val="auto"/>
              </w:rPr>
            </w:pPr>
            <w:r>
              <w:rPr>
                <w:rFonts w:ascii="Arial" w:cs="Arial" w:eastAsia="Arial" w:hAnsi="Arial"/>
                <w:sz w:val="14"/>
                <w:szCs w:val="14"/>
                <w:b w:val="1"/>
                <w:bCs w:val="1"/>
                <w:color w:val="auto"/>
              </w:rPr>
              <w:t>Pension Plan</w:t>
            </w:r>
          </w:p>
        </w:tc>
        <w:tc>
          <w:tcPr>
            <w:tcW w:w="1380" w:type="dxa"/>
            <w:vAlign w:val="bottom"/>
          </w:tcPr>
          <w:p>
            <w:pPr>
              <w:ind w:left="60"/>
              <w:spacing w:after="0"/>
              <w:rPr>
                <w:sz w:val="20"/>
                <w:szCs w:val="20"/>
                <w:color w:val="auto"/>
              </w:rPr>
            </w:pPr>
            <w:r>
              <w:rPr>
                <w:rFonts w:ascii="Arial" w:cs="Arial" w:eastAsia="Arial" w:hAnsi="Arial"/>
                <w:sz w:val="14"/>
                <w:szCs w:val="14"/>
                <w:b w:val="1"/>
                <w:bCs w:val="1"/>
                <w:color w:val="auto"/>
              </w:rPr>
              <w:t>Compensation</w:t>
            </w:r>
          </w:p>
        </w:tc>
        <w:tc>
          <w:tcPr>
            <w:tcW w:w="0" w:type="dxa"/>
            <w:vAlign w:val="bottom"/>
          </w:tcPr>
          <w:p>
            <w:pPr>
              <w:spacing w:after="0"/>
              <w:rPr>
                <w:sz w:val="1"/>
                <w:szCs w:val="1"/>
                <w:color w:val="auto"/>
              </w:rPr>
            </w:pPr>
          </w:p>
        </w:tc>
      </w:tr>
      <w:tr>
        <w:trPr>
          <w:trHeight w:val="189"/>
        </w:trPr>
        <w:tc>
          <w:tcPr>
            <w:tcW w:w="5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Named Executive Officer</w:t>
            </w:r>
          </w:p>
        </w:tc>
        <w:tc>
          <w:tcPr>
            <w:tcW w:w="11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SSARs ($)(1)</w:t>
            </w:r>
          </w:p>
        </w:tc>
        <w:tc>
          <w:tcPr>
            <w:tcW w:w="10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Awards ($)</w:t>
            </w:r>
          </w:p>
        </w:tc>
        <w:tc>
          <w:tcPr>
            <w:tcW w:w="13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w:t>
            </w:r>
          </w:p>
        </w:tc>
        <w:tc>
          <w:tcPr>
            <w:tcW w:w="13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Plan ($)</w:t>
            </w:r>
          </w:p>
        </w:tc>
        <w:tc>
          <w:tcPr>
            <w:tcW w:w="0" w:type="dxa"/>
            <w:vAlign w:val="bottom"/>
          </w:tcPr>
          <w:p>
            <w:pPr>
              <w:spacing w:after="0"/>
              <w:rPr>
                <w:sz w:val="1"/>
                <w:szCs w:val="1"/>
                <w:color w:val="auto"/>
              </w:rPr>
            </w:pPr>
          </w:p>
        </w:tc>
      </w:tr>
      <w:tr>
        <w:trPr>
          <w:trHeight w:val="270"/>
        </w:trPr>
        <w:tc>
          <w:tcPr>
            <w:tcW w:w="5040" w:type="dxa"/>
            <w:vAlign w:val="bottom"/>
            <w:tcBorders>
              <w:bottom w:val="single" w:sz="8" w:color="D8D8D8"/>
            </w:tcBorders>
            <w:shd w:val="clear" w:color="auto" w:fill="D8D8D8"/>
          </w:tcPr>
          <w:p>
            <w:pPr>
              <w:spacing w:after="0"/>
              <w:rPr>
                <w:sz w:val="20"/>
                <w:szCs w:val="20"/>
                <w:color w:val="auto"/>
              </w:rPr>
            </w:pPr>
            <w:r>
              <w:rPr>
                <w:rFonts w:ascii="Arial" w:cs="Arial" w:eastAsia="Arial" w:hAnsi="Arial"/>
                <w:sz w:val="16"/>
                <w:szCs w:val="16"/>
                <w:color w:val="auto"/>
              </w:rPr>
              <w:t>Robert A. Livingston</w:t>
            </w:r>
          </w:p>
        </w:tc>
        <w:tc>
          <w:tcPr>
            <w:tcW w:w="1160" w:type="dxa"/>
            <w:vAlign w:val="bottom"/>
            <w:tcBorders>
              <w:bottom w:val="single" w:sz="8" w:color="D8D8D8"/>
            </w:tcBorders>
            <w:shd w:val="clear" w:color="auto" w:fill="D8D8D8"/>
          </w:tcPr>
          <w:p>
            <w:pPr>
              <w:jc w:val="right"/>
              <w:ind w:right="2"/>
              <w:spacing w:after="0"/>
              <w:rPr>
                <w:sz w:val="20"/>
                <w:szCs w:val="20"/>
                <w:color w:val="auto"/>
              </w:rPr>
            </w:pPr>
            <w:r>
              <w:rPr>
                <w:rFonts w:ascii="Arial" w:cs="Arial" w:eastAsia="Arial" w:hAnsi="Arial"/>
                <w:sz w:val="16"/>
                <w:szCs w:val="16"/>
                <w:color w:val="auto"/>
              </w:rPr>
              <w:t>52,765,275</w:t>
            </w:r>
          </w:p>
        </w:tc>
        <w:tc>
          <w:tcPr>
            <w:tcW w:w="1000" w:type="dxa"/>
            <w:vAlign w:val="bottom"/>
            <w:tcBorders>
              <w:bottom w:val="single" w:sz="8" w:color="D8D8D8"/>
            </w:tcBorders>
            <w:shd w:val="clear" w:color="auto" w:fill="D8D8D8"/>
          </w:tcPr>
          <w:p>
            <w:pPr>
              <w:jc w:val="right"/>
              <w:spacing w:after="0"/>
              <w:rPr>
                <w:sz w:val="20"/>
                <w:szCs w:val="20"/>
                <w:color w:val="auto"/>
              </w:rPr>
            </w:pPr>
            <w:r>
              <w:rPr>
                <w:rFonts w:ascii="Arial" w:cs="Arial" w:eastAsia="Arial" w:hAnsi="Arial"/>
                <w:sz w:val="16"/>
                <w:szCs w:val="16"/>
                <w:color w:val="auto"/>
              </w:rPr>
              <w:t>0</w:t>
            </w:r>
          </w:p>
        </w:tc>
        <w:tc>
          <w:tcPr>
            <w:tcW w:w="1320" w:type="dxa"/>
            <w:vAlign w:val="bottom"/>
            <w:tcBorders>
              <w:bottom w:val="single" w:sz="8" w:color="D8D8D8"/>
            </w:tcBorders>
            <w:shd w:val="clear" w:color="auto" w:fill="D8D8D8"/>
          </w:tcPr>
          <w:p>
            <w:pPr>
              <w:jc w:val="right"/>
              <w:spacing w:after="0"/>
              <w:rPr>
                <w:sz w:val="20"/>
                <w:szCs w:val="20"/>
                <w:color w:val="auto"/>
              </w:rPr>
            </w:pPr>
            <w:r>
              <w:rPr>
                <w:rFonts w:ascii="Arial" w:cs="Arial" w:eastAsia="Arial" w:hAnsi="Arial"/>
                <w:sz w:val="16"/>
                <w:szCs w:val="16"/>
                <w:color w:val="auto"/>
              </w:rPr>
              <w:t>0</w:t>
            </w:r>
          </w:p>
        </w:tc>
        <w:tc>
          <w:tcPr>
            <w:tcW w:w="1100" w:type="dxa"/>
            <w:vAlign w:val="bottom"/>
            <w:tcBorders>
              <w:bottom w:val="single" w:sz="8" w:color="D8D8D8"/>
            </w:tcBorders>
            <w:shd w:val="clear" w:color="auto" w:fill="D8D8D8"/>
          </w:tcPr>
          <w:p>
            <w:pPr>
              <w:jc w:val="right"/>
              <w:spacing w:after="0"/>
              <w:rPr>
                <w:sz w:val="20"/>
                <w:szCs w:val="20"/>
                <w:color w:val="auto"/>
              </w:rPr>
            </w:pPr>
            <w:r>
              <w:rPr>
                <w:rFonts w:ascii="Arial" w:cs="Arial" w:eastAsia="Arial" w:hAnsi="Arial"/>
                <w:sz w:val="16"/>
                <w:szCs w:val="16"/>
                <w:color w:val="auto"/>
              </w:rPr>
              <w:t>17,315,193</w:t>
            </w:r>
          </w:p>
        </w:tc>
        <w:tc>
          <w:tcPr>
            <w:tcW w:w="1380" w:type="dxa"/>
            <w:vAlign w:val="bottom"/>
            <w:tcBorders>
              <w:bottom w:val="single" w:sz="8" w:color="D8D8D8"/>
            </w:tcBorders>
            <w:shd w:val="clear" w:color="auto" w:fill="D8D8D8"/>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64"/>
        </w:trPr>
        <w:tc>
          <w:tcPr>
            <w:tcW w:w="5040" w:type="dxa"/>
            <w:vAlign w:val="bottom"/>
          </w:tcPr>
          <w:p>
            <w:pPr>
              <w:spacing w:after="0"/>
              <w:rPr>
                <w:sz w:val="20"/>
                <w:szCs w:val="20"/>
                <w:color w:val="auto"/>
              </w:rPr>
            </w:pPr>
            <w:r>
              <w:rPr>
                <w:rFonts w:ascii="Arial" w:cs="Arial" w:eastAsia="Arial" w:hAnsi="Arial"/>
                <w:sz w:val="16"/>
                <w:szCs w:val="16"/>
                <w:color w:val="auto"/>
              </w:rPr>
              <w:t>Brad M. Cerepak</w:t>
            </w: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7,335,126</w:t>
            </w:r>
          </w:p>
        </w:tc>
        <w:tc>
          <w:tcPr>
            <w:tcW w:w="1000" w:type="dxa"/>
            <w:vAlign w:val="bottom"/>
          </w:tcPr>
          <w:p>
            <w:pPr>
              <w:jc w:val="right"/>
              <w:spacing w:after="0"/>
              <w:rPr>
                <w:sz w:val="20"/>
                <w:szCs w:val="20"/>
                <w:color w:val="auto"/>
              </w:rPr>
            </w:pPr>
            <w:r>
              <w:rPr>
                <w:rFonts w:ascii="Arial" w:cs="Arial" w:eastAsia="Arial" w:hAnsi="Arial"/>
                <w:sz w:val="16"/>
                <w:szCs w:val="16"/>
                <w:color w:val="auto"/>
              </w:rPr>
              <w:t>0</w:t>
            </w:r>
          </w:p>
        </w:tc>
        <w:tc>
          <w:tcPr>
            <w:tcW w:w="1320" w:type="dxa"/>
            <w:vAlign w:val="bottom"/>
          </w:tcPr>
          <w:p>
            <w:pPr>
              <w:jc w:val="right"/>
              <w:spacing w:after="0"/>
              <w:rPr>
                <w:sz w:val="20"/>
                <w:szCs w:val="20"/>
                <w:color w:val="auto"/>
              </w:rPr>
            </w:pPr>
            <w:r>
              <w:rPr>
                <w:rFonts w:ascii="Arial" w:cs="Arial" w:eastAsia="Arial" w:hAnsi="Arial"/>
                <w:sz w:val="16"/>
                <w:szCs w:val="16"/>
                <w:color w:val="auto"/>
              </w:rPr>
              <w:t>0</w:t>
            </w:r>
          </w:p>
        </w:tc>
        <w:tc>
          <w:tcPr>
            <w:tcW w:w="1100" w:type="dxa"/>
            <w:vAlign w:val="bottom"/>
          </w:tcPr>
          <w:p>
            <w:pPr>
              <w:jc w:val="right"/>
              <w:spacing w:after="0"/>
              <w:rPr>
                <w:sz w:val="20"/>
                <w:szCs w:val="20"/>
                <w:color w:val="auto"/>
              </w:rPr>
            </w:pPr>
            <w:r>
              <w:rPr>
                <w:rFonts w:ascii="Arial" w:cs="Arial" w:eastAsia="Arial" w:hAnsi="Arial"/>
                <w:sz w:val="16"/>
                <w:szCs w:val="16"/>
                <w:color w:val="auto"/>
              </w:rPr>
              <w:t>1,264,683</w:t>
            </w:r>
          </w:p>
        </w:tc>
        <w:tc>
          <w:tcPr>
            <w:tcW w:w="138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46"/>
        </w:trPr>
        <w:tc>
          <w:tcPr>
            <w:tcW w:w="50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5040" w:type="dxa"/>
            <w:vAlign w:val="bottom"/>
            <w:tcBorders>
              <w:bottom w:val="single" w:sz="8" w:color="D8D8D8"/>
            </w:tcBorders>
            <w:shd w:val="clear" w:color="auto" w:fill="D8D8D8"/>
          </w:tcPr>
          <w:p>
            <w:pPr>
              <w:spacing w:after="0"/>
              <w:rPr>
                <w:sz w:val="20"/>
                <w:szCs w:val="20"/>
                <w:color w:val="auto"/>
              </w:rPr>
            </w:pPr>
            <w:r>
              <w:rPr>
                <w:rFonts w:ascii="Arial" w:cs="Arial" w:eastAsia="Arial" w:hAnsi="Arial"/>
                <w:sz w:val="16"/>
                <w:szCs w:val="16"/>
                <w:color w:val="auto"/>
              </w:rPr>
              <w:t>C. Anderson Fincher</w:t>
            </w:r>
          </w:p>
        </w:tc>
        <w:tc>
          <w:tcPr>
            <w:tcW w:w="1160" w:type="dxa"/>
            <w:vAlign w:val="bottom"/>
            <w:tcBorders>
              <w:bottom w:val="single" w:sz="8" w:color="D8D8D8"/>
            </w:tcBorders>
            <w:shd w:val="clear" w:color="auto" w:fill="D8D8D8"/>
          </w:tcPr>
          <w:p>
            <w:pPr>
              <w:jc w:val="right"/>
              <w:ind w:right="2"/>
              <w:spacing w:after="0"/>
              <w:rPr>
                <w:sz w:val="20"/>
                <w:szCs w:val="20"/>
                <w:color w:val="auto"/>
              </w:rPr>
            </w:pPr>
            <w:r>
              <w:rPr>
                <w:rFonts w:ascii="Arial" w:cs="Arial" w:eastAsia="Arial" w:hAnsi="Arial"/>
                <w:sz w:val="16"/>
                <w:szCs w:val="16"/>
                <w:color w:val="auto"/>
              </w:rPr>
              <w:t>2,831,323</w:t>
            </w:r>
          </w:p>
        </w:tc>
        <w:tc>
          <w:tcPr>
            <w:tcW w:w="1000" w:type="dxa"/>
            <w:vAlign w:val="bottom"/>
            <w:tcBorders>
              <w:bottom w:val="single" w:sz="8" w:color="D8D8D8"/>
            </w:tcBorders>
            <w:shd w:val="clear" w:color="auto" w:fill="D8D8D8"/>
          </w:tcPr>
          <w:p>
            <w:pPr>
              <w:jc w:val="right"/>
              <w:spacing w:after="0"/>
              <w:rPr>
                <w:sz w:val="20"/>
                <w:szCs w:val="20"/>
                <w:color w:val="auto"/>
              </w:rPr>
            </w:pPr>
            <w:r>
              <w:rPr>
                <w:rFonts w:ascii="Arial" w:cs="Arial" w:eastAsia="Arial" w:hAnsi="Arial"/>
                <w:sz w:val="16"/>
                <w:szCs w:val="16"/>
                <w:color w:val="auto"/>
              </w:rPr>
              <w:t>0</w:t>
            </w:r>
          </w:p>
        </w:tc>
        <w:tc>
          <w:tcPr>
            <w:tcW w:w="1320" w:type="dxa"/>
            <w:vAlign w:val="bottom"/>
            <w:tcBorders>
              <w:bottom w:val="single" w:sz="8" w:color="D8D8D8"/>
            </w:tcBorders>
            <w:shd w:val="clear" w:color="auto" w:fill="D8D8D8"/>
          </w:tcPr>
          <w:p>
            <w:pPr>
              <w:jc w:val="right"/>
              <w:spacing w:after="0"/>
              <w:rPr>
                <w:sz w:val="20"/>
                <w:szCs w:val="20"/>
                <w:color w:val="auto"/>
              </w:rPr>
            </w:pPr>
            <w:r>
              <w:rPr>
                <w:rFonts w:ascii="Arial" w:cs="Arial" w:eastAsia="Arial" w:hAnsi="Arial"/>
                <w:sz w:val="16"/>
                <w:szCs w:val="16"/>
                <w:color w:val="auto"/>
              </w:rPr>
              <w:t>212,079</w:t>
            </w:r>
          </w:p>
        </w:tc>
        <w:tc>
          <w:tcPr>
            <w:tcW w:w="1100" w:type="dxa"/>
            <w:vAlign w:val="bottom"/>
            <w:tcBorders>
              <w:bottom w:val="single" w:sz="8" w:color="D8D8D8"/>
            </w:tcBorders>
            <w:shd w:val="clear" w:color="auto" w:fill="D8D8D8"/>
          </w:tcPr>
          <w:p>
            <w:pPr>
              <w:jc w:val="right"/>
              <w:spacing w:after="0"/>
              <w:rPr>
                <w:sz w:val="20"/>
                <w:szCs w:val="20"/>
                <w:color w:val="auto"/>
              </w:rPr>
            </w:pPr>
            <w:r>
              <w:rPr>
                <w:rFonts w:ascii="Arial" w:cs="Arial" w:eastAsia="Arial" w:hAnsi="Arial"/>
                <w:sz w:val="16"/>
                <w:szCs w:val="16"/>
                <w:color w:val="auto"/>
              </w:rPr>
              <w:t>2,204,917</w:t>
            </w:r>
          </w:p>
        </w:tc>
        <w:tc>
          <w:tcPr>
            <w:tcW w:w="1380" w:type="dxa"/>
            <w:vAlign w:val="bottom"/>
            <w:tcBorders>
              <w:bottom w:val="single" w:sz="8" w:color="D8D8D8"/>
            </w:tcBorders>
            <w:shd w:val="clear" w:color="auto" w:fill="D8D8D8"/>
          </w:tcPr>
          <w:p>
            <w:pPr>
              <w:jc w:val="right"/>
              <w:spacing w:after="0"/>
              <w:rPr>
                <w:sz w:val="20"/>
                <w:szCs w:val="20"/>
                <w:color w:val="auto"/>
              </w:rPr>
            </w:pPr>
            <w:r>
              <w:rPr>
                <w:rFonts w:ascii="Arial" w:cs="Arial" w:eastAsia="Arial" w:hAnsi="Arial"/>
                <w:sz w:val="16"/>
                <w:szCs w:val="16"/>
                <w:color w:val="auto"/>
              </w:rPr>
              <w:t>514,611</w:t>
            </w:r>
          </w:p>
        </w:tc>
        <w:tc>
          <w:tcPr>
            <w:tcW w:w="0" w:type="dxa"/>
            <w:vAlign w:val="bottom"/>
          </w:tcPr>
          <w:p>
            <w:pPr>
              <w:spacing w:after="0"/>
              <w:rPr>
                <w:sz w:val="1"/>
                <w:szCs w:val="1"/>
                <w:color w:val="auto"/>
              </w:rPr>
            </w:pPr>
          </w:p>
        </w:tc>
      </w:tr>
      <w:tr>
        <w:trPr>
          <w:trHeight w:val="264"/>
        </w:trPr>
        <w:tc>
          <w:tcPr>
            <w:tcW w:w="5040" w:type="dxa"/>
            <w:vAlign w:val="bottom"/>
          </w:tcPr>
          <w:p>
            <w:pPr>
              <w:spacing w:after="0"/>
              <w:rPr>
                <w:sz w:val="20"/>
                <w:szCs w:val="20"/>
                <w:color w:val="auto"/>
              </w:rPr>
            </w:pPr>
            <w:r>
              <w:rPr>
                <w:rFonts w:ascii="Arial" w:cs="Arial" w:eastAsia="Arial" w:hAnsi="Arial"/>
                <w:sz w:val="16"/>
                <w:szCs w:val="16"/>
                <w:color w:val="auto"/>
              </w:rPr>
              <w:t>Sivasankaran Somasundaram</w:t>
            </w: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2,831,323</w:t>
            </w:r>
          </w:p>
        </w:tc>
        <w:tc>
          <w:tcPr>
            <w:tcW w:w="1000" w:type="dxa"/>
            <w:vAlign w:val="bottom"/>
          </w:tcPr>
          <w:p>
            <w:pPr>
              <w:jc w:val="right"/>
              <w:spacing w:after="0"/>
              <w:rPr>
                <w:sz w:val="20"/>
                <w:szCs w:val="20"/>
                <w:color w:val="auto"/>
              </w:rPr>
            </w:pPr>
            <w:r>
              <w:rPr>
                <w:rFonts w:ascii="Arial" w:cs="Arial" w:eastAsia="Arial" w:hAnsi="Arial"/>
                <w:sz w:val="16"/>
                <w:szCs w:val="16"/>
                <w:color w:val="auto"/>
              </w:rPr>
              <w:t>0</w:t>
            </w:r>
          </w:p>
        </w:tc>
        <w:tc>
          <w:tcPr>
            <w:tcW w:w="1320" w:type="dxa"/>
            <w:vAlign w:val="bottom"/>
          </w:tcPr>
          <w:p>
            <w:pPr>
              <w:jc w:val="right"/>
              <w:spacing w:after="0"/>
              <w:rPr>
                <w:sz w:val="20"/>
                <w:szCs w:val="20"/>
                <w:color w:val="auto"/>
              </w:rPr>
            </w:pPr>
            <w:r>
              <w:rPr>
                <w:rFonts w:ascii="Arial" w:cs="Arial" w:eastAsia="Arial" w:hAnsi="Arial"/>
                <w:sz w:val="16"/>
                <w:szCs w:val="16"/>
                <w:color w:val="auto"/>
              </w:rPr>
              <w:t>0</w:t>
            </w:r>
          </w:p>
        </w:tc>
        <w:tc>
          <w:tcPr>
            <w:tcW w:w="1100" w:type="dxa"/>
            <w:vAlign w:val="bottom"/>
          </w:tcPr>
          <w:p>
            <w:pPr>
              <w:jc w:val="right"/>
              <w:spacing w:after="0"/>
              <w:rPr>
                <w:sz w:val="20"/>
                <w:szCs w:val="20"/>
                <w:color w:val="auto"/>
              </w:rPr>
            </w:pPr>
            <w:r>
              <w:rPr>
                <w:rFonts w:ascii="Arial" w:cs="Arial" w:eastAsia="Arial" w:hAnsi="Arial"/>
                <w:sz w:val="16"/>
                <w:szCs w:val="16"/>
                <w:color w:val="auto"/>
              </w:rPr>
              <w:t>1,207,259</w:t>
            </w:r>
          </w:p>
        </w:tc>
        <w:tc>
          <w:tcPr>
            <w:tcW w:w="1380" w:type="dxa"/>
            <w:vAlign w:val="bottom"/>
          </w:tcPr>
          <w:p>
            <w:pPr>
              <w:jc w:val="right"/>
              <w:spacing w:after="0"/>
              <w:rPr>
                <w:sz w:val="20"/>
                <w:szCs w:val="20"/>
                <w:color w:val="auto"/>
              </w:rPr>
            </w:pPr>
            <w:r>
              <w:rPr>
                <w:rFonts w:ascii="Arial" w:cs="Arial" w:eastAsia="Arial" w:hAnsi="Arial"/>
                <w:sz w:val="16"/>
                <w:szCs w:val="16"/>
                <w:color w:val="auto"/>
              </w:rPr>
              <w:t>2,546,862</w:t>
            </w:r>
          </w:p>
        </w:tc>
        <w:tc>
          <w:tcPr>
            <w:tcW w:w="0" w:type="dxa"/>
            <w:vAlign w:val="bottom"/>
          </w:tcPr>
          <w:p>
            <w:pPr>
              <w:spacing w:after="0"/>
              <w:rPr>
                <w:sz w:val="1"/>
                <w:szCs w:val="1"/>
                <w:color w:val="auto"/>
              </w:rPr>
            </w:pPr>
          </w:p>
        </w:tc>
      </w:tr>
      <w:tr>
        <w:trPr>
          <w:trHeight w:val="46"/>
        </w:trPr>
        <w:tc>
          <w:tcPr>
            <w:tcW w:w="50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7"/>
        </w:trPr>
        <w:tc>
          <w:tcPr>
            <w:tcW w:w="5040" w:type="dxa"/>
            <w:vAlign w:val="bottom"/>
            <w:vMerge w:val="restart"/>
            <w:shd w:val="clear" w:color="auto" w:fill="D8D8D8"/>
          </w:tcPr>
          <w:p>
            <w:pPr>
              <w:spacing w:after="0"/>
              <w:rPr>
                <w:sz w:val="20"/>
                <w:szCs w:val="20"/>
                <w:color w:val="auto"/>
              </w:rPr>
            </w:pPr>
            <w:r>
              <w:rPr>
                <w:rFonts w:ascii="Arial" w:cs="Arial" w:eastAsia="Arial" w:hAnsi="Arial"/>
                <w:sz w:val="16"/>
                <w:szCs w:val="16"/>
                <w:color w:val="auto"/>
              </w:rPr>
              <w:t>William W. Spurgeon, Jr.</w:t>
            </w:r>
          </w:p>
        </w:tc>
        <w:tc>
          <w:tcPr>
            <w:tcW w:w="1160" w:type="dxa"/>
            <w:vAlign w:val="bottom"/>
            <w:vMerge w:val="restart"/>
            <w:shd w:val="clear" w:color="auto" w:fill="D8D8D8"/>
          </w:tcPr>
          <w:p>
            <w:pPr>
              <w:jc w:val="right"/>
              <w:ind w:right="2"/>
              <w:spacing w:after="0"/>
              <w:rPr>
                <w:sz w:val="20"/>
                <w:szCs w:val="20"/>
                <w:color w:val="auto"/>
              </w:rPr>
            </w:pPr>
            <w:r>
              <w:rPr>
                <w:rFonts w:ascii="Arial" w:cs="Arial" w:eastAsia="Arial" w:hAnsi="Arial"/>
                <w:sz w:val="16"/>
                <w:szCs w:val="16"/>
                <w:color w:val="auto"/>
              </w:rPr>
              <w:t>0</w:t>
            </w:r>
          </w:p>
        </w:tc>
        <w:tc>
          <w:tcPr>
            <w:tcW w:w="1000" w:type="dxa"/>
            <w:vAlign w:val="bottom"/>
            <w:vMerge w:val="restart"/>
            <w:shd w:val="clear" w:color="auto" w:fill="D8D8D8"/>
          </w:tcPr>
          <w:p>
            <w:pPr>
              <w:jc w:val="right"/>
              <w:spacing w:after="0"/>
              <w:rPr>
                <w:sz w:val="20"/>
                <w:szCs w:val="20"/>
                <w:color w:val="auto"/>
              </w:rPr>
            </w:pPr>
            <w:r>
              <w:rPr>
                <w:rFonts w:ascii="Arial" w:cs="Arial" w:eastAsia="Arial" w:hAnsi="Arial"/>
                <w:sz w:val="16"/>
                <w:szCs w:val="16"/>
                <w:color w:val="auto"/>
              </w:rPr>
              <w:t>0</w:t>
            </w:r>
          </w:p>
        </w:tc>
        <w:tc>
          <w:tcPr>
            <w:tcW w:w="1320" w:type="dxa"/>
            <w:vAlign w:val="bottom"/>
            <w:vMerge w:val="restart"/>
            <w:shd w:val="clear" w:color="auto" w:fill="D8D8D8"/>
          </w:tcPr>
          <w:p>
            <w:pPr>
              <w:jc w:val="right"/>
              <w:spacing w:after="0"/>
              <w:rPr>
                <w:sz w:val="20"/>
                <w:szCs w:val="20"/>
                <w:color w:val="auto"/>
              </w:rPr>
            </w:pPr>
            <w:r>
              <w:rPr>
                <w:rFonts w:ascii="Arial" w:cs="Arial" w:eastAsia="Arial" w:hAnsi="Arial"/>
                <w:sz w:val="16"/>
                <w:szCs w:val="16"/>
                <w:color w:val="auto"/>
              </w:rPr>
              <w:t>0</w:t>
            </w:r>
          </w:p>
        </w:tc>
        <w:tc>
          <w:tcPr>
            <w:tcW w:w="1100" w:type="dxa"/>
            <w:vAlign w:val="bottom"/>
            <w:vMerge w:val="restart"/>
            <w:shd w:val="clear" w:color="auto" w:fill="D8D8D8"/>
          </w:tcPr>
          <w:p>
            <w:pPr>
              <w:jc w:val="right"/>
              <w:spacing w:after="0"/>
              <w:rPr>
                <w:sz w:val="20"/>
                <w:szCs w:val="20"/>
                <w:color w:val="auto"/>
              </w:rPr>
            </w:pPr>
            <w:r>
              <w:rPr>
                <w:rFonts w:ascii="Arial" w:cs="Arial" w:eastAsia="Arial" w:hAnsi="Arial"/>
                <w:sz w:val="16"/>
                <w:szCs w:val="16"/>
                <w:color w:val="auto"/>
              </w:rPr>
              <w:t>7,559,238</w:t>
            </w:r>
          </w:p>
        </w:tc>
        <w:tc>
          <w:tcPr>
            <w:tcW w:w="1380" w:type="dxa"/>
            <w:vAlign w:val="bottom"/>
            <w:shd w:val="clear" w:color="auto" w:fill="D8D8D8"/>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5040" w:type="dxa"/>
            <w:vAlign w:val="bottom"/>
            <w:tcBorders>
              <w:bottom w:val="single" w:sz="8" w:color="D8D8D8"/>
            </w:tcBorders>
            <w:vMerge w:val="continue"/>
            <w:shd w:val="clear" w:color="auto" w:fill="D8D8D8"/>
          </w:tcPr>
          <w:p>
            <w:pPr>
              <w:spacing w:after="0"/>
              <w:rPr>
                <w:sz w:val="19"/>
                <w:szCs w:val="19"/>
                <w:color w:val="auto"/>
              </w:rPr>
            </w:pPr>
          </w:p>
        </w:tc>
        <w:tc>
          <w:tcPr>
            <w:tcW w:w="1160" w:type="dxa"/>
            <w:vAlign w:val="bottom"/>
            <w:tcBorders>
              <w:bottom w:val="single" w:sz="8" w:color="D8D8D8"/>
            </w:tcBorders>
            <w:vMerge w:val="continue"/>
            <w:shd w:val="clear" w:color="auto" w:fill="D8D8D8"/>
          </w:tcPr>
          <w:p>
            <w:pPr>
              <w:spacing w:after="0"/>
              <w:rPr>
                <w:sz w:val="19"/>
                <w:szCs w:val="19"/>
                <w:color w:val="auto"/>
              </w:rPr>
            </w:pPr>
          </w:p>
        </w:tc>
        <w:tc>
          <w:tcPr>
            <w:tcW w:w="1000" w:type="dxa"/>
            <w:vAlign w:val="bottom"/>
            <w:tcBorders>
              <w:bottom w:val="single" w:sz="8" w:color="D8D8D8"/>
            </w:tcBorders>
            <w:vMerge w:val="continue"/>
            <w:shd w:val="clear" w:color="auto" w:fill="D8D8D8"/>
          </w:tcPr>
          <w:p>
            <w:pPr>
              <w:spacing w:after="0"/>
              <w:rPr>
                <w:sz w:val="19"/>
                <w:szCs w:val="19"/>
                <w:color w:val="auto"/>
              </w:rPr>
            </w:pPr>
          </w:p>
        </w:tc>
        <w:tc>
          <w:tcPr>
            <w:tcW w:w="1320" w:type="dxa"/>
            <w:vAlign w:val="bottom"/>
            <w:tcBorders>
              <w:bottom w:val="single" w:sz="8" w:color="D8D8D8"/>
            </w:tcBorders>
            <w:vMerge w:val="continue"/>
            <w:shd w:val="clear" w:color="auto" w:fill="D8D8D8"/>
          </w:tcPr>
          <w:p>
            <w:pPr>
              <w:spacing w:after="0"/>
              <w:rPr>
                <w:sz w:val="19"/>
                <w:szCs w:val="19"/>
                <w:color w:val="auto"/>
              </w:rPr>
            </w:pPr>
          </w:p>
        </w:tc>
        <w:tc>
          <w:tcPr>
            <w:tcW w:w="1100" w:type="dxa"/>
            <w:vAlign w:val="bottom"/>
            <w:tcBorders>
              <w:bottom w:val="single" w:sz="8" w:color="D8D8D8"/>
            </w:tcBorders>
            <w:vMerge w:val="continue"/>
            <w:shd w:val="clear" w:color="auto" w:fill="D8D8D8"/>
          </w:tcPr>
          <w:p>
            <w:pPr>
              <w:spacing w:after="0"/>
              <w:rPr>
                <w:sz w:val="19"/>
                <w:szCs w:val="19"/>
                <w:color w:val="auto"/>
              </w:rPr>
            </w:pPr>
          </w:p>
        </w:tc>
        <w:tc>
          <w:tcPr>
            <w:tcW w:w="1380" w:type="dxa"/>
            <w:vAlign w:val="bottom"/>
            <w:tcBorders>
              <w:bottom w:val="single" w:sz="8" w:color="D8D8D8"/>
            </w:tcBorders>
            <w:shd w:val="clear" w:color="auto" w:fill="D8D8D8"/>
          </w:tcPr>
          <w:p>
            <w:pPr>
              <w:jc w:val="right"/>
              <w:spacing w:after="0"/>
              <w:rPr>
                <w:sz w:val="20"/>
                <w:szCs w:val="20"/>
                <w:color w:val="auto"/>
              </w:rPr>
            </w:pPr>
            <w:r>
              <w:rPr>
                <w:rFonts w:ascii="Arial" w:cs="Arial" w:eastAsia="Arial" w:hAnsi="Arial"/>
                <w:sz w:val="16"/>
                <w:szCs w:val="16"/>
                <w:color w:val="auto"/>
              </w:rPr>
              <w:t>2,566,804</w:t>
            </w:r>
          </w:p>
        </w:tc>
        <w:tc>
          <w:tcPr>
            <w:tcW w:w="0" w:type="dxa"/>
            <w:vAlign w:val="bottom"/>
          </w:tcPr>
          <w:p>
            <w:pPr>
              <w:spacing w:after="0"/>
              <w:rPr>
                <w:sz w:val="1"/>
                <w:szCs w:val="1"/>
                <w:color w:val="auto"/>
              </w:rPr>
            </w:pPr>
          </w:p>
        </w:tc>
      </w:tr>
      <w:tr>
        <w:trPr>
          <w:trHeight w:val="20"/>
        </w:trPr>
        <w:tc>
          <w:tcPr>
            <w:tcW w:w="50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ind w:left="540" w:right="260" w:hanging="330"/>
        <w:spacing w:after="0" w:line="280" w:lineRule="auto"/>
        <w:tabs>
          <w:tab w:leader="none" w:pos="540" w:val="left"/>
        </w:tabs>
        <w:numPr>
          <w:ilvl w:val="0"/>
          <w:numId w:val="58"/>
        </w:numPr>
        <w:rPr>
          <w:rFonts w:ascii="Arial" w:cs="Arial" w:eastAsia="Arial" w:hAnsi="Arial"/>
          <w:sz w:val="16"/>
          <w:szCs w:val="16"/>
          <w:i w:val="1"/>
          <w:iCs w:val="1"/>
          <w:color w:val="auto"/>
        </w:rPr>
      </w:pPr>
      <w:r>
        <w:rPr>
          <w:rFonts w:ascii="Arial" w:cs="Arial" w:eastAsia="Arial" w:hAnsi="Arial"/>
          <w:sz w:val="16"/>
          <w:szCs w:val="16"/>
          <w:i w:val="1"/>
          <w:iCs w:val="1"/>
          <w:color w:val="auto"/>
        </w:rPr>
        <w:t>Reflects value of vested and unvested options and SSARs granted under the 2005 Plan and the LTIP; table assumes no acceleration of vesting of such awards upon a change of control per the Plan provisions described above.</w:t>
      </w:r>
    </w:p>
    <w:p>
      <w:pPr>
        <w:spacing w:after="0" w:line="146"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32406B"/>
        </w:rPr>
        <w:t>Potential Payments upon Termination Following a Change-in-Control</w:t>
      </w:r>
    </w:p>
    <w:p>
      <w:pPr>
        <w:spacing w:after="0" w:line="105" w:lineRule="exact"/>
        <w:rPr>
          <w:sz w:val="20"/>
          <w:szCs w:val="20"/>
          <w:color w:val="auto"/>
        </w:rPr>
      </w:pPr>
    </w:p>
    <w:p>
      <w:pPr>
        <w:ind w:left="220" w:right="420"/>
        <w:spacing w:after="0" w:line="253" w:lineRule="auto"/>
        <w:rPr>
          <w:sz w:val="20"/>
          <w:szCs w:val="20"/>
          <w:color w:val="auto"/>
        </w:rPr>
      </w:pPr>
      <w:r>
        <w:rPr>
          <w:rFonts w:ascii="Arial" w:cs="Arial" w:eastAsia="Arial" w:hAnsi="Arial"/>
          <w:sz w:val="16"/>
          <w:szCs w:val="16"/>
          <w:color w:val="auto"/>
        </w:rPr>
        <w:t>Under the CIC severance plan, an NEO covered by the plan will be entitled to receive severance payments if, within 18 months after the change-in-control, either his employment is terminated by Dover without “cause” or the executive terminates employment for “good reason,” as such terms are defined in the plan. The severance payments will consist of the following:</w:t>
      </w:r>
    </w:p>
    <w:p>
      <w:pPr>
        <w:spacing w:after="0" w:line="201" w:lineRule="exact"/>
        <w:rPr>
          <w:sz w:val="20"/>
          <w:szCs w:val="20"/>
          <w:color w:val="auto"/>
        </w:rPr>
      </w:pPr>
    </w:p>
    <w:p>
      <w:pPr>
        <w:ind w:left="860" w:right="40" w:hanging="326"/>
        <w:spacing w:after="0" w:line="253" w:lineRule="auto"/>
        <w:tabs>
          <w:tab w:leader="none" w:pos="8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A lump sum payment equal to 2.0 multiplied by the sum of (i) the executive’s annual salary on the termination date or the change-in-control date, whichever is higher, and (ii) his target annual incentive bonus for the year in which the termination or the date of the change-in-control occurs, whichever is higher; and</w:t>
      </w:r>
    </w:p>
    <w:p>
      <w:pPr>
        <w:spacing w:after="0" w:line="65" w:lineRule="exact"/>
        <w:rPr>
          <w:rFonts w:ascii="Arial" w:cs="Arial" w:eastAsia="Arial" w:hAnsi="Arial"/>
          <w:sz w:val="16"/>
          <w:szCs w:val="16"/>
          <w:color w:val="auto"/>
        </w:rPr>
      </w:pPr>
    </w:p>
    <w:p>
      <w:pPr>
        <w:ind w:left="860" w:right="80" w:hanging="326"/>
        <w:spacing w:after="0" w:line="260" w:lineRule="auto"/>
        <w:tabs>
          <w:tab w:leader="none" w:pos="8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A lump sum payment equal to the then cost of COBRA health continuation coverage, based on the level of health care coverage in effect on the termination date, if any, for one year.</w:t>
      </w:r>
    </w:p>
    <w:p>
      <w:pPr>
        <w:spacing w:after="0" w:line="154" w:lineRule="exact"/>
        <w:rPr>
          <w:sz w:val="20"/>
          <w:szCs w:val="20"/>
          <w:color w:val="auto"/>
        </w:rPr>
      </w:pPr>
    </w:p>
    <w:p>
      <w:pPr>
        <w:ind w:left="220" w:right="100"/>
        <w:spacing w:after="0" w:line="249" w:lineRule="auto"/>
        <w:rPr>
          <w:sz w:val="20"/>
          <w:szCs w:val="20"/>
          <w:color w:val="auto"/>
        </w:rPr>
      </w:pPr>
      <w:r>
        <w:rPr>
          <w:rFonts w:ascii="Arial" w:cs="Arial" w:eastAsia="Arial" w:hAnsi="Arial"/>
          <w:sz w:val="16"/>
          <w:szCs w:val="16"/>
          <w:color w:val="auto"/>
        </w:rPr>
        <w:t xml:space="preserve">No executive may receive severance benefits under more than one plan or arrangement. If Dover determines that (i) any payment or distribution to an executive in connection with change-in-control, whether under the CIC severance plan or otherwise, would be subject to excise tax as an excess parachute payment under the Internal Revenue Code and (ii) the executive would receive a greater net-after-tax amount by reducing the amount of the severance payment, Dover will reduce the severance payments made under the CIC severance plan to the maximum amount that might be paid (but not less than zero) without the executive becoming subject to the excise tax. The CIC severance plan </w:t>
      </w:r>
      <w:r>
        <w:rPr>
          <w:rFonts w:ascii="Arial" w:cs="Arial" w:eastAsia="Arial" w:hAnsi="Arial"/>
          <w:sz w:val="16"/>
          <w:szCs w:val="16"/>
          <w:b w:val="1"/>
          <w:bCs w:val="1"/>
          <w:color w:val="auto"/>
        </w:rPr>
        <w:t>does not</w:t>
      </w:r>
      <w:r>
        <w:rPr>
          <w:rFonts w:ascii="Arial" w:cs="Arial" w:eastAsia="Arial" w:hAnsi="Arial"/>
          <w:sz w:val="16"/>
          <w:szCs w:val="16"/>
          <w:color w:val="auto"/>
        </w:rPr>
        <w:t xml:space="preserve"> provide any gross-up for excise taxes.</w:t>
      </w:r>
    </w:p>
    <w:p>
      <w:pPr>
        <w:spacing w:after="0" w:line="11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69</w:t>
      </w:r>
    </w:p>
    <w:p>
      <w:pPr>
        <w:sectPr>
          <w:pgSz w:w="11900" w:h="16838" w:orient="portrait"/>
          <w:cols w:equalWidth="0" w:num="1">
            <w:col w:w="11220"/>
          </w:cols>
          <w:pgMar w:left="240" w:top="459" w:right="4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EXECUTIVE COMPENSATION TABLES</w:t>
      </w:r>
    </w:p>
    <w:p>
      <w:pPr>
        <w:spacing w:after="0" w:line="173" w:lineRule="exact"/>
        <w:rPr>
          <w:sz w:val="20"/>
          <w:szCs w:val="20"/>
          <w:color w:val="auto"/>
        </w:rPr>
      </w:pPr>
    </w:p>
    <w:p>
      <w:pPr>
        <w:ind w:left="220" w:right="100"/>
        <w:spacing w:after="0" w:line="260" w:lineRule="auto"/>
        <w:rPr>
          <w:sz w:val="20"/>
          <w:szCs w:val="20"/>
          <w:color w:val="auto"/>
        </w:rPr>
      </w:pPr>
      <w:r>
        <w:rPr>
          <w:rFonts w:ascii="Arial" w:cs="Arial" w:eastAsia="Arial" w:hAnsi="Arial"/>
          <w:sz w:val="16"/>
          <w:szCs w:val="16"/>
          <w:color w:val="auto"/>
        </w:rPr>
        <w:t>The following table shows the potential payments and other benefits that each of the NEOs would have been entitled to receive upon involuntary or good reason termination following a change-in-control on December 31, 2017.</w:t>
      </w:r>
    </w:p>
    <w:p>
      <w:pPr>
        <w:spacing w:after="0" w:line="200"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274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ind w:left="80"/>
              <w:spacing w:after="0"/>
              <w:rPr>
                <w:sz w:val="20"/>
                <w:szCs w:val="20"/>
                <w:color w:val="auto"/>
              </w:rPr>
            </w:pPr>
            <w:r>
              <w:rPr>
                <w:rFonts w:ascii="Arial" w:cs="Arial" w:eastAsia="Arial" w:hAnsi="Arial"/>
                <w:sz w:val="14"/>
                <w:szCs w:val="14"/>
                <w:b w:val="1"/>
                <w:bCs w:val="1"/>
                <w:color w:val="auto"/>
              </w:rPr>
              <w:t>Perfor-</w:t>
            </w:r>
          </w:p>
        </w:tc>
        <w:tc>
          <w:tcPr>
            <w:tcW w:w="980" w:type="dxa"/>
            <w:vAlign w:val="bottom"/>
            <w:tcBorders>
              <w:top w:val="single" w:sz="8" w:color="auto"/>
            </w:tcBorders>
          </w:tcPr>
          <w:p>
            <w:pPr>
              <w:ind w:left="80"/>
              <w:spacing w:after="0"/>
              <w:rPr>
                <w:sz w:val="20"/>
                <w:szCs w:val="20"/>
                <w:color w:val="auto"/>
              </w:rPr>
            </w:pPr>
            <w:r>
              <w:rPr>
                <w:rFonts w:ascii="Arial" w:cs="Arial" w:eastAsia="Arial" w:hAnsi="Arial"/>
                <w:sz w:val="14"/>
                <w:szCs w:val="14"/>
                <w:b w:val="1"/>
                <w:bCs w:val="1"/>
                <w:color w:val="auto"/>
              </w:rPr>
              <w:t>280G Tax</w:t>
            </w:r>
          </w:p>
        </w:tc>
        <w:tc>
          <w:tcPr>
            <w:tcW w:w="1100" w:type="dxa"/>
            <w:vAlign w:val="bottom"/>
            <w:tcBorders>
              <w:top w:val="single" w:sz="8" w:color="auto"/>
            </w:tcBorders>
          </w:tcPr>
          <w:p>
            <w:pPr>
              <w:spacing w:after="0"/>
              <w:rPr>
                <w:sz w:val="14"/>
                <w:szCs w:val="14"/>
                <w:color w:val="auto"/>
              </w:rPr>
            </w:pPr>
          </w:p>
        </w:tc>
      </w:tr>
      <w:tr>
        <w:trPr>
          <w:trHeight w:val="162"/>
        </w:trPr>
        <w:tc>
          <w:tcPr>
            <w:tcW w:w="2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ind w:left="80"/>
              <w:spacing w:after="0"/>
              <w:rPr>
                <w:sz w:val="20"/>
                <w:szCs w:val="20"/>
                <w:color w:val="auto"/>
              </w:rPr>
            </w:pPr>
            <w:r>
              <w:rPr>
                <w:rFonts w:ascii="Arial" w:cs="Arial" w:eastAsia="Arial" w:hAnsi="Arial"/>
                <w:sz w:val="14"/>
                <w:szCs w:val="14"/>
                <w:b w:val="1"/>
                <w:bCs w:val="1"/>
                <w:color w:val="auto"/>
              </w:rPr>
              <w:t>Health and</w:t>
            </w:r>
          </w:p>
        </w:tc>
        <w:tc>
          <w:tcPr>
            <w:tcW w:w="98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4"/>
                <w:szCs w:val="14"/>
                <w:b w:val="1"/>
                <w:bCs w:val="1"/>
                <w:color w:val="auto"/>
              </w:rPr>
              <w:t>Stock</w:t>
            </w:r>
          </w:p>
        </w:tc>
        <w:tc>
          <w:tcPr>
            <w:tcW w:w="1000" w:type="dxa"/>
            <w:vAlign w:val="bottom"/>
          </w:tcPr>
          <w:p>
            <w:pPr>
              <w:ind w:left="80"/>
              <w:spacing w:after="0"/>
              <w:rPr>
                <w:sz w:val="20"/>
                <w:szCs w:val="20"/>
                <w:color w:val="auto"/>
              </w:rPr>
            </w:pPr>
            <w:r>
              <w:rPr>
                <w:rFonts w:ascii="Arial" w:cs="Arial" w:eastAsia="Arial" w:hAnsi="Arial"/>
                <w:sz w:val="14"/>
                <w:szCs w:val="14"/>
                <w:b w:val="1"/>
                <w:bCs w:val="1"/>
                <w:color w:val="auto"/>
              </w:rPr>
              <w:t>Restricted</w:t>
            </w:r>
          </w:p>
        </w:tc>
        <w:tc>
          <w:tcPr>
            <w:tcW w:w="1000" w:type="dxa"/>
            <w:vAlign w:val="bottom"/>
          </w:tcPr>
          <w:p>
            <w:pPr>
              <w:ind w:left="80"/>
              <w:spacing w:after="0"/>
              <w:rPr>
                <w:sz w:val="20"/>
                <w:szCs w:val="20"/>
                <w:color w:val="auto"/>
              </w:rPr>
            </w:pPr>
            <w:r>
              <w:rPr>
                <w:rFonts w:ascii="Arial" w:cs="Arial" w:eastAsia="Arial" w:hAnsi="Arial"/>
                <w:sz w:val="14"/>
                <w:szCs w:val="14"/>
                <w:b w:val="1"/>
                <w:bCs w:val="1"/>
                <w:color w:val="auto"/>
              </w:rPr>
              <w:t>mance</w:t>
            </w:r>
          </w:p>
        </w:tc>
        <w:tc>
          <w:tcPr>
            <w:tcW w:w="980" w:type="dxa"/>
            <w:vAlign w:val="bottom"/>
          </w:tcPr>
          <w:p>
            <w:pPr>
              <w:ind w:left="80"/>
              <w:spacing w:after="0"/>
              <w:rPr>
                <w:sz w:val="20"/>
                <w:szCs w:val="20"/>
                <w:color w:val="auto"/>
              </w:rPr>
            </w:pPr>
            <w:r>
              <w:rPr>
                <w:rFonts w:ascii="Arial" w:cs="Arial" w:eastAsia="Arial" w:hAnsi="Arial"/>
                <w:sz w:val="14"/>
                <w:szCs w:val="14"/>
                <w:b w:val="1"/>
                <w:bCs w:val="1"/>
                <w:color w:val="auto"/>
              </w:rPr>
              <w:t>Gross-Up</w:t>
            </w:r>
          </w:p>
        </w:tc>
        <w:tc>
          <w:tcPr>
            <w:tcW w:w="1100" w:type="dxa"/>
            <w:vAlign w:val="bottom"/>
          </w:tcPr>
          <w:p>
            <w:pPr>
              <w:spacing w:after="0"/>
              <w:rPr>
                <w:sz w:val="14"/>
                <w:szCs w:val="14"/>
                <w:color w:val="auto"/>
              </w:rPr>
            </w:pPr>
          </w:p>
        </w:tc>
      </w:tr>
      <w:tr>
        <w:trPr>
          <w:trHeight w:val="162"/>
        </w:trPr>
        <w:tc>
          <w:tcPr>
            <w:tcW w:w="2740" w:type="dxa"/>
            <w:vAlign w:val="bottom"/>
          </w:tcPr>
          <w:p>
            <w:pPr>
              <w:spacing w:after="0"/>
              <w:rPr>
                <w:sz w:val="14"/>
                <w:szCs w:val="14"/>
                <w:color w:val="auto"/>
              </w:rPr>
            </w:pPr>
          </w:p>
        </w:tc>
        <w:tc>
          <w:tcPr>
            <w:tcW w:w="1020" w:type="dxa"/>
            <w:vAlign w:val="bottom"/>
          </w:tcPr>
          <w:p>
            <w:pPr>
              <w:ind w:left="120"/>
              <w:spacing w:after="0"/>
              <w:rPr>
                <w:sz w:val="20"/>
                <w:szCs w:val="20"/>
                <w:color w:val="auto"/>
              </w:rPr>
            </w:pPr>
            <w:r>
              <w:rPr>
                <w:rFonts w:ascii="Arial" w:cs="Arial" w:eastAsia="Arial" w:hAnsi="Arial"/>
                <w:sz w:val="14"/>
                <w:szCs w:val="14"/>
                <w:b w:val="1"/>
                <w:bCs w:val="1"/>
                <w:color w:val="auto"/>
              </w:rPr>
              <w:t>Lump Sum</w:t>
            </w:r>
          </w:p>
        </w:tc>
        <w:tc>
          <w:tcPr>
            <w:tcW w:w="1120" w:type="dxa"/>
            <w:vAlign w:val="bottom"/>
          </w:tcPr>
          <w:p>
            <w:pPr>
              <w:ind w:left="80"/>
              <w:spacing w:after="0"/>
              <w:rPr>
                <w:sz w:val="20"/>
                <w:szCs w:val="20"/>
                <w:color w:val="auto"/>
              </w:rPr>
            </w:pPr>
            <w:r>
              <w:rPr>
                <w:rFonts w:ascii="Arial" w:cs="Arial" w:eastAsia="Arial" w:hAnsi="Arial"/>
                <w:sz w:val="14"/>
                <w:szCs w:val="14"/>
                <w:b w:val="1"/>
                <w:bCs w:val="1"/>
                <w:color w:val="auto"/>
              </w:rPr>
              <w:t>Welfare</w:t>
            </w:r>
          </w:p>
        </w:tc>
        <w:tc>
          <w:tcPr>
            <w:tcW w:w="980" w:type="dxa"/>
            <w:vAlign w:val="bottom"/>
          </w:tcPr>
          <w:p>
            <w:pPr>
              <w:ind w:left="40"/>
              <w:spacing w:after="0"/>
              <w:rPr>
                <w:sz w:val="20"/>
                <w:szCs w:val="20"/>
                <w:color w:val="auto"/>
              </w:rPr>
            </w:pPr>
            <w:r>
              <w:rPr>
                <w:rFonts w:ascii="Arial" w:cs="Arial" w:eastAsia="Arial" w:hAnsi="Arial"/>
                <w:sz w:val="14"/>
                <w:szCs w:val="14"/>
                <w:b w:val="1"/>
                <w:bCs w:val="1"/>
                <w:color w:val="auto"/>
              </w:rPr>
              <w:t>Outplace-</w:t>
            </w:r>
          </w:p>
        </w:tc>
        <w:tc>
          <w:tcPr>
            <w:tcW w:w="1060" w:type="dxa"/>
            <w:vAlign w:val="bottom"/>
          </w:tcPr>
          <w:p>
            <w:pPr>
              <w:ind w:left="60"/>
              <w:spacing w:after="0"/>
              <w:rPr>
                <w:sz w:val="20"/>
                <w:szCs w:val="20"/>
                <w:color w:val="auto"/>
              </w:rPr>
            </w:pPr>
            <w:r>
              <w:rPr>
                <w:rFonts w:ascii="Arial" w:cs="Arial" w:eastAsia="Arial" w:hAnsi="Arial"/>
                <w:sz w:val="14"/>
                <w:szCs w:val="14"/>
                <w:b w:val="1"/>
                <w:bCs w:val="1"/>
                <w:color w:val="auto"/>
              </w:rPr>
              <w:t>Options/</w:t>
            </w:r>
          </w:p>
        </w:tc>
        <w:tc>
          <w:tcPr>
            <w:tcW w:w="1000" w:type="dxa"/>
            <w:vAlign w:val="bottom"/>
          </w:tcPr>
          <w:p>
            <w:pPr>
              <w:ind w:left="80"/>
              <w:spacing w:after="0"/>
              <w:rPr>
                <w:sz w:val="20"/>
                <w:szCs w:val="20"/>
                <w:color w:val="auto"/>
              </w:rPr>
            </w:pPr>
            <w:r>
              <w:rPr>
                <w:rFonts w:ascii="Arial" w:cs="Arial" w:eastAsia="Arial" w:hAnsi="Arial"/>
                <w:sz w:val="14"/>
                <w:szCs w:val="14"/>
                <w:b w:val="1"/>
                <w:bCs w:val="1"/>
                <w:color w:val="auto"/>
              </w:rPr>
              <w:t>Stock</w:t>
            </w:r>
          </w:p>
        </w:tc>
        <w:tc>
          <w:tcPr>
            <w:tcW w:w="1000" w:type="dxa"/>
            <w:vAlign w:val="bottom"/>
          </w:tcPr>
          <w:p>
            <w:pPr>
              <w:ind w:left="80"/>
              <w:spacing w:after="0"/>
              <w:rPr>
                <w:sz w:val="20"/>
                <w:szCs w:val="20"/>
                <w:color w:val="auto"/>
              </w:rPr>
            </w:pPr>
            <w:r>
              <w:rPr>
                <w:rFonts w:ascii="Arial" w:cs="Arial" w:eastAsia="Arial" w:hAnsi="Arial"/>
                <w:sz w:val="14"/>
                <w:szCs w:val="14"/>
                <w:b w:val="1"/>
                <w:bCs w:val="1"/>
                <w:color w:val="auto"/>
              </w:rPr>
              <w:t>Share</w:t>
            </w:r>
          </w:p>
        </w:tc>
        <w:tc>
          <w:tcPr>
            <w:tcW w:w="980" w:type="dxa"/>
            <w:vAlign w:val="bottom"/>
          </w:tcPr>
          <w:p>
            <w:pPr>
              <w:ind w:left="80"/>
              <w:spacing w:after="0"/>
              <w:rPr>
                <w:sz w:val="20"/>
                <w:szCs w:val="20"/>
                <w:color w:val="auto"/>
              </w:rPr>
            </w:pPr>
            <w:r>
              <w:rPr>
                <w:rFonts w:ascii="Arial" w:cs="Arial" w:eastAsia="Arial" w:hAnsi="Arial"/>
                <w:sz w:val="14"/>
                <w:szCs w:val="14"/>
                <w:b w:val="1"/>
                <w:bCs w:val="1"/>
                <w:color w:val="auto"/>
              </w:rPr>
              <w:t>/Cutback</w:t>
            </w:r>
          </w:p>
        </w:tc>
        <w:tc>
          <w:tcPr>
            <w:tcW w:w="1100" w:type="dxa"/>
            <w:vAlign w:val="bottom"/>
          </w:tcPr>
          <w:p>
            <w:pPr>
              <w:spacing w:after="0"/>
              <w:rPr>
                <w:sz w:val="14"/>
                <w:szCs w:val="14"/>
                <w:color w:val="auto"/>
              </w:rPr>
            </w:pPr>
          </w:p>
        </w:tc>
      </w:tr>
      <w:tr>
        <w:trPr>
          <w:trHeight w:val="162"/>
        </w:trPr>
        <w:tc>
          <w:tcPr>
            <w:tcW w:w="2740" w:type="dxa"/>
            <w:vAlign w:val="bottom"/>
          </w:tcPr>
          <w:p>
            <w:pPr>
              <w:ind w:left="40"/>
              <w:spacing w:after="0"/>
              <w:rPr>
                <w:sz w:val="20"/>
                <w:szCs w:val="20"/>
                <w:color w:val="auto"/>
              </w:rPr>
            </w:pPr>
            <w:r>
              <w:rPr>
                <w:rFonts w:ascii="Arial" w:cs="Arial" w:eastAsia="Arial" w:hAnsi="Arial"/>
                <w:sz w:val="14"/>
                <w:szCs w:val="14"/>
                <w:b w:val="1"/>
                <w:bCs w:val="1"/>
                <w:color w:val="auto"/>
              </w:rPr>
              <w:t>Named Executive</w:t>
            </w:r>
          </w:p>
        </w:tc>
        <w:tc>
          <w:tcPr>
            <w:tcW w:w="1020" w:type="dxa"/>
            <w:vAlign w:val="bottom"/>
          </w:tcPr>
          <w:p>
            <w:pPr>
              <w:ind w:left="120"/>
              <w:spacing w:after="0"/>
              <w:rPr>
                <w:sz w:val="20"/>
                <w:szCs w:val="20"/>
                <w:color w:val="auto"/>
              </w:rPr>
            </w:pPr>
            <w:r>
              <w:rPr>
                <w:rFonts w:ascii="Arial" w:cs="Arial" w:eastAsia="Arial" w:hAnsi="Arial"/>
                <w:sz w:val="14"/>
                <w:szCs w:val="14"/>
                <w:b w:val="1"/>
                <w:bCs w:val="1"/>
                <w:color w:val="auto"/>
              </w:rPr>
              <w:t>Amount</w:t>
            </w:r>
          </w:p>
        </w:tc>
        <w:tc>
          <w:tcPr>
            <w:tcW w:w="1120" w:type="dxa"/>
            <w:vAlign w:val="bottom"/>
          </w:tcPr>
          <w:p>
            <w:pPr>
              <w:ind w:left="80"/>
              <w:spacing w:after="0"/>
              <w:rPr>
                <w:sz w:val="20"/>
                <w:szCs w:val="20"/>
                <w:color w:val="auto"/>
              </w:rPr>
            </w:pPr>
            <w:r>
              <w:rPr>
                <w:rFonts w:ascii="Arial" w:cs="Arial" w:eastAsia="Arial" w:hAnsi="Arial"/>
                <w:sz w:val="14"/>
                <w:szCs w:val="14"/>
                <w:b w:val="1"/>
                <w:bCs w:val="1"/>
                <w:color w:val="auto"/>
              </w:rPr>
              <w:t>Benefits</w:t>
            </w:r>
          </w:p>
        </w:tc>
        <w:tc>
          <w:tcPr>
            <w:tcW w:w="980" w:type="dxa"/>
            <w:vAlign w:val="bottom"/>
          </w:tcPr>
          <w:p>
            <w:pPr>
              <w:ind w:left="40"/>
              <w:spacing w:after="0"/>
              <w:rPr>
                <w:sz w:val="20"/>
                <w:szCs w:val="20"/>
                <w:color w:val="auto"/>
              </w:rPr>
            </w:pPr>
            <w:r>
              <w:rPr>
                <w:rFonts w:ascii="Arial" w:cs="Arial" w:eastAsia="Arial" w:hAnsi="Arial"/>
                <w:sz w:val="14"/>
                <w:szCs w:val="14"/>
                <w:b w:val="1"/>
                <w:bCs w:val="1"/>
                <w:color w:val="auto"/>
              </w:rPr>
              <w:t>ment</w:t>
            </w:r>
          </w:p>
        </w:tc>
        <w:tc>
          <w:tcPr>
            <w:tcW w:w="1060" w:type="dxa"/>
            <w:vAlign w:val="bottom"/>
          </w:tcPr>
          <w:p>
            <w:pPr>
              <w:ind w:left="60"/>
              <w:spacing w:after="0"/>
              <w:rPr>
                <w:sz w:val="20"/>
                <w:szCs w:val="20"/>
                <w:color w:val="auto"/>
              </w:rPr>
            </w:pPr>
            <w:r>
              <w:rPr>
                <w:rFonts w:ascii="Arial" w:cs="Arial" w:eastAsia="Arial" w:hAnsi="Arial"/>
                <w:sz w:val="14"/>
                <w:szCs w:val="14"/>
                <w:b w:val="1"/>
                <w:bCs w:val="1"/>
                <w:color w:val="auto"/>
              </w:rPr>
              <w:t>SSARs</w:t>
            </w:r>
          </w:p>
        </w:tc>
        <w:tc>
          <w:tcPr>
            <w:tcW w:w="1000" w:type="dxa"/>
            <w:vAlign w:val="bottom"/>
          </w:tcPr>
          <w:p>
            <w:pPr>
              <w:ind w:left="80"/>
              <w:spacing w:after="0"/>
              <w:rPr>
                <w:sz w:val="20"/>
                <w:szCs w:val="20"/>
                <w:color w:val="auto"/>
              </w:rPr>
            </w:pPr>
            <w:r>
              <w:rPr>
                <w:rFonts w:ascii="Arial" w:cs="Arial" w:eastAsia="Arial" w:hAnsi="Arial"/>
                <w:sz w:val="14"/>
                <w:szCs w:val="14"/>
                <w:b w:val="1"/>
                <w:bCs w:val="1"/>
                <w:color w:val="auto"/>
              </w:rPr>
              <w:t>Units</w:t>
            </w:r>
          </w:p>
        </w:tc>
        <w:tc>
          <w:tcPr>
            <w:tcW w:w="1000" w:type="dxa"/>
            <w:vAlign w:val="bottom"/>
          </w:tcPr>
          <w:p>
            <w:pPr>
              <w:ind w:left="80"/>
              <w:spacing w:after="0"/>
              <w:rPr>
                <w:sz w:val="20"/>
                <w:szCs w:val="20"/>
                <w:color w:val="auto"/>
              </w:rPr>
            </w:pPr>
            <w:r>
              <w:rPr>
                <w:rFonts w:ascii="Arial" w:cs="Arial" w:eastAsia="Arial" w:hAnsi="Arial"/>
                <w:sz w:val="14"/>
                <w:szCs w:val="14"/>
                <w:b w:val="1"/>
                <w:bCs w:val="1"/>
                <w:color w:val="auto"/>
              </w:rPr>
              <w:t>Awards</w:t>
            </w:r>
          </w:p>
        </w:tc>
        <w:tc>
          <w:tcPr>
            <w:tcW w:w="980" w:type="dxa"/>
            <w:vAlign w:val="bottom"/>
          </w:tcPr>
          <w:p>
            <w:pPr>
              <w:ind w:left="80"/>
              <w:spacing w:after="0"/>
              <w:rPr>
                <w:sz w:val="20"/>
                <w:szCs w:val="20"/>
                <w:color w:val="auto"/>
              </w:rPr>
            </w:pPr>
            <w:r>
              <w:rPr>
                <w:rFonts w:ascii="Arial" w:cs="Arial" w:eastAsia="Arial" w:hAnsi="Arial"/>
                <w:sz w:val="14"/>
                <w:szCs w:val="14"/>
                <w:b w:val="1"/>
                <w:bCs w:val="1"/>
                <w:color w:val="auto"/>
              </w:rPr>
              <w:t>Amount</w:t>
            </w:r>
          </w:p>
        </w:tc>
        <w:tc>
          <w:tcPr>
            <w:tcW w:w="1100" w:type="dxa"/>
            <w:vAlign w:val="bottom"/>
          </w:tcPr>
          <w:p>
            <w:pPr>
              <w:ind w:left="40"/>
              <w:spacing w:after="0"/>
              <w:rPr>
                <w:sz w:val="20"/>
                <w:szCs w:val="20"/>
                <w:color w:val="auto"/>
              </w:rPr>
            </w:pPr>
            <w:r>
              <w:rPr>
                <w:rFonts w:ascii="Arial" w:cs="Arial" w:eastAsia="Arial" w:hAnsi="Arial"/>
                <w:sz w:val="14"/>
                <w:szCs w:val="14"/>
                <w:b w:val="1"/>
                <w:bCs w:val="1"/>
                <w:color w:val="auto"/>
              </w:rPr>
              <w:t>Total</w:t>
            </w:r>
          </w:p>
        </w:tc>
      </w:tr>
      <w:tr>
        <w:trPr>
          <w:trHeight w:val="189"/>
        </w:trPr>
        <w:tc>
          <w:tcPr>
            <w:tcW w:w="2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Officer</w:t>
            </w:r>
          </w:p>
        </w:tc>
        <w:tc>
          <w:tcPr>
            <w:tcW w:w="10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($)(1)</w:t>
            </w:r>
          </w:p>
        </w:tc>
        <w:tc>
          <w:tcPr>
            <w:tcW w:w="10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w:t>
            </w:r>
          </w:p>
        </w:tc>
        <w:tc>
          <w:tcPr>
            <w:tcW w:w="10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($)(3)</w:t>
            </w:r>
          </w:p>
        </w:tc>
        <w:tc>
          <w:tcPr>
            <w:tcW w:w="9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($)(4)</w:t>
            </w:r>
          </w:p>
        </w:tc>
        <w:tc>
          <w:tcPr>
            <w:tcW w:w="11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($)(5)</w:t>
            </w:r>
          </w:p>
        </w:tc>
      </w:tr>
      <w:tr>
        <w:trPr>
          <w:trHeight w:val="270"/>
        </w:trPr>
        <w:tc>
          <w:tcPr>
            <w:tcW w:w="274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6"/>
                <w:szCs w:val="16"/>
                <w:color w:val="auto"/>
              </w:rPr>
              <w:t>Robert A. Livingston</w:t>
            </w:r>
          </w:p>
        </w:tc>
        <w:tc>
          <w:tcPr>
            <w:tcW w:w="1020" w:type="dxa"/>
            <w:vAlign w:val="bottom"/>
            <w:tcBorders>
              <w:bottom w:val="single" w:sz="8" w:color="D8D8D8"/>
            </w:tcBorders>
            <w:shd w:val="clear" w:color="auto" w:fill="D8D8D8"/>
          </w:tcPr>
          <w:p>
            <w:pPr>
              <w:jc w:val="right"/>
              <w:ind w:right="2"/>
              <w:spacing w:after="0"/>
              <w:rPr>
                <w:sz w:val="20"/>
                <w:szCs w:val="20"/>
                <w:color w:val="auto"/>
              </w:rPr>
            </w:pPr>
            <w:r>
              <w:rPr>
                <w:rFonts w:ascii="Arial" w:cs="Arial" w:eastAsia="Arial" w:hAnsi="Arial"/>
                <w:sz w:val="16"/>
                <w:szCs w:val="16"/>
                <w:color w:val="auto"/>
              </w:rPr>
              <w:t>4,770,000</w:t>
            </w:r>
          </w:p>
        </w:tc>
        <w:tc>
          <w:tcPr>
            <w:tcW w:w="1120" w:type="dxa"/>
            <w:vAlign w:val="bottom"/>
            <w:tcBorders>
              <w:bottom w:val="single" w:sz="8" w:color="D8D8D8"/>
            </w:tcBorders>
            <w:shd w:val="clear" w:color="auto" w:fill="D8D8D8"/>
          </w:tcPr>
          <w:p>
            <w:pPr>
              <w:jc w:val="right"/>
              <w:spacing w:after="0"/>
              <w:rPr>
                <w:sz w:val="20"/>
                <w:szCs w:val="20"/>
                <w:color w:val="auto"/>
              </w:rPr>
            </w:pPr>
            <w:r>
              <w:rPr>
                <w:rFonts w:ascii="Arial" w:cs="Arial" w:eastAsia="Arial" w:hAnsi="Arial"/>
                <w:sz w:val="16"/>
                <w:szCs w:val="16"/>
                <w:color w:val="auto"/>
              </w:rPr>
              <w:t>19,615</w:t>
            </w:r>
          </w:p>
        </w:tc>
        <w:tc>
          <w:tcPr>
            <w:tcW w:w="980" w:type="dxa"/>
            <w:vAlign w:val="bottom"/>
            <w:tcBorders>
              <w:bottom w:val="single" w:sz="8" w:color="D8D8D8"/>
            </w:tcBorders>
            <w:shd w:val="clear" w:color="auto" w:fill="D8D8D8"/>
          </w:tcPr>
          <w:p>
            <w:pPr>
              <w:jc w:val="right"/>
              <w:spacing w:after="0"/>
              <w:rPr>
                <w:sz w:val="20"/>
                <w:szCs w:val="20"/>
                <w:color w:val="auto"/>
              </w:rPr>
            </w:pPr>
            <w:r>
              <w:rPr>
                <w:rFonts w:ascii="Arial" w:cs="Arial" w:eastAsia="Arial" w:hAnsi="Arial"/>
                <w:sz w:val="16"/>
                <w:szCs w:val="16"/>
                <w:color w:val="auto"/>
              </w:rPr>
              <w:t>10,000</w:t>
            </w:r>
          </w:p>
        </w:tc>
        <w:tc>
          <w:tcPr>
            <w:tcW w:w="1060" w:type="dxa"/>
            <w:vAlign w:val="bottom"/>
            <w:tcBorders>
              <w:bottom w:val="single" w:sz="8" w:color="D8D8D8"/>
            </w:tcBorders>
            <w:shd w:val="clear" w:color="auto" w:fill="D8D8D8"/>
          </w:tcPr>
          <w:p>
            <w:pPr>
              <w:jc w:val="right"/>
              <w:ind w:right="3"/>
              <w:spacing w:after="0"/>
              <w:rPr>
                <w:sz w:val="20"/>
                <w:szCs w:val="20"/>
                <w:color w:val="auto"/>
              </w:rPr>
            </w:pPr>
            <w:r>
              <w:rPr>
                <w:rFonts w:ascii="Arial" w:cs="Arial" w:eastAsia="Arial" w:hAnsi="Arial"/>
                <w:sz w:val="16"/>
                <w:szCs w:val="16"/>
                <w:color w:val="auto"/>
              </w:rPr>
              <w:t>36,808,849</w:t>
            </w:r>
          </w:p>
        </w:tc>
        <w:tc>
          <w:tcPr>
            <w:tcW w:w="1000" w:type="dxa"/>
            <w:vAlign w:val="bottom"/>
            <w:tcBorders>
              <w:bottom w:val="single" w:sz="8" w:color="D8D8D8"/>
            </w:tcBorders>
            <w:shd w:val="clear" w:color="auto" w:fill="D8D8D8"/>
          </w:tcPr>
          <w:p>
            <w:pPr>
              <w:jc w:val="right"/>
              <w:ind w:right="3"/>
              <w:spacing w:after="0"/>
              <w:rPr>
                <w:sz w:val="20"/>
                <w:szCs w:val="20"/>
                <w:color w:val="auto"/>
              </w:rPr>
            </w:pPr>
            <w:r>
              <w:rPr>
                <w:rFonts w:ascii="Arial" w:cs="Arial" w:eastAsia="Arial" w:hAnsi="Arial"/>
                <w:sz w:val="16"/>
                <w:szCs w:val="16"/>
                <w:color w:val="auto"/>
              </w:rPr>
              <w:t>3,845,699</w:t>
            </w:r>
          </w:p>
        </w:tc>
        <w:tc>
          <w:tcPr>
            <w:tcW w:w="1000" w:type="dxa"/>
            <w:vAlign w:val="bottom"/>
            <w:tcBorders>
              <w:bottom w:val="single" w:sz="8" w:color="D8D8D8"/>
            </w:tcBorders>
            <w:shd w:val="clear" w:color="auto" w:fill="D8D8D8"/>
          </w:tcPr>
          <w:p>
            <w:pPr>
              <w:jc w:val="right"/>
              <w:ind w:right="4"/>
              <w:spacing w:after="0"/>
              <w:rPr>
                <w:sz w:val="20"/>
                <w:szCs w:val="20"/>
                <w:color w:val="auto"/>
              </w:rPr>
            </w:pPr>
            <w:r>
              <w:rPr>
                <w:rFonts w:ascii="Arial" w:cs="Arial" w:eastAsia="Arial" w:hAnsi="Arial"/>
                <w:sz w:val="16"/>
                <w:szCs w:val="16"/>
                <w:color w:val="auto"/>
              </w:rPr>
              <w:t>4,012,838</w:t>
            </w:r>
          </w:p>
        </w:tc>
        <w:tc>
          <w:tcPr>
            <w:tcW w:w="980" w:type="dxa"/>
            <w:vAlign w:val="bottom"/>
            <w:tcBorders>
              <w:bottom w:val="single" w:sz="8" w:color="D8D8D8"/>
            </w:tcBorders>
            <w:shd w:val="clear" w:color="auto" w:fill="D8D8D8"/>
          </w:tcPr>
          <w:p>
            <w:pPr>
              <w:jc w:val="right"/>
              <w:spacing w:after="0"/>
              <w:rPr>
                <w:sz w:val="20"/>
                <w:szCs w:val="20"/>
                <w:color w:val="auto"/>
              </w:rPr>
            </w:pPr>
            <w:r>
              <w:rPr>
                <w:rFonts w:ascii="Arial" w:cs="Arial" w:eastAsia="Arial" w:hAnsi="Arial"/>
                <w:sz w:val="16"/>
                <w:szCs w:val="16"/>
                <w:color w:val="auto"/>
              </w:rPr>
              <w:t>0</w:t>
            </w:r>
          </w:p>
        </w:tc>
        <w:tc>
          <w:tcPr>
            <w:tcW w:w="1100" w:type="dxa"/>
            <w:vAlign w:val="bottom"/>
            <w:tcBorders>
              <w:bottom w:val="single" w:sz="8" w:color="D8D8D8"/>
            </w:tcBorders>
            <w:shd w:val="clear" w:color="auto" w:fill="D8D8D8"/>
          </w:tcPr>
          <w:p>
            <w:pPr>
              <w:jc w:val="right"/>
              <w:ind w:right="42"/>
              <w:spacing w:after="0"/>
              <w:rPr>
                <w:sz w:val="20"/>
                <w:szCs w:val="20"/>
                <w:color w:val="auto"/>
              </w:rPr>
            </w:pPr>
            <w:r>
              <w:rPr>
                <w:rFonts w:ascii="Arial" w:cs="Arial" w:eastAsia="Arial" w:hAnsi="Arial"/>
                <w:sz w:val="16"/>
                <w:szCs w:val="16"/>
                <w:color w:val="auto"/>
              </w:rPr>
              <w:t>49,467,000</w:t>
            </w:r>
          </w:p>
        </w:tc>
      </w:tr>
      <w:tr>
        <w:trPr>
          <w:trHeight w:val="264"/>
        </w:trPr>
        <w:tc>
          <w:tcPr>
            <w:tcW w:w="2740" w:type="dxa"/>
            <w:vAlign w:val="bottom"/>
          </w:tcPr>
          <w:p>
            <w:pPr>
              <w:ind w:left="40"/>
              <w:spacing w:after="0"/>
              <w:rPr>
                <w:sz w:val="20"/>
                <w:szCs w:val="20"/>
                <w:color w:val="auto"/>
              </w:rPr>
            </w:pPr>
            <w:r>
              <w:rPr>
                <w:rFonts w:ascii="Arial" w:cs="Arial" w:eastAsia="Arial" w:hAnsi="Arial"/>
                <w:sz w:val="16"/>
                <w:szCs w:val="16"/>
                <w:color w:val="auto"/>
              </w:rPr>
              <w:t>Brad M. Cerepak</w:t>
            </w: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2,740,000</w:t>
            </w:r>
          </w:p>
        </w:tc>
        <w:tc>
          <w:tcPr>
            <w:tcW w:w="1120" w:type="dxa"/>
            <w:vAlign w:val="bottom"/>
          </w:tcPr>
          <w:p>
            <w:pPr>
              <w:jc w:val="right"/>
              <w:spacing w:after="0"/>
              <w:rPr>
                <w:sz w:val="20"/>
                <w:szCs w:val="20"/>
                <w:color w:val="auto"/>
              </w:rPr>
            </w:pPr>
            <w:r>
              <w:rPr>
                <w:rFonts w:ascii="Arial" w:cs="Arial" w:eastAsia="Arial" w:hAnsi="Arial"/>
                <w:sz w:val="16"/>
                <w:szCs w:val="16"/>
                <w:color w:val="auto"/>
              </w:rPr>
              <w:t>19,615</w:t>
            </w:r>
          </w:p>
        </w:tc>
        <w:tc>
          <w:tcPr>
            <w:tcW w:w="980" w:type="dxa"/>
            <w:vAlign w:val="bottom"/>
          </w:tcPr>
          <w:p>
            <w:pPr>
              <w:jc w:val="right"/>
              <w:spacing w:after="0"/>
              <w:rPr>
                <w:sz w:val="20"/>
                <w:szCs w:val="20"/>
                <w:color w:val="auto"/>
              </w:rPr>
            </w:pPr>
            <w:r>
              <w:rPr>
                <w:rFonts w:ascii="Arial" w:cs="Arial" w:eastAsia="Arial" w:hAnsi="Arial"/>
                <w:sz w:val="16"/>
                <w:szCs w:val="16"/>
                <w:color w:val="auto"/>
              </w:rPr>
              <w:t>10,000</w:t>
            </w:r>
          </w:p>
        </w:tc>
        <w:tc>
          <w:tcPr>
            <w:tcW w:w="1060" w:type="dxa"/>
            <w:vAlign w:val="bottom"/>
          </w:tcPr>
          <w:p>
            <w:pPr>
              <w:jc w:val="right"/>
              <w:ind w:right="3"/>
              <w:spacing w:after="0"/>
              <w:rPr>
                <w:sz w:val="20"/>
                <w:szCs w:val="20"/>
                <w:color w:val="auto"/>
              </w:rPr>
            </w:pPr>
            <w:r>
              <w:rPr>
                <w:rFonts w:ascii="Arial" w:cs="Arial" w:eastAsia="Arial" w:hAnsi="Arial"/>
                <w:sz w:val="16"/>
                <w:szCs w:val="16"/>
                <w:color w:val="auto"/>
              </w:rPr>
              <w:t>10,302,669</w:t>
            </w:r>
          </w:p>
        </w:tc>
        <w:tc>
          <w:tcPr>
            <w:tcW w:w="1000" w:type="dxa"/>
            <w:vAlign w:val="bottom"/>
          </w:tcPr>
          <w:p>
            <w:pPr>
              <w:jc w:val="right"/>
              <w:ind w:right="3"/>
              <w:spacing w:after="0"/>
              <w:rPr>
                <w:sz w:val="20"/>
                <w:szCs w:val="20"/>
                <w:color w:val="auto"/>
              </w:rPr>
            </w:pPr>
            <w:r>
              <w:rPr>
                <w:rFonts w:ascii="Arial" w:cs="Arial" w:eastAsia="Arial" w:hAnsi="Arial"/>
                <w:sz w:val="16"/>
                <w:szCs w:val="16"/>
                <w:color w:val="auto"/>
              </w:rPr>
              <w:t>1,114,627</w:t>
            </w:r>
          </w:p>
        </w:tc>
        <w:tc>
          <w:tcPr>
            <w:tcW w:w="1000" w:type="dxa"/>
            <w:vAlign w:val="bottom"/>
          </w:tcPr>
          <w:p>
            <w:pPr>
              <w:jc w:val="right"/>
              <w:ind w:right="4"/>
              <w:spacing w:after="0"/>
              <w:rPr>
                <w:sz w:val="20"/>
                <w:szCs w:val="20"/>
                <w:color w:val="auto"/>
              </w:rPr>
            </w:pPr>
            <w:r>
              <w:rPr>
                <w:rFonts w:ascii="Arial" w:cs="Arial" w:eastAsia="Arial" w:hAnsi="Arial"/>
                <w:sz w:val="16"/>
                <w:szCs w:val="16"/>
                <w:color w:val="auto"/>
              </w:rPr>
              <w:t>1,162,193</w:t>
            </w:r>
          </w:p>
        </w:tc>
        <w:tc>
          <w:tcPr>
            <w:tcW w:w="980" w:type="dxa"/>
            <w:vAlign w:val="bottom"/>
          </w:tcPr>
          <w:p>
            <w:pPr>
              <w:jc w:val="right"/>
              <w:spacing w:after="0"/>
              <w:rPr>
                <w:sz w:val="20"/>
                <w:szCs w:val="20"/>
                <w:color w:val="auto"/>
              </w:rPr>
            </w:pPr>
            <w:r>
              <w:rPr>
                <w:rFonts w:ascii="Arial" w:cs="Arial" w:eastAsia="Arial" w:hAnsi="Arial"/>
                <w:sz w:val="16"/>
                <w:szCs w:val="16"/>
                <w:color w:val="auto"/>
              </w:rPr>
              <w:t>0</w:t>
            </w:r>
          </w:p>
        </w:tc>
        <w:tc>
          <w:tcPr>
            <w:tcW w:w="1100" w:type="dxa"/>
            <w:vAlign w:val="bottom"/>
          </w:tcPr>
          <w:p>
            <w:pPr>
              <w:jc w:val="right"/>
              <w:ind w:right="42"/>
              <w:spacing w:after="0"/>
              <w:rPr>
                <w:sz w:val="20"/>
                <w:szCs w:val="20"/>
                <w:color w:val="auto"/>
              </w:rPr>
            </w:pPr>
            <w:r>
              <w:rPr>
                <w:rFonts w:ascii="Arial" w:cs="Arial" w:eastAsia="Arial" w:hAnsi="Arial"/>
                <w:sz w:val="16"/>
                <w:szCs w:val="16"/>
                <w:color w:val="auto"/>
              </w:rPr>
              <w:t>15,349,103</w:t>
            </w:r>
          </w:p>
        </w:tc>
      </w:tr>
      <w:tr>
        <w:trPr>
          <w:trHeight w:val="46"/>
        </w:trPr>
        <w:tc>
          <w:tcPr>
            <w:tcW w:w="27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90"/>
        </w:trPr>
        <w:tc>
          <w:tcPr>
            <w:tcW w:w="274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6"/>
                <w:szCs w:val="16"/>
                <w:color w:val="auto"/>
              </w:rPr>
              <w:t>C. Anderson Fincher</w:t>
            </w:r>
          </w:p>
        </w:tc>
        <w:tc>
          <w:tcPr>
            <w:tcW w:w="1020" w:type="dxa"/>
            <w:vAlign w:val="bottom"/>
            <w:tcBorders>
              <w:bottom w:val="single" w:sz="8" w:color="D8D8D8"/>
            </w:tcBorders>
            <w:shd w:val="clear" w:color="auto" w:fill="D8D8D8"/>
          </w:tcPr>
          <w:p>
            <w:pPr>
              <w:jc w:val="right"/>
              <w:ind w:right="2"/>
              <w:spacing w:after="0"/>
              <w:rPr>
                <w:sz w:val="20"/>
                <w:szCs w:val="20"/>
                <w:color w:val="auto"/>
              </w:rPr>
            </w:pPr>
            <w:r>
              <w:rPr>
                <w:rFonts w:ascii="Arial" w:cs="Arial" w:eastAsia="Arial" w:hAnsi="Arial"/>
                <w:sz w:val="16"/>
                <w:szCs w:val="16"/>
                <w:color w:val="auto"/>
              </w:rPr>
              <w:t>2,180,000</w:t>
            </w:r>
          </w:p>
        </w:tc>
        <w:tc>
          <w:tcPr>
            <w:tcW w:w="1120" w:type="dxa"/>
            <w:vAlign w:val="bottom"/>
            <w:tcBorders>
              <w:bottom w:val="single" w:sz="8" w:color="D8D8D8"/>
            </w:tcBorders>
            <w:shd w:val="clear" w:color="auto" w:fill="D8D8D8"/>
          </w:tcPr>
          <w:p>
            <w:pPr>
              <w:jc w:val="right"/>
              <w:spacing w:after="0"/>
              <w:rPr>
                <w:sz w:val="20"/>
                <w:szCs w:val="20"/>
                <w:color w:val="auto"/>
              </w:rPr>
            </w:pPr>
            <w:r>
              <w:rPr>
                <w:rFonts w:ascii="Arial" w:cs="Arial" w:eastAsia="Arial" w:hAnsi="Arial"/>
                <w:sz w:val="16"/>
                <w:szCs w:val="16"/>
                <w:color w:val="auto"/>
              </w:rPr>
              <w:t>19,615</w:t>
            </w:r>
          </w:p>
        </w:tc>
        <w:tc>
          <w:tcPr>
            <w:tcW w:w="980" w:type="dxa"/>
            <w:vAlign w:val="bottom"/>
            <w:tcBorders>
              <w:bottom w:val="single" w:sz="8" w:color="D8D8D8"/>
            </w:tcBorders>
            <w:shd w:val="clear" w:color="auto" w:fill="D8D8D8"/>
          </w:tcPr>
          <w:p>
            <w:pPr>
              <w:jc w:val="right"/>
              <w:spacing w:after="0"/>
              <w:rPr>
                <w:sz w:val="20"/>
                <w:szCs w:val="20"/>
                <w:color w:val="auto"/>
              </w:rPr>
            </w:pPr>
            <w:r>
              <w:rPr>
                <w:rFonts w:ascii="Arial" w:cs="Arial" w:eastAsia="Arial" w:hAnsi="Arial"/>
                <w:sz w:val="16"/>
                <w:szCs w:val="16"/>
                <w:color w:val="auto"/>
              </w:rPr>
              <w:t>10,000</w:t>
            </w:r>
          </w:p>
        </w:tc>
        <w:tc>
          <w:tcPr>
            <w:tcW w:w="1060" w:type="dxa"/>
            <w:vAlign w:val="bottom"/>
            <w:tcBorders>
              <w:bottom w:val="single" w:sz="8" w:color="D8D8D8"/>
            </w:tcBorders>
            <w:shd w:val="clear" w:color="auto" w:fill="D8D8D8"/>
          </w:tcPr>
          <w:p>
            <w:pPr>
              <w:jc w:val="right"/>
              <w:ind w:right="3"/>
              <w:spacing w:after="0"/>
              <w:rPr>
                <w:sz w:val="20"/>
                <w:szCs w:val="20"/>
                <w:color w:val="auto"/>
              </w:rPr>
            </w:pPr>
            <w:r>
              <w:rPr>
                <w:rFonts w:ascii="Arial" w:cs="Arial" w:eastAsia="Arial" w:hAnsi="Arial"/>
                <w:sz w:val="16"/>
                <w:szCs w:val="16"/>
                <w:color w:val="auto"/>
              </w:rPr>
              <w:t>4,098,326</w:t>
            </w:r>
          </w:p>
        </w:tc>
        <w:tc>
          <w:tcPr>
            <w:tcW w:w="1000" w:type="dxa"/>
            <w:vAlign w:val="bottom"/>
            <w:tcBorders>
              <w:bottom w:val="single" w:sz="8" w:color="D8D8D8"/>
            </w:tcBorders>
            <w:shd w:val="clear" w:color="auto" w:fill="D8D8D8"/>
          </w:tcPr>
          <w:p>
            <w:pPr>
              <w:jc w:val="right"/>
              <w:ind w:right="3"/>
              <w:spacing w:after="0"/>
              <w:rPr>
                <w:sz w:val="20"/>
                <w:szCs w:val="20"/>
                <w:color w:val="auto"/>
              </w:rPr>
            </w:pPr>
            <w:r>
              <w:rPr>
                <w:rFonts w:ascii="Arial" w:cs="Arial" w:eastAsia="Arial" w:hAnsi="Arial"/>
                <w:sz w:val="16"/>
                <w:szCs w:val="16"/>
                <w:color w:val="auto"/>
              </w:rPr>
              <w:t>640,075</w:t>
            </w:r>
          </w:p>
        </w:tc>
        <w:tc>
          <w:tcPr>
            <w:tcW w:w="1000" w:type="dxa"/>
            <w:vAlign w:val="bottom"/>
            <w:tcBorders>
              <w:bottom w:val="single" w:sz="8" w:color="D8D8D8"/>
            </w:tcBorders>
            <w:shd w:val="clear" w:color="auto" w:fill="D8D8D8"/>
          </w:tcPr>
          <w:p>
            <w:pPr>
              <w:jc w:val="right"/>
              <w:ind w:right="4"/>
              <w:spacing w:after="0"/>
              <w:rPr>
                <w:sz w:val="20"/>
                <w:szCs w:val="20"/>
                <w:color w:val="auto"/>
              </w:rPr>
            </w:pPr>
            <w:r>
              <w:rPr>
                <w:rFonts w:ascii="Arial" w:cs="Arial" w:eastAsia="Arial" w:hAnsi="Arial"/>
                <w:sz w:val="16"/>
                <w:szCs w:val="16"/>
                <w:color w:val="auto"/>
              </w:rPr>
              <w:t>1,002,427</w:t>
            </w:r>
          </w:p>
        </w:tc>
        <w:tc>
          <w:tcPr>
            <w:tcW w:w="980" w:type="dxa"/>
            <w:vAlign w:val="bottom"/>
            <w:tcBorders>
              <w:bottom w:val="single" w:sz="8" w:color="D8D8D8"/>
            </w:tcBorders>
            <w:shd w:val="clear" w:color="auto" w:fill="D8D8D8"/>
          </w:tcPr>
          <w:p>
            <w:pPr>
              <w:jc w:val="right"/>
              <w:spacing w:after="0"/>
              <w:rPr>
                <w:sz w:val="20"/>
                <w:szCs w:val="20"/>
                <w:color w:val="auto"/>
              </w:rPr>
            </w:pPr>
            <w:r>
              <w:rPr>
                <w:rFonts w:ascii="Arial" w:cs="Arial" w:eastAsia="Arial" w:hAnsi="Arial"/>
                <w:sz w:val="16"/>
                <w:szCs w:val="16"/>
                <w:color w:val="auto"/>
              </w:rPr>
              <w:t>0</w:t>
            </w:r>
          </w:p>
        </w:tc>
        <w:tc>
          <w:tcPr>
            <w:tcW w:w="1100" w:type="dxa"/>
            <w:vAlign w:val="bottom"/>
            <w:tcBorders>
              <w:bottom w:val="single" w:sz="8" w:color="D8D8D8"/>
            </w:tcBorders>
            <w:shd w:val="clear" w:color="auto" w:fill="D8D8D8"/>
          </w:tcPr>
          <w:p>
            <w:pPr>
              <w:jc w:val="right"/>
              <w:ind w:right="42"/>
              <w:spacing w:after="0"/>
              <w:rPr>
                <w:sz w:val="20"/>
                <w:szCs w:val="20"/>
                <w:color w:val="auto"/>
              </w:rPr>
            </w:pPr>
            <w:r>
              <w:rPr>
                <w:rFonts w:ascii="Arial" w:cs="Arial" w:eastAsia="Arial" w:hAnsi="Arial"/>
                <w:sz w:val="16"/>
                <w:szCs w:val="16"/>
                <w:color w:val="auto"/>
              </w:rPr>
              <w:t>7,950,442</w:t>
            </w:r>
          </w:p>
        </w:tc>
      </w:tr>
      <w:tr>
        <w:trPr>
          <w:trHeight w:val="264"/>
        </w:trPr>
        <w:tc>
          <w:tcPr>
            <w:tcW w:w="2740" w:type="dxa"/>
            <w:vAlign w:val="bottom"/>
          </w:tcPr>
          <w:p>
            <w:pPr>
              <w:ind w:left="40"/>
              <w:spacing w:after="0"/>
              <w:rPr>
                <w:sz w:val="20"/>
                <w:szCs w:val="20"/>
                <w:color w:val="auto"/>
              </w:rPr>
            </w:pPr>
            <w:r>
              <w:rPr>
                <w:rFonts w:ascii="Arial" w:cs="Arial" w:eastAsia="Arial" w:hAnsi="Arial"/>
                <w:sz w:val="16"/>
                <w:szCs w:val="16"/>
                <w:color w:val="auto"/>
              </w:rPr>
              <w:t>Sivasankaran Somasundaram</w:t>
            </w: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2,140,000</w:t>
            </w:r>
          </w:p>
        </w:tc>
        <w:tc>
          <w:tcPr>
            <w:tcW w:w="1120" w:type="dxa"/>
            <w:vAlign w:val="bottom"/>
          </w:tcPr>
          <w:p>
            <w:pPr>
              <w:jc w:val="right"/>
              <w:spacing w:after="0"/>
              <w:rPr>
                <w:sz w:val="20"/>
                <w:szCs w:val="20"/>
                <w:color w:val="auto"/>
              </w:rPr>
            </w:pPr>
            <w:r>
              <w:rPr>
                <w:rFonts w:ascii="Arial" w:cs="Arial" w:eastAsia="Arial" w:hAnsi="Arial"/>
                <w:sz w:val="16"/>
                <w:szCs w:val="16"/>
                <w:color w:val="auto"/>
              </w:rPr>
              <w:t>18,981</w:t>
            </w:r>
          </w:p>
        </w:tc>
        <w:tc>
          <w:tcPr>
            <w:tcW w:w="980" w:type="dxa"/>
            <w:vAlign w:val="bottom"/>
          </w:tcPr>
          <w:p>
            <w:pPr>
              <w:jc w:val="right"/>
              <w:spacing w:after="0"/>
              <w:rPr>
                <w:sz w:val="20"/>
                <w:szCs w:val="20"/>
                <w:color w:val="auto"/>
              </w:rPr>
            </w:pPr>
            <w:r>
              <w:rPr>
                <w:rFonts w:ascii="Arial" w:cs="Arial" w:eastAsia="Arial" w:hAnsi="Arial"/>
                <w:sz w:val="16"/>
                <w:szCs w:val="16"/>
                <w:color w:val="auto"/>
              </w:rPr>
              <w:t>10,000</w:t>
            </w:r>
          </w:p>
        </w:tc>
        <w:tc>
          <w:tcPr>
            <w:tcW w:w="1060" w:type="dxa"/>
            <w:vAlign w:val="bottom"/>
          </w:tcPr>
          <w:p>
            <w:pPr>
              <w:jc w:val="right"/>
              <w:ind w:right="3"/>
              <w:spacing w:after="0"/>
              <w:rPr>
                <w:sz w:val="20"/>
                <w:szCs w:val="20"/>
                <w:color w:val="auto"/>
              </w:rPr>
            </w:pPr>
            <w:r>
              <w:rPr>
                <w:rFonts w:ascii="Arial" w:cs="Arial" w:eastAsia="Arial" w:hAnsi="Arial"/>
                <w:sz w:val="16"/>
                <w:szCs w:val="16"/>
                <w:color w:val="auto"/>
              </w:rPr>
              <w:t>4,098,326</w:t>
            </w:r>
          </w:p>
        </w:tc>
        <w:tc>
          <w:tcPr>
            <w:tcW w:w="1000" w:type="dxa"/>
            <w:vAlign w:val="bottom"/>
          </w:tcPr>
          <w:p>
            <w:pPr>
              <w:jc w:val="right"/>
              <w:ind w:right="3"/>
              <w:spacing w:after="0"/>
              <w:rPr>
                <w:sz w:val="20"/>
                <w:szCs w:val="20"/>
                <w:color w:val="auto"/>
              </w:rPr>
            </w:pPr>
            <w:r>
              <w:rPr>
                <w:rFonts w:ascii="Arial" w:cs="Arial" w:eastAsia="Arial" w:hAnsi="Arial"/>
                <w:sz w:val="16"/>
                <w:szCs w:val="16"/>
                <w:color w:val="auto"/>
              </w:rPr>
              <w:t>640,075</w:t>
            </w:r>
          </w:p>
        </w:tc>
        <w:tc>
          <w:tcPr>
            <w:tcW w:w="1000" w:type="dxa"/>
            <w:vAlign w:val="bottom"/>
          </w:tcPr>
          <w:p>
            <w:pPr>
              <w:jc w:val="right"/>
              <w:ind w:right="4"/>
              <w:spacing w:after="0"/>
              <w:rPr>
                <w:sz w:val="20"/>
                <w:szCs w:val="20"/>
                <w:color w:val="auto"/>
              </w:rPr>
            </w:pPr>
            <w:r>
              <w:rPr>
                <w:rFonts w:ascii="Arial" w:cs="Arial" w:eastAsia="Arial" w:hAnsi="Arial"/>
                <w:sz w:val="16"/>
                <w:szCs w:val="16"/>
                <w:color w:val="auto"/>
              </w:rPr>
              <w:t>1,002,427</w:t>
            </w:r>
          </w:p>
        </w:tc>
        <w:tc>
          <w:tcPr>
            <w:tcW w:w="980" w:type="dxa"/>
            <w:vAlign w:val="bottom"/>
          </w:tcPr>
          <w:p>
            <w:pPr>
              <w:jc w:val="right"/>
              <w:spacing w:after="0"/>
              <w:rPr>
                <w:sz w:val="20"/>
                <w:szCs w:val="20"/>
                <w:color w:val="auto"/>
              </w:rPr>
            </w:pPr>
            <w:r>
              <w:rPr>
                <w:rFonts w:ascii="Arial" w:cs="Arial" w:eastAsia="Arial" w:hAnsi="Arial"/>
                <w:sz w:val="16"/>
                <w:szCs w:val="16"/>
                <w:color w:val="auto"/>
              </w:rPr>
              <w:t>0</w:t>
            </w:r>
          </w:p>
        </w:tc>
        <w:tc>
          <w:tcPr>
            <w:tcW w:w="1100" w:type="dxa"/>
            <w:vAlign w:val="bottom"/>
          </w:tcPr>
          <w:p>
            <w:pPr>
              <w:jc w:val="right"/>
              <w:ind w:right="42"/>
              <w:spacing w:after="0"/>
              <w:rPr>
                <w:sz w:val="20"/>
                <w:szCs w:val="20"/>
                <w:color w:val="auto"/>
              </w:rPr>
            </w:pPr>
            <w:r>
              <w:rPr>
                <w:rFonts w:ascii="Arial" w:cs="Arial" w:eastAsia="Arial" w:hAnsi="Arial"/>
                <w:sz w:val="16"/>
                <w:szCs w:val="16"/>
                <w:color w:val="auto"/>
              </w:rPr>
              <w:t>7,909,809</w:t>
            </w:r>
          </w:p>
        </w:tc>
      </w:tr>
      <w:tr>
        <w:trPr>
          <w:trHeight w:val="46"/>
        </w:trPr>
        <w:tc>
          <w:tcPr>
            <w:tcW w:w="27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90"/>
        </w:trPr>
        <w:tc>
          <w:tcPr>
            <w:tcW w:w="274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6"/>
                <w:szCs w:val="16"/>
                <w:color w:val="auto"/>
              </w:rPr>
              <w:t>William W. Spurgeon Jr.</w:t>
            </w:r>
          </w:p>
        </w:tc>
        <w:tc>
          <w:tcPr>
            <w:tcW w:w="1020" w:type="dxa"/>
            <w:vAlign w:val="bottom"/>
            <w:tcBorders>
              <w:bottom w:val="single" w:sz="8" w:color="D8D8D8"/>
            </w:tcBorders>
            <w:shd w:val="clear" w:color="auto" w:fill="D8D8D8"/>
          </w:tcPr>
          <w:p>
            <w:pPr>
              <w:jc w:val="right"/>
              <w:ind w:right="2"/>
              <w:spacing w:after="0"/>
              <w:rPr>
                <w:sz w:val="20"/>
                <w:szCs w:val="20"/>
                <w:color w:val="auto"/>
              </w:rPr>
            </w:pPr>
            <w:r>
              <w:rPr>
                <w:rFonts w:ascii="Arial" w:cs="Arial" w:eastAsia="Arial" w:hAnsi="Arial"/>
                <w:sz w:val="16"/>
                <w:szCs w:val="16"/>
                <w:color w:val="auto"/>
              </w:rPr>
              <w:t>2,600,000</w:t>
            </w:r>
          </w:p>
        </w:tc>
        <w:tc>
          <w:tcPr>
            <w:tcW w:w="1120" w:type="dxa"/>
            <w:vAlign w:val="bottom"/>
            <w:tcBorders>
              <w:bottom w:val="single" w:sz="8" w:color="D8D8D8"/>
            </w:tcBorders>
            <w:shd w:val="clear" w:color="auto" w:fill="D8D8D8"/>
          </w:tcPr>
          <w:p>
            <w:pPr>
              <w:jc w:val="right"/>
              <w:spacing w:after="0"/>
              <w:rPr>
                <w:sz w:val="20"/>
                <w:szCs w:val="20"/>
                <w:color w:val="auto"/>
              </w:rPr>
            </w:pPr>
            <w:r>
              <w:rPr>
                <w:rFonts w:ascii="Arial" w:cs="Arial" w:eastAsia="Arial" w:hAnsi="Arial"/>
                <w:sz w:val="16"/>
                <w:szCs w:val="16"/>
                <w:color w:val="auto"/>
              </w:rPr>
              <w:t>15,717</w:t>
            </w:r>
          </w:p>
        </w:tc>
        <w:tc>
          <w:tcPr>
            <w:tcW w:w="980" w:type="dxa"/>
            <w:vAlign w:val="bottom"/>
            <w:tcBorders>
              <w:bottom w:val="single" w:sz="8" w:color="D8D8D8"/>
            </w:tcBorders>
            <w:shd w:val="clear" w:color="auto" w:fill="D8D8D8"/>
          </w:tcPr>
          <w:p>
            <w:pPr>
              <w:jc w:val="right"/>
              <w:spacing w:after="0"/>
              <w:rPr>
                <w:sz w:val="20"/>
                <w:szCs w:val="20"/>
                <w:color w:val="auto"/>
              </w:rPr>
            </w:pPr>
            <w:r>
              <w:rPr>
                <w:rFonts w:ascii="Arial" w:cs="Arial" w:eastAsia="Arial" w:hAnsi="Arial"/>
                <w:sz w:val="16"/>
                <w:szCs w:val="16"/>
                <w:color w:val="auto"/>
              </w:rPr>
              <w:t>10,000</w:t>
            </w:r>
          </w:p>
        </w:tc>
        <w:tc>
          <w:tcPr>
            <w:tcW w:w="1060" w:type="dxa"/>
            <w:vAlign w:val="bottom"/>
            <w:tcBorders>
              <w:bottom w:val="single" w:sz="8" w:color="D8D8D8"/>
            </w:tcBorders>
            <w:shd w:val="clear" w:color="auto" w:fill="D8D8D8"/>
          </w:tcPr>
          <w:p>
            <w:pPr>
              <w:jc w:val="right"/>
              <w:ind w:right="3"/>
              <w:spacing w:after="0"/>
              <w:rPr>
                <w:sz w:val="20"/>
                <w:szCs w:val="20"/>
                <w:color w:val="auto"/>
              </w:rPr>
            </w:pPr>
            <w:r>
              <w:rPr>
                <w:rFonts w:ascii="Arial" w:cs="Arial" w:eastAsia="Arial" w:hAnsi="Arial"/>
                <w:sz w:val="16"/>
                <w:szCs w:val="16"/>
                <w:color w:val="auto"/>
              </w:rPr>
              <w:t>4,633,550</w:t>
            </w:r>
          </w:p>
        </w:tc>
        <w:tc>
          <w:tcPr>
            <w:tcW w:w="1000" w:type="dxa"/>
            <w:vAlign w:val="bottom"/>
            <w:tcBorders>
              <w:bottom w:val="single" w:sz="8" w:color="D8D8D8"/>
            </w:tcBorders>
            <w:shd w:val="clear" w:color="auto" w:fill="D8D8D8"/>
          </w:tcPr>
          <w:p>
            <w:pPr>
              <w:jc w:val="right"/>
              <w:ind w:right="3"/>
              <w:spacing w:after="0"/>
              <w:rPr>
                <w:sz w:val="20"/>
                <w:szCs w:val="20"/>
                <w:color w:val="auto"/>
              </w:rPr>
            </w:pPr>
            <w:r>
              <w:rPr>
                <w:rFonts w:ascii="Arial" w:cs="Arial" w:eastAsia="Arial" w:hAnsi="Arial"/>
                <w:sz w:val="16"/>
                <w:szCs w:val="16"/>
                <w:color w:val="auto"/>
              </w:rPr>
              <w:t>640,075</w:t>
            </w:r>
          </w:p>
        </w:tc>
        <w:tc>
          <w:tcPr>
            <w:tcW w:w="1000" w:type="dxa"/>
            <w:vAlign w:val="bottom"/>
            <w:tcBorders>
              <w:bottom w:val="single" w:sz="8" w:color="D8D8D8"/>
            </w:tcBorders>
            <w:shd w:val="clear" w:color="auto" w:fill="D8D8D8"/>
          </w:tcPr>
          <w:p>
            <w:pPr>
              <w:jc w:val="right"/>
              <w:ind w:right="4"/>
              <w:spacing w:after="0"/>
              <w:rPr>
                <w:sz w:val="20"/>
                <w:szCs w:val="20"/>
                <w:color w:val="auto"/>
              </w:rPr>
            </w:pPr>
            <w:r>
              <w:rPr>
                <w:rFonts w:ascii="Arial" w:cs="Arial" w:eastAsia="Arial" w:hAnsi="Arial"/>
                <w:sz w:val="16"/>
                <w:szCs w:val="16"/>
                <w:color w:val="auto"/>
              </w:rPr>
              <w:t>1,002,427</w:t>
            </w:r>
          </w:p>
        </w:tc>
        <w:tc>
          <w:tcPr>
            <w:tcW w:w="980" w:type="dxa"/>
            <w:vAlign w:val="bottom"/>
            <w:tcBorders>
              <w:bottom w:val="single" w:sz="8" w:color="D8D8D8"/>
            </w:tcBorders>
            <w:shd w:val="clear" w:color="auto" w:fill="D8D8D8"/>
          </w:tcPr>
          <w:p>
            <w:pPr>
              <w:jc w:val="right"/>
              <w:spacing w:after="0"/>
              <w:rPr>
                <w:sz w:val="20"/>
                <w:szCs w:val="20"/>
                <w:color w:val="auto"/>
              </w:rPr>
            </w:pPr>
            <w:r>
              <w:rPr>
                <w:rFonts w:ascii="Arial" w:cs="Arial" w:eastAsia="Arial" w:hAnsi="Arial"/>
                <w:sz w:val="16"/>
                <w:szCs w:val="16"/>
                <w:color w:val="auto"/>
              </w:rPr>
              <w:t>0</w:t>
            </w:r>
          </w:p>
        </w:tc>
        <w:tc>
          <w:tcPr>
            <w:tcW w:w="1100" w:type="dxa"/>
            <w:vAlign w:val="bottom"/>
            <w:tcBorders>
              <w:bottom w:val="single" w:sz="8" w:color="D8D8D8"/>
            </w:tcBorders>
            <w:shd w:val="clear" w:color="auto" w:fill="D8D8D8"/>
          </w:tcPr>
          <w:p>
            <w:pPr>
              <w:jc w:val="right"/>
              <w:ind w:right="42"/>
              <w:spacing w:after="0"/>
              <w:rPr>
                <w:sz w:val="20"/>
                <w:szCs w:val="20"/>
                <w:color w:val="auto"/>
              </w:rPr>
            </w:pPr>
            <w:r>
              <w:rPr>
                <w:rFonts w:ascii="Arial" w:cs="Arial" w:eastAsia="Arial" w:hAnsi="Arial"/>
                <w:sz w:val="16"/>
                <w:szCs w:val="16"/>
                <w:color w:val="auto"/>
              </w:rPr>
              <w:t>8,901,768</w:t>
            </w:r>
          </w:p>
        </w:tc>
      </w:tr>
      <w:tr>
        <w:trPr>
          <w:trHeight w:val="20"/>
        </w:trPr>
        <w:tc>
          <w:tcPr>
            <w:tcW w:w="27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r>
    </w:tbl>
    <w:p>
      <w:pPr>
        <w:spacing w:after="0" w:line="53" w:lineRule="exact"/>
        <w:rPr>
          <w:sz w:val="20"/>
          <w:szCs w:val="20"/>
          <w:color w:val="auto"/>
        </w:rPr>
      </w:pPr>
    </w:p>
    <w:p>
      <w:pPr>
        <w:ind w:left="540" w:hanging="330"/>
        <w:spacing w:after="0"/>
        <w:tabs>
          <w:tab w:leader="none" w:pos="540" w:val="left"/>
        </w:tabs>
        <w:numPr>
          <w:ilvl w:val="0"/>
          <w:numId w:val="60"/>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acceleration of vesting of SSAR awards granted under the LTIP.</w:t>
      </w:r>
    </w:p>
    <w:p>
      <w:pPr>
        <w:spacing w:after="0" w:line="20" w:lineRule="exact"/>
        <w:rPr>
          <w:rFonts w:ascii="Arial" w:cs="Arial" w:eastAsia="Arial" w:hAnsi="Arial"/>
          <w:sz w:val="16"/>
          <w:szCs w:val="16"/>
          <w:i w:val="1"/>
          <w:iCs w:val="1"/>
          <w:color w:val="auto"/>
        </w:rPr>
      </w:pPr>
    </w:p>
    <w:p>
      <w:pPr>
        <w:ind w:left="540" w:hanging="330"/>
        <w:spacing w:after="0"/>
        <w:tabs>
          <w:tab w:leader="none" w:pos="540" w:val="left"/>
        </w:tabs>
        <w:numPr>
          <w:ilvl w:val="0"/>
          <w:numId w:val="60"/>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restricted stock units granted under the LTIP.</w:t>
      </w:r>
    </w:p>
    <w:p>
      <w:pPr>
        <w:spacing w:after="0" w:line="4" w:lineRule="exact"/>
        <w:rPr>
          <w:rFonts w:ascii="Arial" w:cs="Arial" w:eastAsia="Arial" w:hAnsi="Arial"/>
          <w:sz w:val="16"/>
          <w:szCs w:val="16"/>
          <w:i w:val="1"/>
          <w:iCs w:val="1"/>
          <w:color w:val="auto"/>
        </w:rPr>
      </w:pPr>
    </w:p>
    <w:p>
      <w:pPr>
        <w:ind w:left="540" w:hanging="330"/>
        <w:spacing w:after="0"/>
        <w:tabs>
          <w:tab w:leader="none" w:pos="540" w:val="left"/>
        </w:tabs>
        <w:numPr>
          <w:ilvl w:val="0"/>
          <w:numId w:val="60"/>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payout at target of performance share awards granted under the LTIP for the 2016-2018 and 2017-2019 performance periods.</w:t>
      </w:r>
    </w:p>
    <w:p>
      <w:pPr>
        <w:spacing w:after="0" w:line="4" w:lineRule="exact"/>
        <w:rPr>
          <w:rFonts w:ascii="Arial" w:cs="Arial" w:eastAsia="Arial" w:hAnsi="Arial"/>
          <w:sz w:val="16"/>
          <w:szCs w:val="16"/>
          <w:i w:val="1"/>
          <w:iCs w:val="1"/>
          <w:color w:val="auto"/>
        </w:rPr>
      </w:pPr>
    </w:p>
    <w:p>
      <w:pPr>
        <w:ind w:left="540" w:hanging="330"/>
        <w:spacing w:after="0"/>
        <w:tabs>
          <w:tab w:leader="none" w:pos="540" w:val="left"/>
        </w:tabs>
        <w:numPr>
          <w:ilvl w:val="0"/>
          <w:numId w:val="60"/>
        </w:numPr>
        <w:rPr>
          <w:rFonts w:ascii="Arial" w:cs="Arial" w:eastAsia="Arial" w:hAnsi="Arial"/>
          <w:sz w:val="16"/>
          <w:szCs w:val="16"/>
          <w:i w:val="1"/>
          <w:iCs w:val="1"/>
          <w:color w:val="auto"/>
        </w:rPr>
      </w:pPr>
      <w:r>
        <w:rPr>
          <w:rFonts w:ascii="Arial" w:cs="Arial" w:eastAsia="Arial" w:hAnsi="Arial"/>
          <w:sz w:val="16"/>
          <w:szCs w:val="16"/>
          <w:i w:val="1"/>
          <w:iCs w:val="1"/>
          <w:color w:val="auto"/>
        </w:rPr>
        <w:t>The cutback amount shown in this column reflects the application of the “best net” provisions under the CIC severance plan as described above.</w:t>
      </w:r>
    </w:p>
    <w:p>
      <w:pPr>
        <w:spacing w:after="0" w:line="4" w:lineRule="exact"/>
        <w:rPr>
          <w:rFonts w:ascii="Arial" w:cs="Arial" w:eastAsia="Arial" w:hAnsi="Arial"/>
          <w:sz w:val="16"/>
          <w:szCs w:val="16"/>
          <w:i w:val="1"/>
          <w:iCs w:val="1"/>
          <w:color w:val="auto"/>
        </w:rPr>
      </w:pPr>
    </w:p>
    <w:p>
      <w:pPr>
        <w:ind w:left="540" w:right="300" w:hanging="330"/>
        <w:spacing w:after="0" w:line="260" w:lineRule="auto"/>
        <w:tabs>
          <w:tab w:leader="none" w:pos="540" w:val="left"/>
        </w:tabs>
        <w:numPr>
          <w:ilvl w:val="0"/>
          <w:numId w:val="60"/>
        </w:numPr>
        <w:rPr>
          <w:rFonts w:ascii="Arial" w:cs="Arial" w:eastAsia="Arial" w:hAnsi="Arial"/>
          <w:sz w:val="16"/>
          <w:szCs w:val="16"/>
          <w:i w:val="1"/>
          <w:iCs w:val="1"/>
          <w:color w:val="auto"/>
        </w:rPr>
      </w:pPr>
      <w:r>
        <w:rPr>
          <w:rFonts w:ascii="Arial" w:cs="Arial" w:eastAsia="Arial" w:hAnsi="Arial"/>
          <w:sz w:val="16"/>
          <w:szCs w:val="16"/>
          <w:i w:val="1"/>
          <w:iCs w:val="1"/>
          <w:color w:val="auto"/>
        </w:rPr>
        <w:t>For additional potential amounts payable upon a change-in-control under Dover’s employee benefit plans without termination of employment, see table on previous page.</w:t>
      </w:r>
    </w:p>
    <w:p>
      <w:pPr>
        <w:spacing w:after="0" w:line="10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70</w:t>
      </w:r>
    </w:p>
    <w:p>
      <w:pPr>
        <w:sectPr>
          <w:pgSz w:w="11900" w:h="16838" w:orient="portrait"/>
          <w:cols w:equalWidth="0" w:num="1">
            <w:col w:w="11220"/>
          </w:cols>
          <w:pgMar w:left="240" w:top="459" w:right="4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76" w:lineRule="exact"/>
        <w:rPr>
          <w:sz w:val="20"/>
          <w:szCs w:val="20"/>
          <w:color w:val="auto"/>
        </w:rPr>
      </w:pPr>
    </w:p>
    <w:p>
      <w:pPr>
        <w:ind w:left="220" w:right="3140"/>
        <w:spacing w:after="0" w:line="295" w:lineRule="auto"/>
        <w:rPr>
          <w:sz w:val="20"/>
          <w:szCs w:val="20"/>
          <w:color w:val="auto"/>
        </w:rPr>
      </w:pPr>
      <w:r>
        <w:rPr>
          <w:rFonts w:ascii="Arial" w:cs="Arial" w:eastAsia="Arial" w:hAnsi="Arial"/>
          <w:sz w:val="35"/>
          <w:szCs w:val="35"/>
          <w:b w:val="1"/>
          <w:bCs w:val="1"/>
          <w:color w:val="32406B"/>
        </w:rPr>
        <w:t>Proposal 3 — Advisory Resolution to Approve Named Executive Officer Compensation</w:t>
      </w:r>
    </w:p>
    <w:p>
      <w:pPr>
        <w:spacing w:after="0" w:line="112" w:lineRule="exact"/>
        <w:rPr>
          <w:sz w:val="20"/>
          <w:szCs w:val="20"/>
          <w:color w:val="auto"/>
        </w:rPr>
      </w:pPr>
    </w:p>
    <w:p>
      <w:pPr>
        <w:ind w:left="220" w:right="720"/>
        <w:spacing w:after="0" w:line="260" w:lineRule="auto"/>
        <w:rPr>
          <w:sz w:val="20"/>
          <w:szCs w:val="20"/>
          <w:color w:val="auto"/>
        </w:rPr>
      </w:pPr>
      <w:r>
        <w:rPr>
          <w:rFonts w:ascii="Arial" w:cs="Arial" w:eastAsia="Arial" w:hAnsi="Arial"/>
          <w:sz w:val="16"/>
          <w:szCs w:val="16"/>
          <w:color w:val="auto"/>
        </w:rPr>
        <w:t>Each year, we offer our shareholders an opportunity to vote to approve, on an advisory and nonbinding basis, the compensation of our NEOs as disclosed in this Proxy Statement in accordance with Section 14A of the Exchange Act.</w:t>
      </w:r>
    </w:p>
    <w:p>
      <w:pPr>
        <w:spacing w:after="0" w:line="168" w:lineRule="exact"/>
        <w:rPr>
          <w:sz w:val="20"/>
          <w:szCs w:val="20"/>
          <w:color w:val="auto"/>
        </w:rPr>
      </w:pPr>
    </w:p>
    <w:p>
      <w:pPr>
        <w:ind w:left="220" w:right="80"/>
        <w:spacing w:after="0" w:line="249" w:lineRule="auto"/>
        <w:rPr>
          <w:sz w:val="20"/>
          <w:szCs w:val="20"/>
          <w:color w:val="auto"/>
        </w:rPr>
      </w:pPr>
      <w:r>
        <w:rPr>
          <w:rFonts w:ascii="Arial" w:cs="Arial" w:eastAsia="Arial" w:hAnsi="Arial"/>
          <w:sz w:val="16"/>
          <w:szCs w:val="16"/>
          <w:color w:val="auto"/>
        </w:rPr>
        <w:t>We are asking our shareholders to indicate their support for our NEO compensation as described in this Proxy Statement. This proposal, commonly known as a “say-on-pay” proposal, gives our shareholders the opportunity to express their views on our NEOs’ compensation. We believe that Dover’s compensation programs are well designed and reinforce our strategic focus on continued revenue and profit growth. Over the past few years, Dover has enacted many changes to its programs that are outlined in the Compensation Discussion and Analysis section of this Proxy Statement. We believe these changes have further strengthened the linkage between our compensation programs and the creation of shareholder value. At the 2017 Annual Meeting, 96% of the voting shareholders approved the compensation of the NEOs.</w:t>
      </w:r>
    </w:p>
    <w:p>
      <w:pPr>
        <w:spacing w:after="0" w:line="163" w:lineRule="exact"/>
        <w:rPr>
          <w:sz w:val="20"/>
          <w:szCs w:val="20"/>
          <w:color w:val="auto"/>
        </w:rPr>
      </w:pPr>
    </w:p>
    <w:p>
      <w:pPr>
        <w:ind w:left="220" w:right="120"/>
        <w:spacing w:after="0" w:line="260" w:lineRule="auto"/>
        <w:rPr>
          <w:sz w:val="20"/>
          <w:szCs w:val="20"/>
          <w:color w:val="auto"/>
        </w:rPr>
      </w:pPr>
      <w:r>
        <w:rPr>
          <w:rFonts w:ascii="Arial" w:cs="Arial" w:eastAsia="Arial" w:hAnsi="Arial"/>
          <w:sz w:val="16"/>
          <w:szCs w:val="16"/>
          <w:color w:val="auto"/>
        </w:rPr>
        <w:t>This vote is not intended to address any specific item of compensation but rather the overall compensation of our NEOs and the philosophy, policies and practices described in this Proxy Statement. Accordingly, we ask our shareholders to vote “FOR” the following resolution at the Annual Meeting:</w:t>
      </w:r>
    </w:p>
    <w:p>
      <w:pPr>
        <w:spacing w:after="0" w:line="154" w:lineRule="exact"/>
        <w:rPr>
          <w:sz w:val="20"/>
          <w:szCs w:val="20"/>
          <w:color w:val="auto"/>
        </w:rPr>
      </w:pPr>
    </w:p>
    <w:p>
      <w:pPr>
        <w:ind w:left="540" w:right="60"/>
        <w:spacing w:after="0" w:line="253" w:lineRule="auto"/>
        <w:rPr>
          <w:sz w:val="20"/>
          <w:szCs w:val="20"/>
          <w:color w:val="auto"/>
        </w:rPr>
      </w:pPr>
      <w:r>
        <w:rPr>
          <w:rFonts w:ascii="Arial" w:cs="Arial" w:eastAsia="Arial" w:hAnsi="Arial"/>
          <w:sz w:val="16"/>
          <w:szCs w:val="16"/>
          <w:color w:val="auto"/>
        </w:rPr>
        <w:t>“RESOLVED, that Dover’s shareholders approve, on an advisory basis, the compensation of the named executive officers, as disclosed in Dover’s Proxy Statement for the 2018 Annual Meeting of Shareholders pursuant to the compensation disclosure rules of the Securities and Exchange Commission, including the Compensation Discussion and Analysis, the Summary Compensation Table and the other related tables and disclosures.”</w:t>
      </w:r>
    </w:p>
    <w:p>
      <w:pPr>
        <w:spacing w:after="0" w:line="174" w:lineRule="exact"/>
        <w:rPr>
          <w:sz w:val="20"/>
          <w:szCs w:val="20"/>
          <w:color w:val="auto"/>
        </w:rPr>
      </w:pPr>
    </w:p>
    <w:p>
      <w:pPr>
        <w:jc w:val="both"/>
        <w:ind w:left="220" w:right="440"/>
        <w:spacing w:after="0" w:line="250" w:lineRule="auto"/>
        <w:rPr>
          <w:sz w:val="20"/>
          <w:szCs w:val="20"/>
          <w:color w:val="auto"/>
        </w:rPr>
      </w:pPr>
      <w:r>
        <w:rPr>
          <w:rFonts w:ascii="Arial" w:cs="Arial" w:eastAsia="Arial" w:hAnsi="Arial"/>
          <w:sz w:val="16"/>
          <w:szCs w:val="16"/>
          <w:color w:val="auto"/>
        </w:rPr>
        <w:t>The say-on-pay vote is advisory and therefore not binding on Dover, our Compensation Committee or our Board. Our Board and our Compensation Committee value the opinions of our shareholders and, to the extent there is any significant vote against the NEO compensation as disclosed in this Proxy Statement, we will consider our shareholders’ concerns and the Compensation Committee will evaluate whether any actions are necessary to address those concerns.</w:t>
      </w:r>
    </w:p>
    <w:p>
      <w:pPr>
        <w:spacing w:after="0" w:line="185" w:lineRule="exact"/>
        <w:rPr>
          <w:sz w:val="20"/>
          <w:szCs w:val="20"/>
          <w:color w:val="auto"/>
        </w:rPr>
      </w:pPr>
    </w:p>
    <w:p>
      <w:pPr>
        <w:jc w:val="center"/>
        <w:ind w:right="-219"/>
        <w:spacing w:after="0"/>
        <w:rPr>
          <w:sz w:val="20"/>
          <w:szCs w:val="20"/>
          <w:color w:val="auto"/>
        </w:rPr>
      </w:pPr>
      <w:r>
        <w:rPr>
          <w:rFonts w:ascii="Arial" w:cs="Arial" w:eastAsia="Arial" w:hAnsi="Arial"/>
          <w:sz w:val="16"/>
          <w:szCs w:val="16"/>
          <w:b w:val="1"/>
          <w:bCs w:val="1"/>
          <w:color w:val="32406B"/>
        </w:rPr>
        <w:t>THE BOARD RECOMMENDS A VOTE “FOR” THE APPROVAL OF THE COMPENSATION OF OUR NEOs, AS</w:t>
      </w:r>
    </w:p>
    <w:p>
      <w:pPr>
        <w:spacing w:after="0" w:line="25" w:lineRule="exact"/>
        <w:rPr>
          <w:sz w:val="20"/>
          <w:szCs w:val="20"/>
          <w:color w:val="auto"/>
        </w:rPr>
      </w:pPr>
    </w:p>
    <w:p>
      <w:pPr>
        <w:jc w:val="center"/>
        <w:ind w:right="-219"/>
        <w:spacing w:after="0"/>
        <w:rPr>
          <w:sz w:val="20"/>
          <w:szCs w:val="20"/>
          <w:color w:val="auto"/>
        </w:rPr>
      </w:pPr>
      <w:r>
        <w:rPr>
          <w:rFonts w:ascii="Arial" w:cs="Arial" w:eastAsia="Arial" w:hAnsi="Arial"/>
          <w:sz w:val="16"/>
          <w:szCs w:val="16"/>
          <w:b w:val="1"/>
          <w:bCs w:val="1"/>
          <w:color w:val="32406B"/>
        </w:rPr>
        <w:t>DISCLOSED IN THIS PROXY STATEMENT</w:t>
      </w:r>
    </w:p>
    <w:p>
      <w:pPr>
        <w:spacing w:after="0" w:line="13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71</w:t>
      </w:r>
    </w:p>
    <w:p>
      <w:pPr>
        <w:sectPr>
          <w:pgSz w:w="11900" w:h="16838" w:orient="portrait"/>
          <w:cols w:equalWidth="0" w:num="1">
            <w:col w:w="11220"/>
          </w:cols>
          <w:pgMar w:left="240" w:top="459" w:right="4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76" w:lineRule="exact"/>
        <w:rPr>
          <w:sz w:val="20"/>
          <w:szCs w:val="20"/>
          <w:color w:val="auto"/>
        </w:rPr>
      </w:pPr>
    </w:p>
    <w:p>
      <w:pPr>
        <w:ind w:left="220"/>
        <w:spacing w:after="0"/>
        <w:rPr>
          <w:sz w:val="20"/>
          <w:szCs w:val="20"/>
          <w:color w:val="auto"/>
        </w:rPr>
      </w:pPr>
      <w:r>
        <w:rPr>
          <w:rFonts w:ascii="Arial" w:cs="Arial" w:eastAsia="Arial" w:hAnsi="Arial"/>
          <w:sz w:val="36"/>
          <w:szCs w:val="36"/>
          <w:b w:val="1"/>
          <w:bCs w:val="1"/>
          <w:color w:val="32406B"/>
        </w:rPr>
        <w:t>Management Proposals</w:t>
      </w:r>
    </w:p>
    <w:p>
      <w:pPr>
        <w:spacing w:after="0" w:line="235"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32406B"/>
        </w:rPr>
        <w:t>Background of Proposals 4 and 5</w:t>
      </w:r>
    </w:p>
    <w:p>
      <w:pPr>
        <w:spacing w:after="0" w:line="220"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32406B"/>
        </w:rPr>
        <w:t>Subject Matter of Vote</w:t>
      </w:r>
    </w:p>
    <w:p>
      <w:pPr>
        <w:spacing w:after="0" w:line="106" w:lineRule="exact"/>
        <w:rPr>
          <w:sz w:val="20"/>
          <w:szCs w:val="20"/>
          <w:color w:val="auto"/>
        </w:rPr>
      </w:pPr>
    </w:p>
    <w:p>
      <w:pPr>
        <w:ind w:left="220" w:right="60"/>
        <w:spacing w:after="0" w:line="253" w:lineRule="auto"/>
        <w:rPr>
          <w:sz w:val="20"/>
          <w:szCs w:val="20"/>
          <w:color w:val="auto"/>
        </w:rPr>
      </w:pPr>
      <w:r>
        <w:rPr>
          <w:rFonts w:ascii="Arial" w:cs="Arial" w:eastAsia="Arial" w:hAnsi="Arial"/>
          <w:sz w:val="16"/>
          <w:szCs w:val="16"/>
          <w:color w:val="auto"/>
        </w:rPr>
        <w:t>Our Board and the Governance and Nominating Committee believe that adherence to sound corporate governance policies and practices informed by evolving best practices and shareholder feedback is important, and they are committed to ensuring that Dover is governed and managed with the highest standards of responsibility and in the best interests of shareholders.</w:t>
      </w:r>
    </w:p>
    <w:p>
      <w:pPr>
        <w:spacing w:after="0" w:line="160" w:lineRule="exact"/>
        <w:rPr>
          <w:sz w:val="20"/>
          <w:szCs w:val="20"/>
          <w:color w:val="auto"/>
        </w:rPr>
      </w:pPr>
    </w:p>
    <w:p>
      <w:pPr>
        <w:ind w:left="220"/>
        <w:spacing w:after="0" w:line="250" w:lineRule="auto"/>
        <w:rPr>
          <w:sz w:val="20"/>
          <w:szCs w:val="20"/>
          <w:color w:val="auto"/>
        </w:rPr>
      </w:pPr>
      <w:r>
        <w:rPr>
          <w:rFonts w:ascii="Arial" w:cs="Arial" w:eastAsia="Arial" w:hAnsi="Arial"/>
          <w:sz w:val="16"/>
          <w:szCs w:val="16"/>
          <w:color w:val="auto"/>
        </w:rPr>
        <w:t>To that end, our Board and Governance and Nominating Committee have carefully considered the advantages and disadvantages of Dover’s current super-majority voting provisions and, after careful consideration and upon the recommendation by the Governance and Nominating Committee, our Board has adopted, declared advisable and recommends that shareholders approve amendments to our charter to eliminate the super-majority voting provisions contained therein, which are limited to the following matters:</w:t>
      </w:r>
    </w:p>
    <w:p>
      <w:pPr>
        <w:spacing w:after="0" w:line="205" w:lineRule="exact"/>
        <w:rPr>
          <w:sz w:val="20"/>
          <w:szCs w:val="20"/>
          <w:color w:val="auto"/>
        </w:rPr>
      </w:pPr>
    </w:p>
    <w:p>
      <w:pPr>
        <w:ind w:left="860" w:right="100" w:hanging="326"/>
        <w:spacing w:after="0" w:line="253" w:lineRule="auto"/>
        <w:tabs>
          <w:tab w:leader="none" w:pos="8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Amendments to the charter relating to certain share repurchases from “interested stockholders” (defined in our charter as a beneficial holder of 5% or more of our shares, unless held for more than four years) or the ability for shareholders to use cumulative voting in the election of directors once there is a “substantial stockholder” (defined in our charter as a beneficial holder of 40% or more of our shares) (</w:t>
      </w:r>
      <w:r>
        <w:rPr>
          <w:rFonts w:ascii="Arial" w:cs="Arial" w:eastAsia="Arial" w:hAnsi="Arial"/>
          <w:sz w:val="16"/>
          <w:szCs w:val="16"/>
          <w:b w:val="1"/>
          <w:bCs w:val="1"/>
          <w:color w:val="auto"/>
        </w:rPr>
        <w:t>Proposal 4</w:t>
      </w:r>
      <w:r>
        <w:rPr>
          <w:rFonts w:ascii="Arial" w:cs="Arial" w:eastAsia="Arial" w:hAnsi="Arial"/>
          <w:sz w:val="16"/>
          <w:szCs w:val="16"/>
          <w:color w:val="auto"/>
        </w:rPr>
        <w:t>); and</w:t>
      </w:r>
    </w:p>
    <w:p>
      <w:pPr>
        <w:spacing w:after="0" w:line="45" w:lineRule="exact"/>
        <w:rPr>
          <w:rFonts w:ascii="Arial" w:cs="Arial" w:eastAsia="Arial" w:hAnsi="Arial"/>
          <w:sz w:val="16"/>
          <w:szCs w:val="16"/>
          <w:color w:val="auto"/>
        </w:rPr>
      </w:pPr>
    </w:p>
    <w:p>
      <w:pPr>
        <w:ind w:left="860" w:hanging="326"/>
        <w:spacing w:after="0"/>
        <w:tabs>
          <w:tab w:leader="none" w:pos="8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Amendments to the charter provision that prohibits action by written consent of shareholders (</w:t>
      </w:r>
      <w:r>
        <w:rPr>
          <w:rFonts w:ascii="Arial" w:cs="Arial" w:eastAsia="Arial" w:hAnsi="Arial"/>
          <w:sz w:val="16"/>
          <w:szCs w:val="16"/>
          <w:b w:val="1"/>
          <w:bCs w:val="1"/>
          <w:color w:val="auto"/>
        </w:rPr>
        <w:t>Proposal 5</w:t>
      </w:r>
      <w:r>
        <w:rPr>
          <w:rFonts w:ascii="Arial" w:cs="Arial" w:eastAsia="Arial" w:hAnsi="Arial"/>
          <w:sz w:val="16"/>
          <w:szCs w:val="16"/>
          <w:color w:val="auto"/>
        </w:rPr>
        <w:t>).</w:t>
      </w:r>
    </w:p>
    <w:p>
      <w:pPr>
        <w:spacing w:after="0" w:line="200" w:lineRule="exact"/>
        <w:rPr>
          <w:sz w:val="20"/>
          <w:szCs w:val="20"/>
          <w:color w:val="auto"/>
        </w:rPr>
      </w:pPr>
    </w:p>
    <w:p>
      <w:pPr>
        <w:ind w:left="220" w:right="20"/>
        <w:spacing w:after="0" w:line="253" w:lineRule="auto"/>
        <w:rPr>
          <w:sz w:val="20"/>
          <w:szCs w:val="20"/>
          <w:color w:val="auto"/>
        </w:rPr>
      </w:pPr>
      <w:r>
        <w:rPr>
          <w:rFonts w:ascii="Arial" w:cs="Arial" w:eastAsia="Arial" w:hAnsi="Arial"/>
          <w:sz w:val="16"/>
          <w:szCs w:val="16"/>
          <w:color w:val="auto"/>
        </w:rPr>
        <w:t>Under Dover’s existing governing documents, a majority vote requirement applies to all other matters submitted to a vote (other than the use of plurality voting in the event of a contested election). There are no super-majority provisions in our by-laws and the only super-majority provisions in our charter are described above and subject to Proposals 4 and 5.</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32406B"/>
        </w:rPr>
        <w:t>Board Analysis</w:t>
      </w:r>
    </w:p>
    <w:p>
      <w:pPr>
        <w:spacing w:after="0" w:line="106" w:lineRule="exact"/>
        <w:rPr>
          <w:sz w:val="20"/>
          <w:szCs w:val="20"/>
          <w:color w:val="auto"/>
        </w:rPr>
      </w:pPr>
    </w:p>
    <w:p>
      <w:pPr>
        <w:ind w:left="220" w:right="100"/>
        <w:spacing w:after="0" w:line="250" w:lineRule="auto"/>
        <w:rPr>
          <w:sz w:val="20"/>
          <w:szCs w:val="20"/>
          <w:color w:val="auto"/>
        </w:rPr>
      </w:pPr>
      <w:r>
        <w:rPr>
          <w:rFonts w:ascii="Arial" w:cs="Arial" w:eastAsia="Arial" w:hAnsi="Arial"/>
          <w:sz w:val="16"/>
          <w:szCs w:val="16"/>
          <w:color w:val="auto"/>
        </w:rPr>
        <w:t>These super-majority voting provisions have been part of our charter for many years and were originally designed to ensure that the interests of all shareholders were adequately represented in the event any of the actions contemplated by these provisions were to occur. On the other hand, the Board is aware that some shareholders oppose super-majority provisions, arguing that super-majority voting provisions may limit the ability of holders of a majority of our common stock to effect changes they desire.</w:t>
      </w:r>
    </w:p>
    <w:p>
      <w:pPr>
        <w:spacing w:after="0" w:line="164"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Board also took into account that:</w:t>
      </w:r>
    </w:p>
    <w:p>
      <w:pPr>
        <w:spacing w:after="0" w:line="201" w:lineRule="exact"/>
        <w:rPr>
          <w:sz w:val="20"/>
          <w:szCs w:val="20"/>
          <w:color w:val="auto"/>
        </w:rPr>
      </w:pPr>
    </w:p>
    <w:p>
      <w:pPr>
        <w:ind w:left="860" w:hanging="326"/>
        <w:spacing w:after="0"/>
        <w:tabs>
          <w:tab w:leader="none" w:pos="8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 xml:space="preserve">We have taken </w:t>
      </w:r>
      <w:r>
        <w:rPr>
          <w:rFonts w:ascii="Arial" w:cs="Arial" w:eastAsia="Arial" w:hAnsi="Arial"/>
          <w:sz w:val="16"/>
          <w:szCs w:val="16"/>
          <w:b w:val="1"/>
          <w:bCs w:val="1"/>
          <w:color w:val="auto"/>
        </w:rPr>
        <w:t>proactive steps</w:t>
      </w:r>
      <w:r>
        <w:rPr>
          <w:rFonts w:ascii="Arial" w:cs="Arial" w:eastAsia="Arial" w:hAnsi="Arial"/>
          <w:sz w:val="16"/>
          <w:szCs w:val="16"/>
          <w:color w:val="auto"/>
        </w:rPr>
        <w:t xml:space="preserve"> to remove super-majority provisions from our governance materials.</w:t>
      </w:r>
    </w:p>
    <w:p>
      <w:pPr>
        <w:spacing w:after="0" w:line="85" w:lineRule="exact"/>
        <w:rPr>
          <w:rFonts w:ascii="Arial" w:cs="Arial" w:eastAsia="Arial" w:hAnsi="Arial"/>
          <w:sz w:val="16"/>
          <w:szCs w:val="16"/>
          <w:color w:val="auto"/>
        </w:rPr>
      </w:pPr>
    </w:p>
    <w:p>
      <w:pPr>
        <w:jc w:val="both"/>
        <w:ind w:left="1080" w:right="40" w:hanging="222"/>
        <w:spacing w:after="0" w:line="266" w:lineRule="auto"/>
        <w:tabs>
          <w:tab w:leader="none" w:pos="1080" w:val="left"/>
        </w:tabs>
        <w:numPr>
          <w:ilvl w:val="1"/>
          <w:numId w:val="62"/>
        </w:numPr>
        <w:rPr>
          <w:rFonts w:ascii="MS PGothic" w:cs="MS PGothic" w:eastAsia="MS PGothic" w:hAnsi="MS PGothic"/>
          <w:sz w:val="16"/>
          <w:szCs w:val="16"/>
          <w:color w:val="auto"/>
        </w:rPr>
      </w:pPr>
      <w:r>
        <w:rPr>
          <w:rFonts w:ascii="Arial" w:cs="Arial" w:eastAsia="Arial" w:hAnsi="Arial"/>
          <w:sz w:val="16"/>
          <w:szCs w:val="16"/>
          <w:color w:val="auto"/>
        </w:rPr>
        <w:t xml:space="preserve">At our </w:t>
      </w:r>
      <w:r>
        <w:rPr>
          <w:rFonts w:ascii="Arial" w:cs="Arial" w:eastAsia="Arial" w:hAnsi="Arial"/>
          <w:sz w:val="16"/>
          <w:szCs w:val="16"/>
          <w:b w:val="1"/>
          <w:bCs w:val="1"/>
          <w:color w:val="auto"/>
        </w:rPr>
        <w:t>2013</w:t>
      </w:r>
      <w:r>
        <w:rPr>
          <w:rFonts w:ascii="Arial" w:cs="Arial" w:eastAsia="Arial" w:hAnsi="Arial"/>
          <w:sz w:val="16"/>
          <w:szCs w:val="16"/>
          <w:color w:val="auto"/>
        </w:rPr>
        <w:t xml:space="preserve"> Annual Meeting, a non-binding shareholder proposal requesting us to take all steps necessary, in compliance with applicable law, to remove super-majority voting requirements from our governance materials received the support of the holders of approximately 62% of our outstanding common stock.</w:t>
      </w:r>
    </w:p>
    <w:p>
      <w:pPr>
        <w:spacing w:after="0" w:line="35" w:lineRule="exact"/>
        <w:rPr>
          <w:rFonts w:ascii="MS PGothic" w:cs="MS PGothic" w:eastAsia="MS PGothic" w:hAnsi="MS PGothic"/>
          <w:sz w:val="16"/>
          <w:szCs w:val="16"/>
          <w:color w:val="auto"/>
        </w:rPr>
      </w:pPr>
    </w:p>
    <w:p>
      <w:pPr>
        <w:ind w:left="1080" w:right="400" w:hanging="222"/>
        <w:spacing w:after="0" w:line="266" w:lineRule="auto"/>
        <w:tabs>
          <w:tab w:leader="none" w:pos="1080" w:val="left"/>
        </w:tabs>
        <w:numPr>
          <w:ilvl w:val="1"/>
          <w:numId w:val="62"/>
        </w:numPr>
        <w:rPr>
          <w:rFonts w:ascii="MS PGothic" w:cs="MS PGothic" w:eastAsia="MS PGothic" w:hAnsi="MS PGothic"/>
          <w:sz w:val="16"/>
          <w:szCs w:val="16"/>
          <w:color w:val="auto"/>
        </w:rPr>
      </w:pPr>
      <w:r>
        <w:rPr>
          <w:rFonts w:ascii="Arial" w:cs="Arial" w:eastAsia="Arial" w:hAnsi="Arial"/>
          <w:sz w:val="16"/>
          <w:szCs w:val="16"/>
          <w:color w:val="auto"/>
        </w:rPr>
        <w:t xml:space="preserve">At our </w:t>
      </w:r>
      <w:r>
        <w:rPr>
          <w:rFonts w:ascii="Arial" w:cs="Arial" w:eastAsia="Arial" w:hAnsi="Arial"/>
          <w:sz w:val="16"/>
          <w:szCs w:val="16"/>
          <w:b w:val="1"/>
          <w:bCs w:val="1"/>
          <w:color w:val="auto"/>
        </w:rPr>
        <w:t>2014</w:t>
      </w:r>
      <w:r>
        <w:rPr>
          <w:rFonts w:ascii="Arial" w:cs="Arial" w:eastAsia="Arial" w:hAnsi="Arial"/>
          <w:sz w:val="16"/>
          <w:szCs w:val="16"/>
          <w:color w:val="auto"/>
        </w:rPr>
        <w:t xml:space="preserve"> Annual Meeting, a management proposal to amend our charter </w:t>
      </w:r>
      <w:r>
        <w:rPr>
          <w:rFonts w:ascii="Arial" w:cs="Arial" w:eastAsia="Arial" w:hAnsi="Arial"/>
          <w:sz w:val="16"/>
          <w:szCs w:val="16"/>
          <w:b w:val="1"/>
          <w:bCs w:val="1"/>
          <w:color w:val="auto"/>
        </w:rPr>
        <w:t>to eliminate the super-majority provision applicable to</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business combinations </w:t>
      </w:r>
      <w:r>
        <w:rPr>
          <w:rFonts w:ascii="Arial" w:cs="Arial" w:eastAsia="Arial" w:hAnsi="Arial"/>
          <w:sz w:val="16"/>
          <w:szCs w:val="16"/>
          <w:color w:val="auto"/>
        </w:rPr>
        <w:t>with a related person was</w:t>
      </w:r>
      <w:r>
        <w:rPr>
          <w:rFonts w:ascii="Arial" w:cs="Arial" w:eastAsia="Arial" w:hAnsi="Arial"/>
          <w:sz w:val="16"/>
          <w:szCs w:val="16"/>
          <w:b w:val="1"/>
          <w:bCs w:val="1"/>
          <w:color w:val="auto"/>
        </w:rPr>
        <w:t xml:space="preserve"> successful</w:t>
      </w:r>
      <w:r>
        <w:rPr>
          <w:rFonts w:ascii="Arial" w:cs="Arial" w:eastAsia="Arial" w:hAnsi="Arial"/>
          <w:sz w:val="16"/>
          <w:szCs w:val="16"/>
          <w:color w:val="auto"/>
        </w:rPr>
        <w:t>. A management proposal to amend our bylaws</w:t>
      </w:r>
      <w:r>
        <w:rPr>
          <w:rFonts w:ascii="Arial" w:cs="Arial" w:eastAsia="Arial" w:hAnsi="Arial"/>
          <w:sz w:val="16"/>
          <w:szCs w:val="16"/>
          <w:b w:val="1"/>
          <w:bCs w:val="1"/>
          <w:color w:val="auto"/>
        </w:rPr>
        <w:t xml:space="preserve"> to permit shareholders owning at least 25% of our outstanding shares to call special meeting </w:t>
      </w:r>
      <w:r>
        <w:rPr>
          <w:rFonts w:ascii="Arial" w:cs="Arial" w:eastAsia="Arial" w:hAnsi="Arial"/>
          <w:sz w:val="16"/>
          <w:szCs w:val="16"/>
          <w:color w:val="auto"/>
        </w:rPr>
        <w:t>also was</w:t>
      </w:r>
      <w:r>
        <w:rPr>
          <w:rFonts w:ascii="Arial" w:cs="Arial" w:eastAsia="Arial" w:hAnsi="Arial"/>
          <w:sz w:val="16"/>
          <w:szCs w:val="16"/>
          <w:b w:val="1"/>
          <w:bCs w:val="1"/>
          <w:color w:val="auto"/>
        </w:rPr>
        <w:t xml:space="preserve"> successful</w:t>
      </w:r>
      <w:r>
        <w:rPr>
          <w:rFonts w:ascii="Arial" w:cs="Arial" w:eastAsia="Arial" w:hAnsi="Arial"/>
          <w:sz w:val="16"/>
          <w:szCs w:val="16"/>
          <w:color w:val="auto"/>
        </w:rPr>
        <w:t>.</w:t>
      </w:r>
    </w:p>
    <w:p>
      <w:pPr>
        <w:spacing w:after="0" w:line="35" w:lineRule="exact"/>
        <w:rPr>
          <w:rFonts w:ascii="MS PGothic" w:cs="MS PGothic" w:eastAsia="MS PGothic" w:hAnsi="MS PGothic"/>
          <w:sz w:val="16"/>
          <w:szCs w:val="16"/>
          <w:color w:val="auto"/>
        </w:rPr>
      </w:pPr>
    </w:p>
    <w:p>
      <w:pPr>
        <w:ind w:left="1080" w:hanging="222"/>
        <w:spacing w:after="0" w:line="266" w:lineRule="auto"/>
        <w:tabs>
          <w:tab w:leader="none" w:pos="1080" w:val="left"/>
        </w:tabs>
        <w:numPr>
          <w:ilvl w:val="1"/>
          <w:numId w:val="62"/>
        </w:numPr>
        <w:rPr>
          <w:rFonts w:ascii="MS PGothic" w:cs="MS PGothic" w:eastAsia="MS PGothic" w:hAnsi="MS PGothic"/>
          <w:sz w:val="16"/>
          <w:szCs w:val="16"/>
          <w:color w:val="auto"/>
        </w:rPr>
      </w:pPr>
      <w:r>
        <w:rPr>
          <w:rFonts w:ascii="Arial" w:cs="Arial" w:eastAsia="Arial" w:hAnsi="Arial"/>
          <w:sz w:val="16"/>
          <w:szCs w:val="16"/>
          <w:color w:val="auto"/>
        </w:rPr>
        <w:t xml:space="preserve">Also at our </w:t>
      </w:r>
      <w:r>
        <w:rPr>
          <w:rFonts w:ascii="Arial" w:cs="Arial" w:eastAsia="Arial" w:hAnsi="Arial"/>
          <w:sz w:val="16"/>
          <w:szCs w:val="16"/>
          <w:b w:val="1"/>
          <w:bCs w:val="1"/>
          <w:color w:val="auto"/>
        </w:rPr>
        <w:t>2014</w:t>
      </w:r>
      <w:r>
        <w:rPr>
          <w:rFonts w:ascii="Arial" w:cs="Arial" w:eastAsia="Arial" w:hAnsi="Arial"/>
          <w:sz w:val="16"/>
          <w:szCs w:val="16"/>
          <w:color w:val="auto"/>
        </w:rPr>
        <w:t xml:space="preserve"> Annual Meeting, </w:t>
      </w:r>
      <w:r>
        <w:rPr>
          <w:rFonts w:ascii="Arial" w:cs="Arial" w:eastAsia="Arial" w:hAnsi="Arial"/>
          <w:sz w:val="16"/>
          <w:szCs w:val="16"/>
          <w:b w:val="1"/>
          <w:bCs w:val="1"/>
          <w:color w:val="auto"/>
        </w:rPr>
        <w:t>two other management proposals to eliminate the remaining super-majority provisions</w:t>
      </w:r>
      <w:r>
        <w:rPr>
          <w:rFonts w:ascii="Arial" w:cs="Arial" w:eastAsia="Arial" w:hAnsi="Arial"/>
          <w:sz w:val="16"/>
          <w:szCs w:val="16"/>
          <w:color w:val="auto"/>
        </w:rPr>
        <w:t xml:space="preserve"> (in Article 15 and Article 16 of our charter) were supported by holders of just over 76% of our outstanding voting shares. The level of support was below the required affirmative vote of the holders of at least 80% of our outstanding voting shares and </w:t>
      </w:r>
      <w:r>
        <w:rPr>
          <w:rFonts w:ascii="Arial" w:cs="Arial" w:eastAsia="Arial" w:hAnsi="Arial"/>
          <w:sz w:val="16"/>
          <w:szCs w:val="16"/>
          <w:b w:val="1"/>
          <w:bCs w:val="1"/>
          <w:color w:val="auto"/>
        </w:rPr>
        <w:t>the proposals did not pass</w:t>
      </w:r>
      <w:r>
        <w:rPr>
          <w:rFonts w:ascii="Arial" w:cs="Arial" w:eastAsia="Arial" w:hAnsi="Arial"/>
          <w:sz w:val="16"/>
          <w:szCs w:val="16"/>
          <w:color w:val="auto"/>
        </w:rPr>
        <w:t>.</w:t>
      </w:r>
    </w:p>
    <w:p>
      <w:pPr>
        <w:spacing w:after="0" w:line="35" w:lineRule="exact"/>
        <w:rPr>
          <w:rFonts w:ascii="MS PGothic" w:cs="MS PGothic" w:eastAsia="MS PGothic" w:hAnsi="MS PGothic"/>
          <w:sz w:val="16"/>
          <w:szCs w:val="16"/>
          <w:color w:val="auto"/>
        </w:rPr>
      </w:pPr>
    </w:p>
    <w:p>
      <w:pPr>
        <w:ind w:left="1080" w:right="720" w:hanging="222"/>
        <w:spacing w:after="0" w:line="286" w:lineRule="auto"/>
        <w:tabs>
          <w:tab w:leader="none" w:pos="1080" w:val="left"/>
        </w:tabs>
        <w:numPr>
          <w:ilvl w:val="1"/>
          <w:numId w:val="62"/>
        </w:numPr>
        <w:rPr>
          <w:rFonts w:ascii="MS PGothic" w:cs="MS PGothic" w:eastAsia="MS PGothic" w:hAnsi="MS PGothic"/>
          <w:sz w:val="16"/>
          <w:szCs w:val="16"/>
          <w:color w:val="auto"/>
        </w:rPr>
      </w:pPr>
      <w:r>
        <w:rPr>
          <w:rFonts w:ascii="Arial" w:cs="Arial" w:eastAsia="Arial" w:hAnsi="Arial"/>
          <w:sz w:val="16"/>
          <w:szCs w:val="16"/>
          <w:color w:val="auto"/>
        </w:rPr>
        <w:t xml:space="preserve">At our </w:t>
      </w:r>
      <w:r>
        <w:rPr>
          <w:rFonts w:ascii="Arial" w:cs="Arial" w:eastAsia="Arial" w:hAnsi="Arial"/>
          <w:sz w:val="16"/>
          <w:szCs w:val="16"/>
          <w:b w:val="1"/>
          <w:bCs w:val="1"/>
          <w:color w:val="auto"/>
        </w:rPr>
        <w:t>2017</w:t>
      </w:r>
      <w:r>
        <w:rPr>
          <w:rFonts w:ascii="Arial" w:cs="Arial" w:eastAsia="Arial" w:hAnsi="Arial"/>
          <w:sz w:val="16"/>
          <w:szCs w:val="16"/>
          <w:color w:val="auto"/>
        </w:rPr>
        <w:t xml:space="preserve"> Annual Meeting, </w:t>
      </w:r>
      <w:r>
        <w:rPr>
          <w:rFonts w:ascii="Arial" w:cs="Arial" w:eastAsia="Arial" w:hAnsi="Arial"/>
          <w:sz w:val="16"/>
          <w:szCs w:val="16"/>
          <w:b w:val="1"/>
          <w:bCs w:val="1"/>
          <w:color w:val="auto"/>
        </w:rPr>
        <w:t>informed by active shareholder engagement</w:t>
      </w:r>
      <w:r>
        <w:rPr>
          <w:rFonts w:ascii="Arial" w:cs="Arial" w:eastAsia="Arial" w:hAnsi="Arial"/>
          <w:sz w:val="16"/>
          <w:szCs w:val="16"/>
          <w:color w:val="auto"/>
        </w:rPr>
        <w:t xml:space="preserve">, </w:t>
      </w:r>
      <w:r>
        <w:rPr>
          <w:rFonts w:ascii="Arial" w:cs="Arial" w:eastAsia="Arial" w:hAnsi="Arial"/>
          <w:sz w:val="16"/>
          <w:szCs w:val="16"/>
          <w:b w:val="1"/>
          <w:bCs w:val="1"/>
          <w:color w:val="auto"/>
        </w:rPr>
        <w:t>we presented the same management proposals to</w:t>
      </w:r>
      <w:r>
        <w:rPr>
          <w:rFonts w:ascii="Arial" w:cs="Arial" w:eastAsia="Arial" w:hAnsi="Arial"/>
          <w:sz w:val="16"/>
          <w:szCs w:val="16"/>
          <w:color w:val="auto"/>
        </w:rPr>
        <w:t xml:space="preserve"> </w:t>
      </w:r>
      <w:r>
        <w:rPr>
          <w:rFonts w:ascii="Arial" w:cs="Arial" w:eastAsia="Arial" w:hAnsi="Arial"/>
          <w:sz w:val="16"/>
          <w:szCs w:val="16"/>
          <w:b w:val="1"/>
          <w:bCs w:val="1"/>
          <w:color w:val="auto"/>
        </w:rPr>
        <w:t>eliminate the only remaining super-majority provisions in our charter</w:t>
      </w:r>
      <w:r>
        <w:rPr>
          <w:rFonts w:ascii="Arial" w:cs="Arial" w:eastAsia="Arial" w:hAnsi="Arial"/>
          <w:sz w:val="16"/>
          <w:szCs w:val="16"/>
          <w:color w:val="auto"/>
        </w:rPr>
        <w:t>.</w:t>
      </w:r>
    </w:p>
    <w:p>
      <w:pPr>
        <w:spacing w:after="0" w:line="8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72</w:t>
      </w:r>
    </w:p>
    <w:p>
      <w:pPr>
        <w:sectPr>
          <w:pgSz w:w="11900" w:h="16838" w:orient="portrait"/>
          <w:cols w:equalWidth="0" w:num="1">
            <w:col w:w="11220"/>
          </w:cols>
          <w:pgMar w:left="240" w:top="459" w:right="4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MANAGEMENT PROPOSALS</w:t>
      </w:r>
    </w:p>
    <w:p>
      <w:pPr>
        <w:spacing w:after="0" w:line="173" w:lineRule="exact"/>
        <w:rPr>
          <w:sz w:val="20"/>
          <w:szCs w:val="20"/>
          <w:color w:val="auto"/>
        </w:rPr>
      </w:pPr>
    </w:p>
    <w:p>
      <w:pPr>
        <w:ind w:left="1080" w:right="380"/>
        <w:spacing w:after="0" w:line="260" w:lineRule="auto"/>
        <w:rPr>
          <w:sz w:val="20"/>
          <w:szCs w:val="20"/>
          <w:color w:val="auto"/>
        </w:rPr>
      </w:pPr>
      <w:r>
        <w:rPr>
          <w:rFonts w:ascii="Arial" w:cs="Arial" w:eastAsia="Arial" w:hAnsi="Arial"/>
          <w:sz w:val="16"/>
          <w:szCs w:val="16"/>
          <w:color w:val="auto"/>
        </w:rPr>
        <w:t xml:space="preserve">The proposals were supported by holders of just over 79% of our outstanding voting shares. The level of support was below the required affirmative vote of the holders of at least 80% of our outstanding voting shares and </w:t>
      </w:r>
      <w:r>
        <w:rPr>
          <w:rFonts w:ascii="Arial" w:cs="Arial" w:eastAsia="Arial" w:hAnsi="Arial"/>
          <w:sz w:val="16"/>
          <w:szCs w:val="16"/>
          <w:b w:val="1"/>
          <w:bCs w:val="1"/>
          <w:color w:val="auto"/>
        </w:rPr>
        <w:t>the proposals did not pass</w:t>
      </w:r>
      <w:r>
        <w:rPr>
          <w:rFonts w:ascii="Arial" w:cs="Arial" w:eastAsia="Arial" w:hAnsi="Arial"/>
          <w:sz w:val="16"/>
          <w:szCs w:val="16"/>
          <w:color w:val="auto"/>
        </w:rPr>
        <w:t>.</w:t>
      </w:r>
    </w:p>
    <w:p>
      <w:pPr>
        <w:spacing w:after="0" w:line="40" w:lineRule="exact"/>
        <w:rPr>
          <w:sz w:val="20"/>
          <w:szCs w:val="20"/>
          <w:color w:val="auto"/>
        </w:rPr>
      </w:pPr>
    </w:p>
    <w:p>
      <w:pPr>
        <w:ind w:left="1420" w:right="60" w:hanging="333"/>
        <w:spacing w:after="0" w:line="286" w:lineRule="auto"/>
        <w:tabs>
          <w:tab w:leader="none" w:pos="1420" w:val="left"/>
        </w:tabs>
        <w:numPr>
          <w:ilvl w:val="2"/>
          <w:numId w:val="63"/>
        </w:numPr>
        <w:rPr>
          <w:rFonts w:ascii="Arial" w:cs="Arial" w:eastAsia="Arial" w:hAnsi="Arial"/>
          <w:sz w:val="16"/>
          <w:szCs w:val="16"/>
          <w:color w:val="auto"/>
        </w:rPr>
      </w:pPr>
      <w:r>
        <w:rPr>
          <w:rFonts w:ascii="Arial" w:cs="Arial" w:eastAsia="Arial" w:hAnsi="Arial"/>
          <w:sz w:val="16"/>
          <w:szCs w:val="16"/>
          <w:color w:val="auto"/>
        </w:rPr>
        <w:t xml:space="preserve">In connection with the 2017 Annual Meeting, </w:t>
      </w:r>
      <w:r>
        <w:rPr>
          <w:rFonts w:ascii="Arial" w:cs="Arial" w:eastAsia="Arial" w:hAnsi="Arial"/>
          <w:sz w:val="16"/>
          <w:szCs w:val="16"/>
          <w:b w:val="1"/>
          <w:bCs w:val="1"/>
          <w:color w:val="auto"/>
        </w:rPr>
        <w:t>we conducted a campaign with retail investors</w:t>
      </w:r>
      <w:r>
        <w:rPr>
          <w:rFonts w:ascii="Arial" w:cs="Arial" w:eastAsia="Arial" w:hAnsi="Arial"/>
          <w:sz w:val="16"/>
          <w:szCs w:val="16"/>
          <w:color w:val="auto"/>
        </w:rPr>
        <w:t xml:space="preserve"> to build support for the two management proposals with the goal of surpassing the required vote of holders of at least 80% of our outstanding shares.</w:t>
      </w:r>
    </w:p>
    <w:p>
      <w:pPr>
        <w:spacing w:after="0" w:line="20" w:lineRule="exact"/>
        <w:rPr>
          <w:rFonts w:ascii="Arial" w:cs="Arial" w:eastAsia="Arial" w:hAnsi="Arial"/>
          <w:sz w:val="16"/>
          <w:szCs w:val="16"/>
          <w:color w:val="auto"/>
        </w:rPr>
      </w:pPr>
    </w:p>
    <w:p>
      <w:pPr>
        <w:ind w:left="860" w:right="500" w:hanging="326"/>
        <w:spacing w:after="0" w:line="284" w:lineRule="auto"/>
        <w:tabs>
          <w:tab w:leader="none" w:pos="8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 xml:space="preserve">Following our 2017 Annual Meeting, </w:t>
      </w:r>
      <w:r>
        <w:rPr>
          <w:rFonts w:ascii="Arial" w:cs="Arial" w:eastAsia="Arial" w:hAnsi="Arial"/>
          <w:sz w:val="16"/>
          <w:szCs w:val="16"/>
          <w:b w:val="1"/>
          <w:bCs w:val="1"/>
          <w:color w:val="auto"/>
        </w:rPr>
        <w:t>we sought shareholder input</w:t>
      </w:r>
      <w:r>
        <w:rPr>
          <w:rFonts w:ascii="Arial" w:cs="Arial" w:eastAsia="Arial" w:hAnsi="Arial"/>
          <w:sz w:val="16"/>
          <w:szCs w:val="16"/>
          <w:color w:val="auto"/>
        </w:rPr>
        <w:t xml:space="preserve"> as our Board considered next steps with respect to the removal of the remaining super-majority provisions in our charter.</w:t>
      </w:r>
    </w:p>
    <w:p>
      <w:pPr>
        <w:spacing w:after="0" w:line="43" w:lineRule="exact"/>
        <w:rPr>
          <w:rFonts w:ascii="Arial" w:cs="Arial" w:eastAsia="Arial" w:hAnsi="Arial"/>
          <w:sz w:val="16"/>
          <w:szCs w:val="16"/>
          <w:color w:val="auto"/>
        </w:rPr>
      </w:pPr>
    </w:p>
    <w:p>
      <w:pPr>
        <w:ind w:left="1080" w:right="20" w:hanging="222"/>
        <w:spacing w:after="0" w:line="253" w:lineRule="auto"/>
        <w:tabs>
          <w:tab w:leader="none" w:pos="1080" w:val="left"/>
        </w:tabs>
        <w:numPr>
          <w:ilvl w:val="1"/>
          <w:numId w:val="63"/>
        </w:numPr>
        <w:rPr>
          <w:rFonts w:ascii="MS PGothic" w:cs="MS PGothic" w:eastAsia="MS PGothic" w:hAnsi="MS PGothic"/>
          <w:sz w:val="16"/>
          <w:szCs w:val="16"/>
          <w:color w:val="auto"/>
        </w:rPr>
      </w:pPr>
      <w:r>
        <w:rPr>
          <w:rFonts w:ascii="Arial" w:cs="Arial" w:eastAsia="Arial" w:hAnsi="Arial"/>
          <w:sz w:val="16"/>
          <w:szCs w:val="16"/>
          <w:color w:val="auto"/>
        </w:rPr>
        <w:t>Shareholders expressed appreciation for our continued efforts to remove the provisions, including the retail solicitation campaign in 2017, and acknowledged the high hurdle presented by the current 80% voting requirement to approve amendments to remove the super-majority provisions.</w:t>
      </w:r>
    </w:p>
    <w:p>
      <w:pPr>
        <w:spacing w:after="0" w:line="65" w:lineRule="exact"/>
        <w:rPr>
          <w:rFonts w:ascii="MS PGothic" w:cs="MS PGothic" w:eastAsia="MS PGothic" w:hAnsi="MS PGothic"/>
          <w:sz w:val="16"/>
          <w:szCs w:val="16"/>
          <w:color w:val="auto"/>
        </w:rPr>
      </w:pPr>
    </w:p>
    <w:p>
      <w:pPr>
        <w:ind w:left="1080" w:right="460" w:hanging="222"/>
        <w:spacing w:after="0" w:line="260" w:lineRule="auto"/>
        <w:tabs>
          <w:tab w:leader="none" w:pos="1080" w:val="left"/>
        </w:tabs>
        <w:numPr>
          <w:ilvl w:val="1"/>
          <w:numId w:val="63"/>
        </w:numPr>
        <w:rPr>
          <w:rFonts w:ascii="MS PGothic" w:cs="MS PGothic" w:eastAsia="MS PGothic" w:hAnsi="MS PGothic"/>
          <w:sz w:val="16"/>
          <w:szCs w:val="16"/>
          <w:color w:val="auto"/>
        </w:rPr>
      </w:pPr>
      <w:r>
        <w:rPr>
          <w:rFonts w:ascii="Arial" w:cs="Arial" w:eastAsia="Arial" w:hAnsi="Arial"/>
          <w:sz w:val="16"/>
          <w:szCs w:val="16"/>
          <w:color w:val="auto"/>
        </w:rPr>
        <w:t>Several shareholders continued to express a preference for simple majority voting requirements and encouraged us to put forth another management proposal to remove the remaining super-majority voting provisions.</w:t>
      </w:r>
    </w:p>
    <w:p>
      <w:pPr>
        <w:spacing w:after="0" w:line="40" w:lineRule="exact"/>
        <w:rPr>
          <w:rFonts w:ascii="MS PGothic" w:cs="MS PGothic" w:eastAsia="MS PGothic" w:hAnsi="MS PGothic"/>
          <w:sz w:val="16"/>
          <w:szCs w:val="16"/>
          <w:color w:val="auto"/>
        </w:rPr>
      </w:pPr>
    </w:p>
    <w:p>
      <w:pPr>
        <w:ind w:left="860" w:right="140" w:hanging="326"/>
        <w:spacing w:after="0" w:line="286" w:lineRule="auto"/>
        <w:tabs>
          <w:tab w:leader="none" w:pos="8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 xml:space="preserve">In connection with the 2018 Annual Meeting, we are </w:t>
      </w:r>
      <w:r>
        <w:rPr>
          <w:rFonts w:ascii="Arial" w:cs="Arial" w:eastAsia="Arial" w:hAnsi="Arial"/>
          <w:sz w:val="16"/>
          <w:szCs w:val="16"/>
          <w:b w:val="1"/>
          <w:bCs w:val="1"/>
          <w:color w:val="auto"/>
        </w:rPr>
        <w:t>again conducting a comprehensive campaign with retail investors</w:t>
      </w:r>
      <w:r>
        <w:rPr>
          <w:rFonts w:ascii="Arial" w:cs="Arial" w:eastAsia="Arial" w:hAnsi="Arial"/>
          <w:sz w:val="16"/>
          <w:szCs w:val="16"/>
          <w:color w:val="auto"/>
        </w:rPr>
        <w:t xml:space="preserve"> to build support for the proposals.</w:t>
      </w:r>
    </w:p>
    <w:p>
      <w:pPr>
        <w:spacing w:after="0" w:line="60" w:lineRule="exact"/>
        <w:rPr>
          <w:rFonts w:ascii="Arial" w:cs="Arial" w:eastAsia="Arial" w:hAnsi="Arial"/>
          <w:sz w:val="16"/>
          <w:szCs w:val="16"/>
          <w:color w:val="auto"/>
        </w:rPr>
      </w:pPr>
    </w:p>
    <w:p>
      <w:pPr>
        <w:ind w:left="860" w:right="600" w:hanging="326"/>
        <w:spacing w:after="0" w:line="284" w:lineRule="auto"/>
        <w:tabs>
          <w:tab w:leader="none" w:pos="8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 xml:space="preserve">Our Board is </w:t>
      </w:r>
      <w:r>
        <w:rPr>
          <w:rFonts w:ascii="Arial" w:cs="Arial" w:eastAsia="Arial" w:hAnsi="Arial"/>
          <w:sz w:val="16"/>
          <w:szCs w:val="16"/>
          <w:b w:val="1"/>
          <w:bCs w:val="1"/>
          <w:color w:val="auto"/>
        </w:rPr>
        <w:t>committed to evolving our governance practices to ensure we continue to operate with a best-in-class governance</w:t>
      </w:r>
      <w:r>
        <w:rPr>
          <w:rFonts w:ascii="Arial" w:cs="Arial" w:eastAsia="Arial" w:hAnsi="Arial"/>
          <w:sz w:val="16"/>
          <w:szCs w:val="16"/>
          <w:color w:val="auto"/>
        </w:rPr>
        <w:t xml:space="preserve"> </w:t>
      </w:r>
      <w:r>
        <w:rPr>
          <w:rFonts w:ascii="Arial" w:cs="Arial" w:eastAsia="Arial" w:hAnsi="Arial"/>
          <w:sz w:val="16"/>
          <w:szCs w:val="16"/>
          <w:b w:val="1"/>
          <w:bCs w:val="1"/>
          <w:color w:val="auto"/>
        </w:rPr>
        <w:t>structure</w:t>
      </w:r>
      <w:r>
        <w:rPr>
          <w:rFonts w:ascii="Arial" w:cs="Arial" w:eastAsia="Arial" w:hAnsi="Arial"/>
          <w:sz w:val="16"/>
          <w:szCs w:val="16"/>
          <w:color w:val="auto"/>
        </w:rPr>
        <w:t>. Recent changes that show this commitment include:</w:t>
      </w:r>
    </w:p>
    <w:p>
      <w:pPr>
        <w:spacing w:after="0" w:line="23" w:lineRule="exact"/>
        <w:rPr>
          <w:rFonts w:ascii="Arial" w:cs="Arial" w:eastAsia="Arial" w:hAnsi="Arial"/>
          <w:sz w:val="16"/>
          <w:szCs w:val="16"/>
          <w:color w:val="auto"/>
        </w:rPr>
      </w:pPr>
    </w:p>
    <w:p>
      <w:pPr>
        <w:ind w:left="1080" w:right="20" w:hanging="222"/>
        <w:spacing w:after="0" w:line="284" w:lineRule="auto"/>
        <w:tabs>
          <w:tab w:leader="none" w:pos="1080" w:val="left"/>
        </w:tabs>
        <w:numPr>
          <w:ilvl w:val="1"/>
          <w:numId w:val="63"/>
        </w:numPr>
        <w:rPr>
          <w:rFonts w:ascii="MS PGothic" w:cs="MS PGothic" w:eastAsia="MS PGothic" w:hAnsi="MS PGothic"/>
          <w:sz w:val="16"/>
          <w:szCs w:val="16"/>
          <w:color w:val="auto"/>
        </w:rPr>
      </w:pPr>
      <w:r>
        <w:rPr>
          <w:rFonts w:ascii="Arial" w:cs="Arial" w:eastAsia="Arial" w:hAnsi="Arial"/>
          <w:sz w:val="16"/>
          <w:szCs w:val="16"/>
          <w:color w:val="auto"/>
        </w:rPr>
        <w:t xml:space="preserve">Our plan to establish </w:t>
      </w:r>
      <w:r>
        <w:rPr>
          <w:rFonts w:ascii="Arial" w:cs="Arial" w:eastAsia="Arial" w:hAnsi="Arial"/>
          <w:sz w:val="16"/>
          <w:szCs w:val="16"/>
          <w:b w:val="1"/>
          <w:bCs w:val="1"/>
          <w:color w:val="auto"/>
        </w:rPr>
        <w:t>a new Finance Committee</w:t>
      </w:r>
      <w:r>
        <w:rPr>
          <w:rFonts w:ascii="Arial" w:cs="Arial" w:eastAsia="Arial" w:hAnsi="Arial"/>
          <w:sz w:val="16"/>
          <w:szCs w:val="16"/>
          <w:color w:val="auto"/>
        </w:rPr>
        <w:t xml:space="preserve"> effective May 2018 to assist the Board in overseeing policies, practices, strategies and risks relating to our financial affairs.</w:t>
      </w:r>
    </w:p>
    <w:p>
      <w:pPr>
        <w:spacing w:after="0" w:line="23" w:lineRule="exact"/>
        <w:rPr>
          <w:rFonts w:ascii="MS PGothic" w:cs="MS PGothic" w:eastAsia="MS PGothic" w:hAnsi="MS PGothic"/>
          <w:sz w:val="16"/>
          <w:szCs w:val="16"/>
          <w:color w:val="auto"/>
        </w:rPr>
      </w:pPr>
    </w:p>
    <w:p>
      <w:pPr>
        <w:ind w:left="1080" w:right="460" w:hanging="222"/>
        <w:spacing w:after="0" w:line="284" w:lineRule="auto"/>
        <w:tabs>
          <w:tab w:leader="none" w:pos="1080" w:val="left"/>
        </w:tabs>
        <w:numPr>
          <w:ilvl w:val="1"/>
          <w:numId w:val="63"/>
        </w:numPr>
        <w:rPr>
          <w:rFonts w:ascii="MS PGothic" w:cs="MS PGothic" w:eastAsia="MS PGothic" w:hAnsi="MS PGothic"/>
          <w:sz w:val="16"/>
          <w:szCs w:val="16"/>
          <w:color w:val="auto"/>
        </w:rPr>
      </w:pPr>
      <w:r>
        <w:rPr>
          <w:rFonts w:ascii="Arial" w:cs="Arial" w:eastAsia="Arial" w:hAnsi="Arial"/>
          <w:sz w:val="16"/>
          <w:szCs w:val="16"/>
          <w:color w:val="auto"/>
        </w:rPr>
        <w:t xml:space="preserve">Our 2016 </w:t>
      </w:r>
      <w:r>
        <w:rPr>
          <w:rFonts w:ascii="Arial" w:cs="Arial" w:eastAsia="Arial" w:hAnsi="Arial"/>
          <w:sz w:val="16"/>
          <w:szCs w:val="16"/>
          <w:b w:val="1"/>
          <w:bCs w:val="1"/>
          <w:color w:val="auto"/>
        </w:rPr>
        <w:t>adoption of proxy access</w:t>
      </w:r>
      <w:r>
        <w:rPr>
          <w:rFonts w:ascii="Arial" w:cs="Arial" w:eastAsia="Arial" w:hAnsi="Arial"/>
          <w:sz w:val="16"/>
          <w:szCs w:val="16"/>
          <w:color w:val="auto"/>
        </w:rPr>
        <w:t>, which permits a shareholder or a group of up to 20 shareholders holding 3% or more of our stock continuously for three years to nominate up to 20% of our Board or two directors, whichever is greater.</w:t>
      </w:r>
    </w:p>
    <w:p>
      <w:pPr>
        <w:spacing w:after="0" w:line="23" w:lineRule="exact"/>
        <w:rPr>
          <w:rFonts w:ascii="MS PGothic" w:cs="MS PGothic" w:eastAsia="MS PGothic" w:hAnsi="MS PGothic"/>
          <w:sz w:val="16"/>
          <w:szCs w:val="16"/>
          <w:color w:val="auto"/>
        </w:rPr>
      </w:pPr>
    </w:p>
    <w:p>
      <w:pPr>
        <w:ind w:left="1080" w:right="160" w:hanging="222"/>
        <w:spacing w:after="0" w:line="284" w:lineRule="auto"/>
        <w:tabs>
          <w:tab w:leader="none" w:pos="1080" w:val="left"/>
        </w:tabs>
        <w:numPr>
          <w:ilvl w:val="1"/>
          <w:numId w:val="63"/>
        </w:numPr>
        <w:rPr>
          <w:rFonts w:ascii="MS PGothic" w:cs="MS PGothic" w:eastAsia="MS PGothic" w:hAnsi="MS PGothic"/>
          <w:sz w:val="16"/>
          <w:szCs w:val="16"/>
          <w:color w:val="auto"/>
        </w:rPr>
      </w:pPr>
      <w:r>
        <w:rPr>
          <w:rFonts w:ascii="Arial" w:cs="Arial" w:eastAsia="Arial" w:hAnsi="Arial"/>
          <w:sz w:val="16"/>
          <w:szCs w:val="16"/>
          <w:color w:val="auto"/>
        </w:rPr>
        <w:t xml:space="preserve">Our </w:t>
      </w:r>
      <w:r>
        <w:rPr>
          <w:rFonts w:ascii="Arial" w:cs="Arial" w:eastAsia="Arial" w:hAnsi="Arial"/>
          <w:sz w:val="16"/>
          <w:szCs w:val="16"/>
          <w:b w:val="1"/>
          <w:bCs w:val="1"/>
          <w:color w:val="auto"/>
        </w:rPr>
        <w:t>enhanced shareholder engagement program, through which we reached out to holders of over 53% of our outstanding shares</w:t>
      </w:r>
      <w:r>
        <w:rPr>
          <w:rFonts w:ascii="Arial" w:cs="Arial" w:eastAsia="Arial" w:hAnsi="Arial"/>
          <w:sz w:val="16"/>
          <w:szCs w:val="16"/>
          <w:color w:val="auto"/>
        </w:rPr>
        <w:t xml:space="preserve"> </w:t>
      </w:r>
      <w:r>
        <w:rPr>
          <w:rFonts w:ascii="Arial" w:cs="Arial" w:eastAsia="Arial" w:hAnsi="Arial"/>
          <w:sz w:val="16"/>
          <w:szCs w:val="16"/>
          <w:b w:val="1"/>
          <w:bCs w:val="1"/>
          <w:color w:val="auto"/>
        </w:rPr>
        <w:t>in 2017 and engaged with governance professionals and portfolio managers holding 33% of our outstanding shares</w:t>
      </w:r>
      <w:r>
        <w:rPr>
          <w:rFonts w:ascii="Arial" w:cs="Arial" w:eastAsia="Arial" w:hAnsi="Arial"/>
          <w:sz w:val="16"/>
          <w:szCs w:val="16"/>
          <w:color w:val="auto"/>
        </w:rPr>
        <w:t>.</w:t>
      </w:r>
    </w:p>
    <w:p>
      <w:pPr>
        <w:spacing w:after="0" w:line="23" w:lineRule="exact"/>
        <w:rPr>
          <w:rFonts w:ascii="MS PGothic" w:cs="MS PGothic" w:eastAsia="MS PGothic" w:hAnsi="MS PGothic"/>
          <w:sz w:val="16"/>
          <w:szCs w:val="16"/>
          <w:color w:val="auto"/>
        </w:rPr>
      </w:pPr>
    </w:p>
    <w:p>
      <w:pPr>
        <w:ind w:left="1080" w:hanging="222"/>
        <w:spacing w:after="0"/>
        <w:tabs>
          <w:tab w:leader="none" w:pos="1080" w:val="left"/>
        </w:tabs>
        <w:numPr>
          <w:ilvl w:val="1"/>
          <w:numId w:val="63"/>
        </w:numPr>
        <w:rPr>
          <w:rFonts w:ascii="MS PGothic" w:cs="MS PGothic" w:eastAsia="MS PGothic" w:hAnsi="MS PGothic"/>
          <w:sz w:val="16"/>
          <w:szCs w:val="16"/>
          <w:color w:val="auto"/>
        </w:rPr>
      </w:pPr>
      <w:r>
        <w:rPr>
          <w:rFonts w:ascii="Arial" w:cs="Arial" w:eastAsia="Arial" w:hAnsi="Arial"/>
          <w:sz w:val="16"/>
          <w:szCs w:val="16"/>
          <w:color w:val="auto"/>
        </w:rPr>
        <w:t xml:space="preserve">Our 2014 adoption of a bylaw permitting </w:t>
      </w:r>
      <w:r>
        <w:rPr>
          <w:rFonts w:ascii="Arial" w:cs="Arial" w:eastAsia="Arial" w:hAnsi="Arial"/>
          <w:sz w:val="16"/>
          <w:szCs w:val="16"/>
          <w:b w:val="1"/>
          <w:bCs w:val="1"/>
          <w:color w:val="auto"/>
        </w:rPr>
        <w:t>shareholders owning at least 25% of our outstanding shares to call special meetings</w:t>
      </w:r>
      <w:r>
        <w:rPr>
          <w:rFonts w:ascii="Arial" w:cs="Arial" w:eastAsia="Arial" w:hAnsi="Arial"/>
          <w:sz w:val="16"/>
          <w:szCs w:val="16"/>
          <w:color w:val="auto"/>
        </w:rPr>
        <w:t>.</w:t>
      </w:r>
    </w:p>
    <w:p>
      <w:pPr>
        <w:spacing w:after="0" w:line="254" w:lineRule="exact"/>
        <w:rPr>
          <w:sz w:val="20"/>
          <w:szCs w:val="20"/>
          <w:color w:val="auto"/>
        </w:rPr>
      </w:pPr>
    </w:p>
    <w:p>
      <w:pPr>
        <w:ind w:left="220" w:right="100"/>
        <w:spacing w:after="0" w:line="253" w:lineRule="auto"/>
        <w:rPr>
          <w:sz w:val="20"/>
          <w:szCs w:val="20"/>
          <w:color w:val="auto"/>
        </w:rPr>
      </w:pPr>
      <w:r>
        <w:rPr>
          <w:rFonts w:ascii="Arial" w:cs="Arial" w:eastAsia="Arial" w:hAnsi="Arial"/>
          <w:sz w:val="16"/>
          <w:szCs w:val="16"/>
          <w:color w:val="auto"/>
        </w:rPr>
        <w:t>Therefore, after careful consideration of the foregoing matters, the Board, upon the recommendation of the Governance and Nominating Committee, has determined that it is appropriate to propose amendments to the charter to eliminate the super-majority voting provisions and that doing so is in the best interests of Dover and its shareholders.</w:t>
      </w:r>
    </w:p>
    <w:p>
      <w:pPr>
        <w:spacing w:after="0" w:line="154" w:lineRule="exact"/>
        <w:rPr>
          <w:sz w:val="20"/>
          <w:szCs w:val="20"/>
          <w:color w:val="auto"/>
        </w:rPr>
      </w:pPr>
    </w:p>
    <w:p>
      <w:pPr>
        <w:ind w:left="220" w:right="20"/>
        <w:spacing w:after="0" w:line="259" w:lineRule="auto"/>
        <w:rPr>
          <w:sz w:val="20"/>
          <w:szCs w:val="20"/>
          <w:color w:val="auto"/>
        </w:rPr>
      </w:pPr>
      <w:r>
        <w:rPr>
          <w:rFonts w:ascii="Arial" w:cs="Arial" w:eastAsia="Arial" w:hAnsi="Arial"/>
          <w:sz w:val="16"/>
          <w:szCs w:val="16"/>
          <w:b w:val="1"/>
          <w:bCs w:val="1"/>
          <w:color w:val="auto"/>
        </w:rPr>
        <w:t xml:space="preserve">You are being provided with an opportunity to vote separately on the amendments to each of the Articles of our charter currently containing super-majority voting provisions as described below under Proposals 4 and 5. </w:t>
      </w:r>
      <w:r>
        <w:rPr>
          <w:rFonts w:ascii="Arial" w:cs="Arial" w:eastAsia="Arial" w:hAnsi="Arial"/>
          <w:sz w:val="16"/>
          <w:szCs w:val="16"/>
          <w:color w:val="auto"/>
        </w:rPr>
        <w:t>In accordance with Delaware law, the Board has adopted resolutions</w:t>
      </w:r>
      <w:r>
        <w:rPr>
          <w:rFonts w:ascii="Arial" w:cs="Arial" w:eastAsia="Arial" w:hAnsi="Arial"/>
          <w:sz w:val="16"/>
          <w:szCs w:val="16"/>
          <w:b w:val="1"/>
          <w:bCs w:val="1"/>
          <w:color w:val="auto"/>
        </w:rPr>
        <w:t xml:space="preserve"> </w:t>
      </w:r>
      <w:r>
        <w:rPr>
          <w:rFonts w:ascii="Arial" w:cs="Arial" w:eastAsia="Arial" w:hAnsi="Arial"/>
          <w:sz w:val="16"/>
          <w:szCs w:val="16"/>
          <w:color w:val="auto"/>
        </w:rPr>
        <w:t>approving and declaring advisable these proposed amendments and is recommending them to shareholders for approval. Under our charter and Delaware law, approval of each of Proposal 4 and 5 requires the affirmative vote of the holders of at least 80% of our outstanding common stock.</w:t>
      </w:r>
    </w:p>
    <w:p>
      <w:pPr>
        <w:spacing w:after="0" w:line="11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73</w:t>
      </w:r>
    </w:p>
    <w:p>
      <w:pPr>
        <w:sectPr>
          <w:pgSz w:w="11900" w:h="16838" w:orient="portrait"/>
          <w:cols w:equalWidth="0" w:num="1">
            <w:col w:w="11220"/>
          </w:cols>
          <w:pgMar w:left="240" w:top="459" w:right="4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76" w:lineRule="exact"/>
        <w:rPr>
          <w:sz w:val="20"/>
          <w:szCs w:val="20"/>
          <w:color w:val="auto"/>
        </w:rPr>
      </w:pPr>
    </w:p>
    <w:p>
      <w:pPr>
        <w:ind w:left="220" w:right="3460"/>
        <w:spacing w:after="0" w:line="261" w:lineRule="auto"/>
        <w:rPr>
          <w:sz w:val="20"/>
          <w:szCs w:val="20"/>
          <w:color w:val="auto"/>
        </w:rPr>
      </w:pPr>
      <w:r>
        <w:rPr>
          <w:rFonts w:ascii="Arial" w:cs="Arial" w:eastAsia="Arial" w:hAnsi="Arial"/>
          <w:sz w:val="36"/>
          <w:szCs w:val="36"/>
          <w:b w:val="1"/>
          <w:bCs w:val="1"/>
          <w:color w:val="32406B"/>
        </w:rPr>
        <w:t>Proposal 4 — Approval of Amendments to Article 15 of Our Charter to Eliminate Super-Majority Voting Requirement</w:t>
      </w:r>
    </w:p>
    <w:p>
      <w:pPr>
        <w:spacing w:after="0" w:line="149"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32406B"/>
        </w:rPr>
        <w:t>Subject Matter of Vote</w:t>
      </w:r>
    </w:p>
    <w:p>
      <w:pPr>
        <w:spacing w:after="0" w:line="106" w:lineRule="exact"/>
        <w:rPr>
          <w:sz w:val="20"/>
          <w:szCs w:val="20"/>
          <w:color w:val="auto"/>
        </w:rPr>
      </w:pPr>
    </w:p>
    <w:p>
      <w:pPr>
        <w:ind w:left="220" w:right="140"/>
        <w:spacing w:after="0" w:line="248" w:lineRule="auto"/>
        <w:rPr>
          <w:sz w:val="20"/>
          <w:szCs w:val="20"/>
          <w:color w:val="auto"/>
        </w:rPr>
      </w:pPr>
      <w:r>
        <w:rPr>
          <w:rFonts w:ascii="Arial" w:cs="Arial" w:eastAsia="Arial" w:hAnsi="Arial"/>
          <w:sz w:val="16"/>
          <w:szCs w:val="16"/>
          <w:color w:val="auto"/>
        </w:rPr>
        <w:t>Article FIFTEENTH of our charter (“Article 15”) requires that, subject to certain exceptions, any purchases by Dover or its subsidiaries of “voting shares” (defined in our charter as the outstanding shares of our capital stock entitled to vote generally in the election of directors) held by an “interested stockholder” (defined in our charter, among other things, as a beneficial owner of 5% or more of our voting shares that has been such a beneficial owner for less than four years) at a per share price in excess of the applicable market price must be approved by the affirmative vote of not less than a majority of the votes entitled to be cast by holders of all outstanding voting shares not beneficially owned by the “interested stockholder.” In addition, Article 15 provides shareholders with cumulative voting rights in the election of directors if at the time of such election there exists a “substantial stockholder” (defined in our charter as a beneficial owner of 40% or more of our voting shares). As of December 31, 2017, we are not aware of any beneficial owner that holds more than 11% of our outstanding voting shares.</w:t>
      </w:r>
    </w:p>
    <w:p>
      <w:pPr>
        <w:spacing w:after="0" w:line="165" w:lineRule="exact"/>
        <w:rPr>
          <w:sz w:val="20"/>
          <w:szCs w:val="20"/>
          <w:color w:val="auto"/>
        </w:rPr>
      </w:pPr>
    </w:p>
    <w:p>
      <w:pPr>
        <w:ind w:left="220"/>
        <w:spacing w:after="0" w:line="260" w:lineRule="auto"/>
        <w:rPr>
          <w:sz w:val="20"/>
          <w:szCs w:val="20"/>
          <w:color w:val="auto"/>
        </w:rPr>
      </w:pPr>
      <w:r>
        <w:rPr>
          <w:rFonts w:ascii="Arial" w:cs="Arial" w:eastAsia="Arial" w:hAnsi="Arial"/>
          <w:sz w:val="16"/>
          <w:szCs w:val="16"/>
          <w:color w:val="auto"/>
        </w:rPr>
        <w:t>Subsection (E) of Article 15 currently provides that amendments, alterations, changes or repeals (“Changes”) to or of Article 15 must be approved, subject to certain exceptions, by the affirmative vote of the holders of at least 80% of our outstanding voting shares (the “Article 15 Amendment Provision”).</w:t>
      </w:r>
    </w:p>
    <w:p>
      <w:pPr>
        <w:spacing w:after="0" w:line="154" w:lineRule="exact"/>
        <w:rPr>
          <w:sz w:val="20"/>
          <w:szCs w:val="20"/>
          <w:color w:val="auto"/>
        </w:rPr>
      </w:pPr>
    </w:p>
    <w:p>
      <w:pPr>
        <w:ind w:left="220" w:right="320"/>
        <w:spacing w:after="0" w:line="253" w:lineRule="auto"/>
        <w:rPr>
          <w:sz w:val="20"/>
          <w:szCs w:val="20"/>
          <w:color w:val="auto"/>
        </w:rPr>
      </w:pPr>
      <w:r>
        <w:rPr>
          <w:rFonts w:ascii="Arial" w:cs="Arial" w:eastAsia="Arial" w:hAnsi="Arial"/>
          <w:sz w:val="16"/>
          <w:szCs w:val="16"/>
          <w:color w:val="auto"/>
        </w:rPr>
        <w:t>On the recommendation of the Governance and Nominating Committee, and based on the careful review of the advantages and disadvantages of the Article 15 Amendment Provision as described in the “Background of Proposals 4 and 5” above, the Board has approved, and recommends that shareholders approve, this Proposal 4 to amend the charter by removing the Article 15 Amendment Provision in its entirety.</w:t>
      </w:r>
    </w:p>
    <w:p>
      <w:pPr>
        <w:spacing w:after="0" w:line="174" w:lineRule="exact"/>
        <w:rPr>
          <w:sz w:val="20"/>
          <w:szCs w:val="20"/>
          <w:color w:val="auto"/>
        </w:rPr>
      </w:pPr>
    </w:p>
    <w:p>
      <w:pPr>
        <w:ind w:left="220" w:right="80"/>
        <w:spacing w:after="0" w:line="253" w:lineRule="auto"/>
        <w:rPr>
          <w:sz w:val="20"/>
          <w:szCs w:val="20"/>
          <w:color w:val="auto"/>
        </w:rPr>
      </w:pPr>
      <w:r>
        <w:rPr>
          <w:rFonts w:ascii="Arial" w:cs="Arial" w:eastAsia="Arial" w:hAnsi="Arial"/>
          <w:sz w:val="16"/>
          <w:szCs w:val="16"/>
          <w:color w:val="auto"/>
        </w:rPr>
        <w:t>If this Proposal 4 is approved by shareholders, future Changes to Article 15 may be effected in accordance with Delaware law and will not be subject to a super-majority voting requirement. If this Proposal 4 is adopted, under Delaware law, future Changes to Article 15 would need to be approved by the Board and by the holders of at least a majority of the voting power of the capital stock of Dover outstanding and entitled to vote on the amendment.</w:t>
      </w:r>
    </w:p>
    <w:p>
      <w:pPr>
        <w:spacing w:after="0" w:line="16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approval of this Proposal 4 is not conditioned on the approval of any other Proposal.</w:t>
      </w:r>
    </w:p>
    <w:p>
      <w:pPr>
        <w:spacing w:after="0" w:line="180" w:lineRule="exact"/>
        <w:rPr>
          <w:sz w:val="20"/>
          <w:szCs w:val="20"/>
          <w:color w:val="auto"/>
        </w:rPr>
      </w:pPr>
    </w:p>
    <w:p>
      <w:pPr>
        <w:ind w:left="220" w:right="500"/>
        <w:spacing w:after="0" w:line="260" w:lineRule="auto"/>
        <w:rPr>
          <w:sz w:val="20"/>
          <w:szCs w:val="20"/>
          <w:color w:val="auto"/>
        </w:rPr>
      </w:pPr>
      <w:r>
        <w:rPr>
          <w:rFonts w:ascii="Arial" w:cs="Arial" w:eastAsia="Arial" w:hAnsi="Arial"/>
          <w:sz w:val="16"/>
          <w:szCs w:val="16"/>
          <w:color w:val="auto"/>
        </w:rPr>
        <w:t>This summary of the proposed amendment is qualified in its entirety by reference to the text of the proposed amendment to the charter attached as Appendix A to this Proxy Statement, with deletions indicated by strike outs and additions indicated by underlining.</w:t>
      </w:r>
    </w:p>
    <w:p>
      <w:pPr>
        <w:spacing w:after="0" w:line="175"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32406B"/>
        </w:rPr>
        <w:t>Required Vote</w:t>
      </w:r>
    </w:p>
    <w:p>
      <w:pPr>
        <w:spacing w:after="0" w:line="106" w:lineRule="exact"/>
        <w:rPr>
          <w:sz w:val="20"/>
          <w:szCs w:val="20"/>
          <w:color w:val="auto"/>
        </w:rPr>
      </w:pPr>
    </w:p>
    <w:p>
      <w:pPr>
        <w:ind w:left="220" w:right="20"/>
        <w:spacing w:after="0" w:line="253" w:lineRule="auto"/>
        <w:rPr>
          <w:sz w:val="20"/>
          <w:szCs w:val="20"/>
          <w:color w:val="auto"/>
        </w:rPr>
      </w:pPr>
      <w:r>
        <w:rPr>
          <w:rFonts w:ascii="Arial" w:cs="Arial" w:eastAsia="Arial" w:hAnsi="Arial"/>
          <w:sz w:val="16"/>
          <w:szCs w:val="16"/>
          <w:color w:val="auto"/>
        </w:rPr>
        <w:t>In accordance with Delaware law, our Board has approved and declared advisable the proposed amendment and is recommending it to shareholders for approval. Under our charter and Delaware law, approval of Proposal 4 will require the affirmative vote of holders at least 80% of our outstanding shares of common stock.</w:t>
      </w:r>
    </w:p>
    <w:p>
      <w:pPr>
        <w:spacing w:after="0" w:line="160" w:lineRule="exact"/>
        <w:rPr>
          <w:sz w:val="20"/>
          <w:szCs w:val="20"/>
          <w:color w:val="auto"/>
        </w:rPr>
      </w:pPr>
    </w:p>
    <w:p>
      <w:pPr>
        <w:ind w:left="220" w:right="80"/>
        <w:spacing w:after="0" w:line="249" w:lineRule="auto"/>
        <w:rPr>
          <w:sz w:val="20"/>
          <w:szCs w:val="20"/>
          <w:color w:val="auto"/>
        </w:rPr>
      </w:pPr>
      <w:r>
        <w:rPr>
          <w:rFonts w:ascii="Arial" w:cs="Arial" w:eastAsia="Arial" w:hAnsi="Arial"/>
          <w:sz w:val="16"/>
          <w:szCs w:val="16"/>
          <w:color w:val="auto"/>
        </w:rPr>
        <w:t>Abstentions and broker non-votes will have the effect of votes against the proposal. If this Proposal 4 is approved by shareholders, the Board has authorized the officers of Dover to file with the Delaware Secretary of State a certificate of amendment to our charter incorporating the amendment to Article 15 set forth in Appendix A. The amendment to our charter will become effective on the date the certificate of amendment is filed with the Delaware Secretary of State (or at such later effective date set forth in the certificate of amendment). If Proposal 4 is not approved by the requisite vote, the proposed amendment to Article 15 of our charter will not be implemented and Dover’s current voting requirements contained therein will remain in place.</w:t>
      </w:r>
    </w:p>
    <w:p>
      <w:pPr>
        <w:spacing w:after="0" w:line="186" w:lineRule="exact"/>
        <w:rPr>
          <w:sz w:val="20"/>
          <w:szCs w:val="20"/>
          <w:color w:val="auto"/>
        </w:rPr>
      </w:pPr>
    </w:p>
    <w:p>
      <w:pPr>
        <w:jc w:val="center"/>
        <w:ind w:left="440" w:right="40"/>
        <w:spacing w:after="0" w:line="286" w:lineRule="auto"/>
        <w:rPr>
          <w:sz w:val="20"/>
          <w:szCs w:val="20"/>
          <w:color w:val="auto"/>
        </w:rPr>
      </w:pPr>
      <w:r>
        <w:rPr>
          <w:rFonts w:ascii="Arial" w:cs="Arial" w:eastAsia="Arial" w:hAnsi="Arial"/>
          <w:sz w:val="16"/>
          <w:szCs w:val="16"/>
          <w:b w:val="1"/>
          <w:bCs w:val="1"/>
          <w:color w:val="32406B"/>
        </w:rPr>
        <w:t>THE BOARD RECOMMENDS A VOTE “FOR” THE AMENDMENT TO ARTICLE 15 OF OUR CHARTER TO ELIMINATE SUPER-MAJORITY VOTING PROVISIONS CONTAINED THEREIN.</w:t>
      </w:r>
    </w:p>
    <w:p>
      <w:pPr>
        <w:spacing w:after="0" w:line="8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74</w:t>
      </w:r>
    </w:p>
    <w:p>
      <w:pPr>
        <w:sectPr>
          <w:pgSz w:w="11900" w:h="16838" w:orient="portrait"/>
          <w:cols w:equalWidth="0" w:num="1">
            <w:col w:w="11220"/>
          </w:cols>
          <w:pgMar w:left="240" w:top="459" w:right="4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76" w:lineRule="exact"/>
        <w:rPr>
          <w:sz w:val="20"/>
          <w:szCs w:val="20"/>
          <w:color w:val="auto"/>
        </w:rPr>
      </w:pPr>
    </w:p>
    <w:p>
      <w:pPr>
        <w:ind w:left="220"/>
        <w:spacing w:after="0"/>
        <w:rPr>
          <w:sz w:val="20"/>
          <w:szCs w:val="20"/>
          <w:color w:val="auto"/>
        </w:rPr>
      </w:pPr>
      <w:r>
        <w:rPr>
          <w:rFonts w:ascii="Arial" w:cs="Arial" w:eastAsia="Arial" w:hAnsi="Arial"/>
          <w:sz w:val="36"/>
          <w:szCs w:val="36"/>
          <w:b w:val="1"/>
          <w:bCs w:val="1"/>
          <w:color w:val="32406B"/>
        </w:rPr>
        <w:t>Proposal 5 — Approval of Amendments to</w:t>
      </w:r>
    </w:p>
    <w:p>
      <w:pPr>
        <w:spacing w:after="0" w:line="50" w:lineRule="exact"/>
        <w:rPr>
          <w:sz w:val="20"/>
          <w:szCs w:val="20"/>
          <w:color w:val="auto"/>
        </w:rPr>
      </w:pPr>
    </w:p>
    <w:p>
      <w:pPr>
        <w:ind w:left="220" w:right="780"/>
        <w:spacing w:after="0" w:line="253" w:lineRule="auto"/>
        <w:rPr>
          <w:sz w:val="20"/>
          <w:szCs w:val="20"/>
          <w:color w:val="auto"/>
        </w:rPr>
      </w:pPr>
      <w:r>
        <w:rPr>
          <w:rFonts w:ascii="Arial" w:cs="Arial" w:eastAsia="Arial" w:hAnsi="Arial"/>
          <w:sz w:val="36"/>
          <w:szCs w:val="36"/>
          <w:b w:val="1"/>
          <w:bCs w:val="1"/>
          <w:color w:val="32406B"/>
        </w:rPr>
        <w:t>Article 16 of Our Charter to Eliminate Super- Majority Voting Requirement</w:t>
      </w:r>
    </w:p>
    <w:p>
      <w:pPr>
        <w:spacing w:after="0" w:line="163"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32406B"/>
        </w:rPr>
        <w:t>Subject Matter of Vote</w:t>
      </w:r>
    </w:p>
    <w:p>
      <w:pPr>
        <w:spacing w:after="0" w:line="106" w:lineRule="exact"/>
        <w:rPr>
          <w:sz w:val="20"/>
          <w:szCs w:val="20"/>
          <w:color w:val="auto"/>
        </w:rPr>
      </w:pPr>
    </w:p>
    <w:p>
      <w:pPr>
        <w:jc w:val="both"/>
        <w:ind w:left="220" w:right="540"/>
        <w:spacing w:after="0" w:line="253" w:lineRule="auto"/>
        <w:rPr>
          <w:sz w:val="20"/>
          <w:szCs w:val="20"/>
          <w:color w:val="auto"/>
        </w:rPr>
      </w:pPr>
      <w:r>
        <w:rPr>
          <w:rFonts w:ascii="Arial" w:cs="Arial" w:eastAsia="Arial" w:hAnsi="Arial"/>
          <w:sz w:val="16"/>
          <w:szCs w:val="16"/>
          <w:color w:val="auto"/>
        </w:rPr>
        <w:t>The first paragraph of Article SIXTEENTH of our charter (“Article 16”) contains a prohibition on shareholder action by written consent. The second paragraph of Article 16 currently provides that Changes to Article 16 must be approved, subject to certain exceptions, by the affirmative vote of the holders of at least 80% of our outstanding voting shares (the “Article 16 Amendment Provision”).</w:t>
      </w:r>
    </w:p>
    <w:p>
      <w:pPr>
        <w:spacing w:after="0" w:line="160" w:lineRule="exact"/>
        <w:rPr>
          <w:sz w:val="20"/>
          <w:szCs w:val="20"/>
          <w:color w:val="auto"/>
        </w:rPr>
      </w:pPr>
    </w:p>
    <w:p>
      <w:pPr>
        <w:ind w:left="220" w:right="320"/>
        <w:spacing w:after="0" w:line="253" w:lineRule="auto"/>
        <w:rPr>
          <w:sz w:val="20"/>
          <w:szCs w:val="20"/>
          <w:color w:val="auto"/>
        </w:rPr>
      </w:pPr>
      <w:r>
        <w:rPr>
          <w:rFonts w:ascii="Arial" w:cs="Arial" w:eastAsia="Arial" w:hAnsi="Arial"/>
          <w:sz w:val="16"/>
          <w:szCs w:val="16"/>
          <w:color w:val="auto"/>
        </w:rPr>
        <w:t>On the recommendation of the Governance and Nominating Committee, and based on the careful review of the advantages and disadvantages of the Article 16 Amendment Provision as described in the “Background of Proposals 4 and 5” above, the Board has approved, and recommends that shareholders approve, this Proposal 5 to amend the charter by removing the Article 16 Amendment Provision in its entirety.</w:t>
      </w:r>
    </w:p>
    <w:p>
      <w:pPr>
        <w:spacing w:after="0" w:line="160" w:lineRule="exact"/>
        <w:rPr>
          <w:sz w:val="20"/>
          <w:szCs w:val="20"/>
          <w:color w:val="auto"/>
        </w:rPr>
      </w:pPr>
    </w:p>
    <w:p>
      <w:pPr>
        <w:ind w:left="220" w:right="80"/>
        <w:spacing w:after="0" w:line="253" w:lineRule="auto"/>
        <w:rPr>
          <w:sz w:val="20"/>
          <w:szCs w:val="20"/>
          <w:color w:val="auto"/>
        </w:rPr>
      </w:pPr>
      <w:r>
        <w:rPr>
          <w:rFonts w:ascii="Arial" w:cs="Arial" w:eastAsia="Arial" w:hAnsi="Arial"/>
          <w:sz w:val="16"/>
          <w:szCs w:val="16"/>
          <w:color w:val="auto"/>
        </w:rPr>
        <w:t>If this Proposal 5 is approved by shareholders, future Changes to Article 16 may be effected in accordance with Delaware law and will not be subject to a super-majority voting requirement. If this Proposal 5 is adopted, under Delaware law, future Changes to Article 16 would need to be approved by the Board and by the holders of at least a majority of the voting power of the capital stock of Dover outstanding and entitled to vote on the amendment.</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approval of this Proposal 5 is not conditioned on the approval of any other Proposal.</w:t>
      </w:r>
    </w:p>
    <w:p>
      <w:pPr>
        <w:spacing w:after="0" w:line="180" w:lineRule="exact"/>
        <w:rPr>
          <w:sz w:val="20"/>
          <w:szCs w:val="20"/>
          <w:color w:val="auto"/>
        </w:rPr>
      </w:pPr>
    </w:p>
    <w:p>
      <w:pPr>
        <w:ind w:left="220" w:right="500"/>
        <w:spacing w:after="0" w:line="260" w:lineRule="auto"/>
        <w:rPr>
          <w:sz w:val="20"/>
          <w:szCs w:val="20"/>
          <w:color w:val="auto"/>
        </w:rPr>
      </w:pPr>
      <w:r>
        <w:rPr>
          <w:rFonts w:ascii="Arial" w:cs="Arial" w:eastAsia="Arial" w:hAnsi="Arial"/>
          <w:sz w:val="16"/>
          <w:szCs w:val="16"/>
          <w:color w:val="auto"/>
        </w:rPr>
        <w:t>This summary of the proposed amendment is qualified in its entirety by reference to the text of the proposed amendment to the charter attached as Appendix B to this Proxy Statement, with deletions indicated by strike outs and additions indicated by underlining.</w:t>
      </w:r>
    </w:p>
    <w:p>
      <w:pPr>
        <w:spacing w:after="0" w:line="175"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32406B"/>
        </w:rPr>
        <w:t>Required Vote</w:t>
      </w:r>
    </w:p>
    <w:p>
      <w:pPr>
        <w:spacing w:after="0" w:line="92" w:lineRule="exact"/>
        <w:rPr>
          <w:sz w:val="20"/>
          <w:szCs w:val="20"/>
          <w:color w:val="auto"/>
        </w:rPr>
      </w:pPr>
    </w:p>
    <w:p>
      <w:pPr>
        <w:ind w:left="220" w:right="20"/>
        <w:spacing w:after="0" w:line="253" w:lineRule="auto"/>
        <w:rPr>
          <w:sz w:val="20"/>
          <w:szCs w:val="20"/>
          <w:color w:val="auto"/>
        </w:rPr>
      </w:pPr>
      <w:r>
        <w:rPr>
          <w:rFonts w:ascii="Arial" w:cs="Arial" w:eastAsia="Arial" w:hAnsi="Arial"/>
          <w:sz w:val="16"/>
          <w:szCs w:val="16"/>
          <w:color w:val="auto"/>
        </w:rPr>
        <w:t>In accordance with Delaware law, our Board has approved and declared advisable the proposed amendment and is recommending it to shareholders for approval. Under our charter and Delaware law, approval of Proposal 5 will require the affirmative vote of holders of at least 80% of our outstanding shares of common stock.</w:t>
      </w:r>
    </w:p>
    <w:p>
      <w:pPr>
        <w:spacing w:after="0" w:line="174" w:lineRule="exact"/>
        <w:rPr>
          <w:sz w:val="20"/>
          <w:szCs w:val="20"/>
          <w:color w:val="auto"/>
        </w:rPr>
      </w:pPr>
    </w:p>
    <w:p>
      <w:pPr>
        <w:ind w:left="220" w:right="80"/>
        <w:spacing w:after="0" w:line="249" w:lineRule="auto"/>
        <w:rPr>
          <w:sz w:val="20"/>
          <w:szCs w:val="20"/>
          <w:color w:val="auto"/>
        </w:rPr>
      </w:pPr>
      <w:r>
        <w:rPr>
          <w:rFonts w:ascii="Arial" w:cs="Arial" w:eastAsia="Arial" w:hAnsi="Arial"/>
          <w:sz w:val="16"/>
          <w:szCs w:val="16"/>
          <w:color w:val="auto"/>
        </w:rPr>
        <w:t>Abstentions and broker non-votes will have the effect of votes against the proposal. If this Proposal 5 is approved by shareholders, the Board has authorized the officers of Dover to file with the Delaware Secretary of State a certificate of amendment to our charter incorporating the amendment to Article 16 set forth in Appendix B. The amendment to our charter will become effective on the date the certificate of amendment is filed with the Delaware Secretary of State (or at such later effective date set forth in the certificate of amendment). If Proposal 5 is not approved by the requisite vote, the proposed amendment to Article 16 of our charter will not be implemented and Dover’s current voting requirements contained therein will remain in place.</w:t>
      </w:r>
    </w:p>
    <w:p>
      <w:pPr>
        <w:spacing w:after="0" w:line="186" w:lineRule="exact"/>
        <w:rPr>
          <w:sz w:val="20"/>
          <w:szCs w:val="20"/>
          <w:color w:val="auto"/>
        </w:rPr>
      </w:pPr>
    </w:p>
    <w:p>
      <w:pPr>
        <w:jc w:val="center"/>
        <w:ind w:left="440" w:right="40"/>
        <w:spacing w:after="0" w:line="286" w:lineRule="auto"/>
        <w:rPr>
          <w:sz w:val="20"/>
          <w:szCs w:val="20"/>
          <w:color w:val="auto"/>
        </w:rPr>
      </w:pPr>
      <w:r>
        <w:rPr>
          <w:rFonts w:ascii="Arial" w:cs="Arial" w:eastAsia="Arial" w:hAnsi="Arial"/>
          <w:sz w:val="16"/>
          <w:szCs w:val="16"/>
          <w:b w:val="1"/>
          <w:bCs w:val="1"/>
          <w:color w:val="32406B"/>
        </w:rPr>
        <w:t>THE BOARD RECOMMENDS A VOTE “FOR” THE AMENDMENT TO ARTICLE 16 OF OUR CHARTER TO ELIMINATE SUPER-MAJORITY VOTING PROVISIONS CONTAINED THEREIN.</w:t>
      </w:r>
    </w:p>
    <w:p>
      <w:pPr>
        <w:spacing w:after="0" w:line="8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75</w:t>
      </w:r>
    </w:p>
    <w:p>
      <w:pPr>
        <w:sectPr>
          <w:pgSz w:w="11900" w:h="16838" w:orient="portrait"/>
          <w:cols w:equalWidth="0" w:num="1">
            <w:col w:w="11220"/>
          </w:cols>
          <w:pgMar w:left="240" w:top="459" w:right="4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76" w:lineRule="exact"/>
        <w:rPr>
          <w:sz w:val="20"/>
          <w:szCs w:val="20"/>
          <w:color w:val="auto"/>
        </w:rPr>
      </w:pPr>
    </w:p>
    <w:p>
      <w:pPr>
        <w:ind w:left="220"/>
        <w:spacing w:after="0"/>
        <w:rPr>
          <w:sz w:val="20"/>
          <w:szCs w:val="20"/>
          <w:color w:val="auto"/>
        </w:rPr>
      </w:pPr>
      <w:r>
        <w:rPr>
          <w:rFonts w:ascii="Arial" w:cs="Arial" w:eastAsia="Arial" w:hAnsi="Arial"/>
          <w:sz w:val="36"/>
          <w:szCs w:val="36"/>
          <w:b w:val="1"/>
          <w:bCs w:val="1"/>
          <w:color w:val="32406B"/>
        </w:rPr>
        <w:t>Share Ownership Information</w:t>
      </w:r>
    </w:p>
    <w:p>
      <w:pPr>
        <w:spacing w:after="0" w:line="235"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32406B"/>
        </w:rPr>
        <w:t>Security Ownership of Certain Beneficial Owners and Management</w:t>
      </w:r>
    </w:p>
    <w:p>
      <w:pPr>
        <w:spacing w:after="0" w:line="105" w:lineRule="exact"/>
        <w:rPr>
          <w:sz w:val="20"/>
          <w:szCs w:val="20"/>
          <w:color w:val="auto"/>
        </w:rPr>
      </w:pPr>
    </w:p>
    <w:p>
      <w:pPr>
        <w:ind w:left="220" w:right="220"/>
        <w:spacing w:after="0" w:line="260" w:lineRule="auto"/>
        <w:rPr>
          <w:sz w:val="20"/>
          <w:szCs w:val="20"/>
          <w:color w:val="auto"/>
        </w:rPr>
      </w:pPr>
      <w:r>
        <w:rPr>
          <w:rFonts w:ascii="Arial" w:cs="Arial" w:eastAsia="Arial" w:hAnsi="Arial"/>
          <w:sz w:val="16"/>
          <w:szCs w:val="16"/>
          <w:color w:val="auto"/>
        </w:rPr>
        <w:t>The following table sets forth certain information regarding the beneficial ownership, as of March 12, 2018 (except as otherwise stated), of our common stock by the following:</w:t>
      </w:r>
    </w:p>
    <w:p>
      <w:pPr>
        <w:spacing w:after="0" w:line="195" w:lineRule="exact"/>
        <w:rPr>
          <w:sz w:val="20"/>
          <w:szCs w:val="20"/>
          <w:color w:val="auto"/>
        </w:rPr>
      </w:pPr>
    </w:p>
    <w:p>
      <w:pPr>
        <w:ind w:left="860" w:hanging="326"/>
        <w:spacing w:after="0"/>
        <w:tabs>
          <w:tab w:leader="none" w:pos="8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Each director and each of our executive officers named in “Executive Compensation — Summary Compensation Table”;</w:t>
      </w:r>
    </w:p>
    <w:p>
      <w:pPr>
        <w:spacing w:after="0" w:line="85" w:lineRule="exact"/>
        <w:rPr>
          <w:rFonts w:ascii="Arial" w:cs="Arial" w:eastAsia="Arial" w:hAnsi="Arial"/>
          <w:sz w:val="16"/>
          <w:szCs w:val="16"/>
          <w:color w:val="auto"/>
        </w:rPr>
      </w:pPr>
    </w:p>
    <w:p>
      <w:pPr>
        <w:ind w:left="860" w:hanging="326"/>
        <w:spacing w:after="0"/>
        <w:tabs>
          <w:tab w:leader="none" w:pos="8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All of the directors and executive officers as a group including the NEOs; and</w:t>
      </w:r>
    </w:p>
    <w:p>
      <w:pPr>
        <w:spacing w:after="0" w:line="85" w:lineRule="exact"/>
        <w:rPr>
          <w:rFonts w:ascii="Arial" w:cs="Arial" w:eastAsia="Arial" w:hAnsi="Arial"/>
          <w:sz w:val="16"/>
          <w:szCs w:val="16"/>
          <w:color w:val="auto"/>
        </w:rPr>
      </w:pPr>
    </w:p>
    <w:p>
      <w:pPr>
        <w:ind w:left="860" w:hanging="326"/>
        <w:spacing w:after="0"/>
        <w:tabs>
          <w:tab w:leader="none" w:pos="8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Each person known to us to own beneficially more than 5% of our outstanding common stock.</w:t>
      </w:r>
    </w:p>
    <w:p>
      <w:pPr>
        <w:spacing w:after="0" w:line="180" w:lineRule="exact"/>
        <w:rPr>
          <w:sz w:val="20"/>
          <w:szCs w:val="20"/>
          <w:color w:val="auto"/>
        </w:rPr>
      </w:pPr>
    </w:p>
    <w:p>
      <w:pPr>
        <w:ind w:left="220" w:right="40"/>
        <w:spacing w:after="0" w:line="253" w:lineRule="auto"/>
        <w:rPr>
          <w:sz w:val="20"/>
          <w:szCs w:val="20"/>
          <w:color w:val="auto"/>
        </w:rPr>
      </w:pPr>
      <w:r>
        <w:rPr>
          <w:rFonts w:ascii="Arial" w:cs="Arial" w:eastAsia="Arial" w:hAnsi="Arial"/>
          <w:sz w:val="16"/>
          <w:szCs w:val="16"/>
          <w:color w:val="auto"/>
        </w:rPr>
        <w:t>The beneficial ownership set forth in the table is determined in accordance with the rules of the SEC. The percentage of beneficial ownership for directors and executive officers is based on 154,576,877 shares of common stock outstanding on March 12, 2018. Unless otherwise indicated in the footnotes below, the persons and entities named in the table have sole voting and investment power as to all shares beneficially owned.</w:t>
      </w:r>
    </w:p>
    <w:p>
      <w:pPr>
        <w:spacing w:after="0" w:line="206" w:lineRule="exact"/>
        <w:rPr>
          <w:sz w:val="20"/>
          <w:szCs w:val="20"/>
          <w:color w:val="auto"/>
        </w:rPr>
      </w:pPr>
    </w:p>
    <w:tbl>
      <w:tblPr>
        <w:tblLayout w:type="fixed"/>
        <w:tblInd w:w="660" w:type="dxa"/>
        <w:tblCellMar>
          <w:top w:w="0" w:type="dxa"/>
          <w:left w:w="0" w:type="dxa"/>
          <w:bottom w:w="0" w:type="dxa"/>
          <w:right w:w="0" w:type="dxa"/>
        </w:tblCellMar>
      </w:tblPr>
      <w:tr>
        <w:trPr>
          <w:trHeight w:val="252"/>
        </w:trPr>
        <w:tc>
          <w:tcPr>
            <w:tcW w:w="5440" w:type="dxa"/>
            <w:vAlign w:val="bottom"/>
            <w:tcBorders>
              <w:top w:val="single" w:sz="8" w:color="auto"/>
              <w:right w:val="single" w:sz="8" w:color="999999"/>
            </w:tcBorders>
            <w:shd w:val="clear" w:color="auto" w:fill="505C81"/>
          </w:tcPr>
          <w:p>
            <w:pPr>
              <w:spacing w:after="0"/>
              <w:rPr>
                <w:sz w:val="21"/>
                <w:szCs w:val="21"/>
                <w:color w:val="auto"/>
              </w:rPr>
            </w:pPr>
          </w:p>
        </w:tc>
        <w:tc>
          <w:tcPr>
            <w:tcW w:w="1280" w:type="dxa"/>
            <w:vAlign w:val="bottom"/>
            <w:tcBorders>
              <w:top w:val="single" w:sz="8" w:color="auto"/>
            </w:tcBorders>
            <w:shd w:val="clear" w:color="auto" w:fill="505C81"/>
          </w:tcPr>
          <w:p>
            <w:pPr>
              <w:jc w:val="right"/>
              <w:spacing w:after="0"/>
              <w:rPr>
                <w:sz w:val="20"/>
                <w:szCs w:val="20"/>
                <w:color w:val="auto"/>
              </w:rPr>
            </w:pPr>
            <w:r>
              <w:rPr>
                <w:rFonts w:ascii="Arial" w:cs="Arial" w:eastAsia="Arial" w:hAnsi="Arial"/>
                <w:sz w:val="16"/>
                <w:szCs w:val="16"/>
                <w:b w:val="1"/>
                <w:bCs w:val="1"/>
                <w:color w:val="FFFFFF"/>
              </w:rPr>
              <w:t>Number of</w:t>
            </w:r>
          </w:p>
        </w:tc>
        <w:tc>
          <w:tcPr>
            <w:tcW w:w="920" w:type="dxa"/>
            <w:vAlign w:val="bottom"/>
            <w:tcBorders>
              <w:top w:val="single" w:sz="8" w:color="auto"/>
            </w:tcBorders>
            <w:shd w:val="clear" w:color="auto" w:fill="505C81"/>
          </w:tcPr>
          <w:p>
            <w:pPr>
              <w:spacing w:after="0"/>
              <w:rPr>
                <w:sz w:val="21"/>
                <w:szCs w:val="21"/>
                <w:color w:val="auto"/>
              </w:rPr>
            </w:pPr>
          </w:p>
        </w:tc>
        <w:tc>
          <w:tcPr>
            <w:tcW w:w="2480" w:type="dxa"/>
            <w:vAlign w:val="bottom"/>
            <w:tcBorders>
              <w:top w:val="single" w:sz="8" w:color="auto"/>
            </w:tcBorders>
            <w:shd w:val="clear" w:color="auto" w:fill="505C81"/>
          </w:tcPr>
          <w:p>
            <w:pPr>
              <w:spacing w:after="0"/>
              <w:rPr>
                <w:sz w:val="21"/>
                <w:szCs w:val="21"/>
                <w:color w:val="auto"/>
              </w:rPr>
            </w:pPr>
          </w:p>
        </w:tc>
      </w:tr>
      <w:tr>
        <w:trPr>
          <w:trHeight w:val="234"/>
        </w:trPr>
        <w:tc>
          <w:tcPr>
            <w:tcW w:w="5440" w:type="dxa"/>
            <w:vAlign w:val="bottom"/>
            <w:tcBorders>
              <w:right w:val="single" w:sz="8" w:color="999999"/>
            </w:tcBorders>
            <w:shd w:val="clear" w:color="auto" w:fill="505C81"/>
          </w:tcPr>
          <w:p>
            <w:pPr>
              <w:ind w:left="140"/>
              <w:spacing w:after="0"/>
              <w:rPr>
                <w:sz w:val="20"/>
                <w:szCs w:val="20"/>
                <w:color w:val="auto"/>
              </w:rPr>
            </w:pPr>
            <w:r>
              <w:rPr>
                <w:rFonts w:ascii="Arial" w:cs="Arial" w:eastAsia="Arial" w:hAnsi="Arial"/>
                <w:sz w:val="16"/>
                <w:szCs w:val="16"/>
                <w:b w:val="1"/>
                <w:bCs w:val="1"/>
                <w:color w:val="FFFFFF"/>
              </w:rPr>
              <w:t>NAME OF BENEFICIAL OWNER</w:t>
            </w:r>
          </w:p>
        </w:tc>
        <w:tc>
          <w:tcPr>
            <w:tcW w:w="1280" w:type="dxa"/>
            <w:vAlign w:val="bottom"/>
            <w:shd w:val="clear" w:color="auto" w:fill="505C81"/>
          </w:tcPr>
          <w:p>
            <w:pPr>
              <w:jc w:val="right"/>
              <w:ind w:right="19"/>
              <w:spacing w:after="0"/>
              <w:rPr>
                <w:sz w:val="20"/>
                <w:szCs w:val="20"/>
                <w:color w:val="auto"/>
              </w:rPr>
            </w:pPr>
            <w:r>
              <w:rPr>
                <w:rFonts w:ascii="Arial" w:cs="Arial" w:eastAsia="Arial" w:hAnsi="Arial"/>
                <w:sz w:val="16"/>
                <w:szCs w:val="16"/>
                <w:b w:val="1"/>
                <w:bCs w:val="1"/>
                <w:color w:val="FFFFFF"/>
              </w:rPr>
              <w:t>Shares(1)</w:t>
            </w:r>
          </w:p>
        </w:tc>
        <w:tc>
          <w:tcPr>
            <w:tcW w:w="920" w:type="dxa"/>
            <w:vAlign w:val="bottom"/>
            <w:shd w:val="clear" w:color="auto" w:fill="505C81"/>
          </w:tcPr>
          <w:p>
            <w:pPr>
              <w:spacing w:after="0"/>
              <w:rPr>
                <w:sz w:val="20"/>
                <w:szCs w:val="20"/>
                <w:color w:val="auto"/>
              </w:rPr>
            </w:pPr>
          </w:p>
        </w:tc>
        <w:tc>
          <w:tcPr>
            <w:tcW w:w="2480" w:type="dxa"/>
            <w:vAlign w:val="bottom"/>
            <w:shd w:val="clear" w:color="auto" w:fill="505C81"/>
          </w:tcPr>
          <w:p>
            <w:pPr>
              <w:jc w:val="right"/>
              <w:ind w:right="679"/>
              <w:spacing w:after="0"/>
              <w:rPr>
                <w:sz w:val="20"/>
                <w:szCs w:val="20"/>
                <w:color w:val="auto"/>
              </w:rPr>
            </w:pPr>
            <w:r>
              <w:rPr>
                <w:rFonts w:ascii="Arial" w:cs="Arial" w:eastAsia="Arial" w:hAnsi="Arial"/>
                <w:sz w:val="16"/>
                <w:szCs w:val="16"/>
                <w:b w:val="1"/>
                <w:bCs w:val="1"/>
                <w:color w:val="FFFFFF"/>
              </w:rPr>
              <w:t>Percentage(1)</w:t>
            </w:r>
          </w:p>
        </w:tc>
      </w:tr>
      <w:tr>
        <w:trPr>
          <w:trHeight w:val="274"/>
        </w:trPr>
        <w:tc>
          <w:tcPr>
            <w:tcW w:w="5440" w:type="dxa"/>
            <w:vAlign w:val="bottom"/>
            <w:tcBorders>
              <w:right w:val="single" w:sz="8" w:color="999999"/>
            </w:tcBorders>
          </w:tcPr>
          <w:p>
            <w:pPr>
              <w:ind w:left="140"/>
              <w:spacing w:after="0"/>
              <w:rPr>
                <w:sz w:val="20"/>
                <w:szCs w:val="20"/>
                <w:color w:val="auto"/>
              </w:rPr>
            </w:pPr>
            <w:r>
              <w:rPr>
                <w:rFonts w:ascii="Arial" w:cs="Arial" w:eastAsia="Arial" w:hAnsi="Arial"/>
                <w:sz w:val="16"/>
                <w:szCs w:val="16"/>
                <w:b w:val="1"/>
                <w:bCs w:val="1"/>
                <w:i w:val="1"/>
                <w:iCs w:val="1"/>
                <w:color w:val="auto"/>
              </w:rPr>
              <w:t>DIRECTORS (EXCEPT MR. LIVINGSTON):</w:t>
            </w:r>
          </w:p>
        </w:tc>
        <w:tc>
          <w:tcPr>
            <w:tcW w:w="1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80" w:type="dxa"/>
            <w:vAlign w:val="bottom"/>
          </w:tcPr>
          <w:p>
            <w:pPr>
              <w:spacing w:after="0"/>
              <w:rPr>
                <w:sz w:val="23"/>
                <w:szCs w:val="23"/>
                <w:color w:val="auto"/>
              </w:rPr>
            </w:pPr>
          </w:p>
        </w:tc>
      </w:tr>
      <w:tr>
        <w:trPr>
          <w:trHeight w:val="293"/>
        </w:trPr>
        <w:tc>
          <w:tcPr>
            <w:tcW w:w="5440" w:type="dxa"/>
            <w:vAlign w:val="bottom"/>
            <w:tcBorders>
              <w:right w:val="single" w:sz="8" w:color="999999"/>
            </w:tcBorders>
            <w:shd w:val="clear" w:color="auto" w:fill="D8D8D8"/>
          </w:tcPr>
          <w:p>
            <w:pPr>
              <w:ind w:left="140"/>
              <w:spacing w:after="0"/>
              <w:rPr>
                <w:sz w:val="20"/>
                <w:szCs w:val="20"/>
                <w:color w:val="auto"/>
              </w:rPr>
            </w:pPr>
            <w:r>
              <w:rPr>
                <w:rFonts w:ascii="Arial" w:cs="Arial" w:eastAsia="Arial" w:hAnsi="Arial"/>
                <w:sz w:val="16"/>
                <w:szCs w:val="16"/>
                <w:b w:val="1"/>
                <w:bCs w:val="1"/>
                <w:color w:val="auto"/>
              </w:rPr>
              <w:t>PETER T. FRANCIS</w:t>
            </w:r>
          </w:p>
        </w:tc>
        <w:tc>
          <w:tcPr>
            <w:tcW w:w="2200" w:type="dxa"/>
            <w:vAlign w:val="bottom"/>
            <w:gridSpan w:val="2"/>
            <w:shd w:val="clear" w:color="auto" w:fill="D8D8D8"/>
          </w:tcPr>
          <w:p>
            <w:pPr>
              <w:jc w:val="right"/>
              <w:ind w:right="639"/>
              <w:spacing w:after="0"/>
              <w:rPr>
                <w:sz w:val="20"/>
                <w:szCs w:val="20"/>
                <w:color w:val="auto"/>
              </w:rPr>
            </w:pPr>
            <w:r>
              <w:rPr>
                <w:rFonts w:ascii="Arial" w:cs="Arial" w:eastAsia="Arial" w:hAnsi="Arial"/>
                <w:sz w:val="16"/>
                <w:szCs w:val="16"/>
                <w:color w:val="auto"/>
              </w:rPr>
              <w:t>20,881(2)</w:t>
            </w:r>
          </w:p>
        </w:tc>
        <w:tc>
          <w:tcPr>
            <w:tcW w:w="2480" w:type="dxa"/>
            <w:vAlign w:val="bottom"/>
            <w:shd w:val="clear" w:color="auto" w:fill="D8D8D8"/>
          </w:tcPr>
          <w:p>
            <w:pPr>
              <w:jc w:val="right"/>
              <w:ind w:right="659"/>
              <w:spacing w:after="0"/>
              <w:rPr>
                <w:sz w:val="20"/>
                <w:szCs w:val="20"/>
                <w:color w:val="auto"/>
              </w:rPr>
            </w:pPr>
            <w:r>
              <w:rPr>
                <w:rFonts w:ascii="Arial" w:cs="Arial" w:eastAsia="Arial" w:hAnsi="Arial"/>
                <w:sz w:val="16"/>
                <w:szCs w:val="16"/>
                <w:color w:val="auto"/>
              </w:rPr>
              <w:t>*</w:t>
            </w:r>
          </w:p>
        </w:tc>
      </w:tr>
      <w:tr>
        <w:trPr>
          <w:trHeight w:val="274"/>
        </w:trPr>
        <w:tc>
          <w:tcPr>
            <w:tcW w:w="5440" w:type="dxa"/>
            <w:vAlign w:val="bottom"/>
            <w:tcBorders>
              <w:right w:val="single" w:sz="8" w:color="999999"/>
            </w:tcBorders>
          </w:tcPr>
          <w:p>
            <w:pPr>
              <w:ind w:left="140"/>
              <w:spacing w:after="0"/>
              <w:rPr>
                <w:sz w:val="20"/>
                <w:szCs w:val="20"/>
                <w:color w:val="auto"/>
              </w:rPr>
            </w:pPr>
            <w:r>
              <w:rPr>
                <w:rFonts w:ascii="Arial" w:cs="Arial" w:eastAsia="Arial" w:hAnsi="Arial"/>
                <w:sz w:val="16"/>
                <w:szCs w:val="16"/>
                <w:b w:val="1"/>
                <w:bCs w:val="1"/>
                <w:color w:val="auto"/>
              </w:rPr>
              <w:t>KRISTIANE C. GRAHAM</w:t>
            </w:r>
          </w:p>
        </w:tc>
        <w:tc>
          <w:tcPr>
            <w:tcW w:w="2200" w:type="dxa"/>
            <w:vAlign w:val="bottom"/>
            <w:gridSpan w:val="2"/>
          </w:tcPr>
          <w:p>
            <w:pPr>
              <w:jc w:val="right"/>
              <w:ind w:right="639"/>
              <w:spacing w:after="0"/>
              <w:rPr>
                <w:sz w:val="20"/>
                <w:szCs w:val="20"/>
                <w:color w:val="auto"/>
              </w:rPr>
            </w:pPr>
            <w:r>
              <w:rPr>
                <w:rFonts w:ascii="Arial" w:cs="Arial" w:eastAsia="Arial" w:hAnsi="Arial"/>
                <w:sz w:val="16"/>
                <w:szCs w:val="16"/>
                <w:color w:val="auto"/>
              </w:rPr>
              <w:t>590,259(3)</w:t>
            </w:r>
          </w:p>
        </w:tc>
        <w:tc>
          <w:tcPr>
            <w:tcW w:w="2480" w:type="dxa"/>
            <w:vAlign w:val="bottom"/>
          </w:tcPr>
          <w:p>
            <w:pPr>
              <w:jc w:val="right"/>
              <w:ind w:right="659"/>
              <w:spacing w:after="0"/>
              <w:rPr>
                <w:sz w:val="20"/>
                <w:szCs w:val="20"/>
                <w:color w:val="auto"/>
              </w:rPr>
            </w:pPr>
            <w:r>
              <w:rPr>
                <w:rFonts w:ascii="Arial" w:cs="Arial" w:eastAsia="Arial" w:hAnsi="Arial"/>
                <w:sz w:val="16"/>
                <w:szCs w:val="16"/>
                <w:color w:val="auto"/>
              </w:rPr>
              <w:t>*</w:t>
            </w:r>
          </w:p>
        </w:tc>
      </w:tr>
      <w:tr>
        <w:trPr>
          <w:trHeight w:val="293"/>
        </w:trPr>
        <w:tc>
          <w:tcPr>
            <w:tcW w:w="5440" w:type="dxa"/>
            <w:vAlign w:val="bottom"/>
            <w:tcBorders>
              <w:right w:val="single" w:sz="8" w:color="999999"/>
            </w:tcBorders>
            <w:shd w:val="clear" w:color="auto" w:fill="D8D8D8"/>
          </w:tcPr>
          <w:p>
            <w:pPr>
              <w:ind w:left="140"/>
              <w:spacing w:after="0"/>
              <w:rPr>
                <w:sz w:val="20"/>
                <w:szCs w:val="20"/>
                <w:color w:val="auto"/>
              </w:rPr>
            </w:pPr>
            <w:r>
              <w:rPr>
                <w:rFonts w:ascii="Arial" w:cs="Arial" w:eastAsia="Arial" w:hAnsi="Arial"/>
                <w:sz w:val="16"/>
                <w:szCs w:val="16"/>
                <w:b w:val="1"/>
                <w:bCs w:val="1"/>
                <w:color w:val="auto"/>
              </w:rPr>
              <w:t>MICHAEL F. JOHNSTON</w:t>
            </w:r>
          </w:p>
        </w:tc>
        <w:tc>
          <w:tcPr>
            <w:tcW w:w="2200" w:type="dxa"/>
            <w:vAlign w:val="bottom"/>
            <w:gridSpan w:val="2"/>
            <w:shd w:val="clear" w:color="auto" w:fill="D8D8D8"/>
          </w:tcPr>
          <w:p>
            <w:pPr>
              <w:jc w:val="right"/>
              <w:ind w:right="639"/>
              <w:spacing w:after="0"/>
              <w:rPr>
                <w:sz w:val="20"/>
                <w:szCs w:val="20"/>
                <w:color w:val="auto"/>
              </w:rPr>
            </w:pPr>
            <w:r>
              <w:rPr>
                <w:rFonts w:ascii="Arial" w:cs="Arial" w:eastAsia="Arial" w:hAnsi="Arial"/>
                <w:sz w:val="16"/>
                <w:szCs w:val="16"/>
                <w:color w:val="auto"/>
              </w:rPr>
              <w:t>12,245(4)</w:t>
            </w:r>
          </w:p>
        </w:tc>
        <w:tc>
          <w:tcPr>
            <w:tcW w:w="2480" w:type="dxa"/>
            <w:vAlign w:val="bottom"/>
            <w:shd w:val="clear" w:color="auto" w:fill="D8D8D8"/>
          </w:tcPr>
          <w:p>
            <w:pPr>
              <w:jc w:val="right"/>
              <w:ind w:right="659"/>
              <w:spacing w:after="0"/>
              <w:rPr>
                <w:sz w:val="20"/>
                <w:szCs w:val="20"/>
                <w:color w:val="auto"/>
              </w:rPr>
            </w:pPr>
            <w:r>
              <w:rPr>
                <w:rFonts w:ascii="Arial" w:cs="Arial" w:eastAsia="Arial" w:hAnsi="Arial"/>
                <w:sz w:val="16"/>
                <w:szCs w:val="16"/>
                <w:color w:val="auto"/>
              </w:rPr>
              <w:t>*</w:t>
            </w:r>
          </w:p>
        </w:tc>
      </w:tr>
      <w:tr>
        <w:trPr>
          <w:trHeight w:val="274"/>
        </w:trPr>
        <w:tc>
          <w:tcPr>
            <w:tcW w:w="5440" w:type="dxa"/>
            <w:vAlign w:val="bottom"/>
            <w:tcBorders>
              <w:right w:val="single" w:sz="8" w:color="999999"/>
            </w:tcBorders>
          </w:tcPr>
          <w:p>
            <w:pPr>
              <w:ind w:left="140"/>
              <w:spacing w:after="0"/>
              <w:rPr>
                <w:sz w:val="20"/>
                <w:szCs w:val="20"/>
                <w:color w:val="auto"/>
              </w:rPr>
            </w:pPr>
            <w:r>
              <w:rPr>
                <w:rFonts w:ascii="Arial" w:cs="Arial" w:eastAsia="Arial" w:hAnsi="Arial"/>
                <w:sz w:val="16"/>
                <w:szCs w:val="16"/>
                <w:b w:val="1"/>
                <w:bCs w:val="1"/>
                <w:color w:val="auto"/>
              </w:rPr>
              <w:t>RICHARD K. LOCHRIDGE</w:t>
            </w:r>
          </w:p>
        </w:tc>
        <w:tc>
          <w:tcPr>
            <w:tcW w:w="2200" w:type="dxa"/>
            <w:vAlign w:val="bottom"/>
            <w:gridSpan w:val="2"/>
          </w:tcPr>
          <w:p>
            <w:pPr>
              <w:jc w:val="right"/>
              <w:ind w:right="639"/>
              <w:spacing w:after="0"/>
              <w:rPr>
                <w:sz w:val="20"/>
                <w:szCs w:val="20"/>
                <w:color w:val="auto"/>
              </w:rPr>
            </w:pPr>
            <w:r>
              <w:rPr>
                <w:rFonts w:ascii="Arial" w:cs="Arial" w:eastAsia="Arial" w:hAnsi="Arial"/>
                <w:sz w:val="16"/>
                <w:szCs w:val="16"/>
                <w:color w:val="auto"/>
              </w:rPr>
              <w:t>19,758(5)</w:t>
            </w:r>
          </w:p>
        </w:tc>
        <w:tc>
          <w:tcPr>
            <w:tcW w:w="2480" w:type="dxa"/>
            <w:vAlign w:val="bottom"/>
          </w:tcPr>
          <w:p>
            <w:pPr>
              <w:jc w:val="right"/>
              <w:ind w:right="659"/>
              <w:spacing w:after="0"/>
              <w:rPr>
                <w:sz w:val="20"/>
                <w:szCs w:val="20"/>
                <w:color w:val="auto"/>
              </w:rPr>
            </w:pPr>
            <w:r>
              <w:rPr>
                <w:rFonts w:ascii="Arial" w:cs="Arial" w:eastAsia="Arial" w:hAnsi="Arial"/>
                <w:sz w:val="16"/>
                <w:szCs w:val="16"/>
                <w:color w:val="auto"/>
              </w:rPr>
              <w:t>*</w:t>
            </w:r>
          </w:p>
        </w:tc>
      </w:tr>
      <w:tr>
        <w:trPr>
          <w:trHeight w:val="293"/>
        </w:trPr>
        <w:tc>
          <w:tcPr>
            <w:tcW w:w="5440" w:type="dxa"/>
            <w:vAlign w:val="bottom"/>
            <w:tcBorders>
              <w:right w:val="single" w:sz="8" w:color="999999"/>
            </w:tcBorders>
            <w:shd w:val="clear" w:color="auto" w:fill="D8D8D8"/>
          </w:tcPr>
          <w:p>
            <w:pPr>
              <w:ind w:left="140"/>
              <w:spacing w:after="0"/>
              <w:rPr>
                <w:sz w:val="20"/>
                <w:szCs w:val="20"/>
                <w:color w:val="auto"/>
              </w:rPr>
            </w:pPr>
            <w:r>
              <w:rPr>
                <w:rFonts w:ascii="Arial" w:cs="Arial" w:eastAsia="Arial" w:hAnsi="Arial"/>
                <w:sz w:val="16"/>
                <w:szCs w:val="16"/>
                <w:b w:val="1"/>
                <w:bCs w:val="1"/>
                <w:color w:val="auto"/>
              </w:rPr>
              <w:t>ERIC A. SPIEGEL</w:t>
            </w:r>
          </w:p>
        </w:tc>
        <w:tc>
          <w:tcPr>
            <w:tcW w:w="2200" w:type="dxa"/>
            <w:vAlign w:val="bottom"/>
            <w:gridSpan w:val="2"/>
            <w:shd w:val="clear" w:color="auto" w:fill="D8D8D8"/>
          </w:tcPr>
          <w:p>
            <w:pPr>
              <w:jc w:val="right"/>
              <w:ind w:right="639"/>
              <w:spacing w:after="0"/>
              <w:rPr>
                <w:sz w:val="20"/>
                <w:szCs w:val="20"/>
                <w:color w:val="auto"/>
              </w:rPr>
            </w:pPr>
            <w:r>
              <w:rPr>
                <w:rFonts w:ascii="Arial" w:cs="Arial" w:eastAsia="Arial" w:hAnsi="Arial"/>
                <w:sz w:val="16"/>
                <w:szCs w:val="16"/>
                <w:color w:val="auto"/>
              </w:rPr>
              <w:t>1,253(6)</w:t>
            </w:r>
          </w:p>
        </w:tc>
        <w:tc>
          <w:tcPr>
            <w:tcW w:w="2480" w:type="dxa"/>
            <w:vAlign w:val="bottom"/>
            <w:shd w:val="clear" w:color="auto" w:fill="D8D8D8"/>
          </w:tcPr>
          <w:p>
            <w:pPr>
              <w:jc w:val="right"/>
              <w:ind w:right="659"/>
              <w:spacing w:after="0"/>
              <w:rPr>
                <w:sz w:val="20"/>
                <w:szCs w:val="20"/>
                <w:color w:val="auto"/>
              </w:rPr>
            </w:pPr>
            <w:r>
              <w:rPr>
                <w:rFonts w:ascii="Arial" w:cs="Arial" w:eastAsia="Arial" w:hAnsi="Arial"/>
                <w:sz w:val="16"/>
                <w:szCs w:val="16"/>
                <w:color w:val="auto"/>
              </w:rPr>
              <w:t>*</w:t>
            </w:r>
          </w:p>
        </w:tc>
      </w:tr>
      <w:tr>
        <w:trPr>
          <w:trHeight w:val="274"/>
        </w:trPr>
        <w:tc>
          <w:tcPr>
            <w:tcW w:w="5440" w:type="dxa"/>
            <w:vAlign w:val="bottom"/>
            <w:tcBorders>
              <w:right w:val="single" w:sz="8" w:color="999999"/>
            </w:tcBorders>
          </w:tcPr>
          <w:p>
            <w:pPr>
              <w:ind w:left="140"/>
              <w:spacing w:after="0"/>
              <w:rPr>
                <w:sz w:val="20"/>
                <w:szCs w:val="20"/>
                <w:color w:val="auto"/>
              </w:rPr>
            </w:pPr>
            <w:r>
              <w:rPr>
                <w:rFonts w:ascii="Arial" w:cs="Arial" w:eastAsia="Arial" w:hAnsi="Arial"/>
                <w:sz w:val="16"/>
                <w:szCs w:val="16"/>
                <w:b w:val="1"/>
                <w:bCs w:val="1"/>
                <w:color w:val="auto"/>
              </w:rPr>
              <w:t>MICHAEL B. STUBBS</w:t>
            </w:r>
          </w:p>
        </w:tc>
        <w:tc>
          <w:tcPr>
            <w:tcW w:w="2200" w:type="dxa"/>
            <w:vAlign w:val="bottom"/>
            <w:gridSpan w:val="2"/>
          </w:tcPr>
          <w:p>
            <w:pPr>
              <w:jc w:val="right"/>
              <w:ind w:right="639"/>
              <w:spacing w:after="0"/>
              <w:rPr>
                <w:sz w:val="20"/>
                <w:szCs w:val="20"/>
                <w:color w:val="auto"/>
              </w:rPr>
            </w:pPr>
            <w:r>
              <w:rPr>
                <w:rFonts w:ascii="Arial" w:cs="Arial" w:eastAsia="Arial" w:hAnsi="Arial"/>
                <w:sz w:val="16"/>
                <w:szCs w:val="16"/>
                <w:color w:val="auto"/>
              </w:rPr>
              <w:t>388,718(7)</w:t>
            </w:r>
          </w:p>
        </w:tc>
        <w:tc>
          <w:tcPr>
            <w:tcW w:w="2480" w:type="dxa"/>
            <w:vAlign w:val="bottom"/>
          </w:tcPr>
          <w:p>
            <w:pPr>
              <w:jc w:val="right"/>
              <w:ind w:right="659"/>
              <w:spacing w:after="0"/>
              <w:rPr>
                <w:sz w:val="20"/>
                <w:szCs w:val="20"/>
                <w:color w:val="auto"/>
              </w:rPr>
            </w:pPr>
            <w:r>
              <w:rPr>
                <w:rFonts w:ascii="Arial" w:cs="Arial" w:eastAsia="Arial" w:hAnsi="Arial"/>
                <w:sz w:val="16"/>
                <w:szCs w:val="16"/>
                <w:color w:val="auto"/>
              </w:rPr>
              <w:t>*</w:t>
            </w:r>
          </w:p>
        </w:tc>
      </w:tr>
      <w:tr>
        <w:trPr>
          <w:trHeight w:val="293"/>
        </w:trPr>
        <w:tc>
          <w:tcPr>
            <w:tcW w:w="5440" w:type="dxa"/>
            <w:vAlign w:val="bottom"/>
            <w:tcBorders>
              <w:right w:val="single" w:sz="8" w:color="999999"/>
            </w:tcBorders>
            <w:shd w:val="clear" w:color="auto" w:fill="D8D8D8"/>
          </w:tcPr>
          <w:p>
            <w:pPr>
              <w:ind w:left="140"/>
              <w:spacing w:after="0"/>
              <w:rPr>
                <w:sz w:val="20"/>
                <w:szCs w:val="20"/>
                <w:color w:val="auto"/>
              </w:rPr>
            </w:pPr>
            <w:r>
              <w:rPr>
                <w:rFonts w:ascii="Arial" w:cs="Arial" w:eastAsia="Arial" w:hAnsi="Arial"/>
                <w:sz w:val="16"/>
                <w:szCs w:val="16"/>
                <w:b w:val="1"/>
                <w:bCs w:val="1"/>
                <w:color w:val="auto"/>
              </w:rPr>
              <w:t>RICHARD J. TOBIN</w:t>
            </w:r>
          </w:p>
        </w:tc>
        <w:tc>
          <w:tcPr>
            <w:tcW w:w="2200" w:type="dxa"/>
            <w:vAlign w:val="bottom"/>
            <w:gridSpan w:val="2"/>
            <w:shd w:val="clear" w:color="auto" w:fill="D8D8D8"/>
          </w:tcPr>
          <w:p>
            <w:pPr>
              <w:jc w:val="right"/>
              <w:ind w:right="639"/>
              <w:spacing w:after="0"/>
              <w:rPr>
                <w:sz w:val="20"/>
                <w:szCs w:val="20"/>
                <w:color w:val="auto"/>
              </w:rPr>
            </w:pPr>
            <w:r>
              <w:rPr>
                <w:rFonts w:ascii="Arial" w:cs="Arial" w:eastAsia="Arial" w:hAnsi="Arial"/>
                <w:sz w:val="16"/>
                <w:szCs w:val="16"/>
                <w:color w:val="auto"/>
              </w:rPr>
              <w:t>2,149(8)</w:t>
            </w:r>
          </w:p>
        </w:tc>
        <w:tc>
          <w:tcPr>
            <w:tcW w:w="2480" w:type="dxa"/>
            <w:vAlign w:val="bottom"/>
            <w:shd w:val="clear" w:color="auto" w:fill="D8D8D8"/>
          </w:tcPr>
          <w:p>
            <w:pPr>
              <w:jc w:val="right"/>
              <w:ind w:right="659"/>
              <w:spacing w:after="0"/>
              <w:rPr>
                <w:sz w:val="20"/>
                <w:szCs w:val="20"/>
                <w:color w:val="auto"/>
              </w:rPr>
            </w:pPr>
            <w:r>
              <w:rPr>
                <w:rFonts w:ascii="Arial" w:cs="Arial" w:eastAsia="Arial" w:hAnsi="Arial"/>
                <w:sz w:val="16"/>
                <w:szCs w:val="16"/>
                <w:color w:val="auto"/>
              </w:rPr>
              <w:t>*</w:t>
            </w:r>
          </w:p>
        </w:tc>
      </w:tr>
      <w:tr>
        <w:trPr>
          <w:trHeight w:val="274"/>
        </w:trPr>
        <w:tc>
          <w:tcPr>
            <w:tcW w:w="5440" w:type="dxa"/>
            <w:vAlign w:val="bottom"/>
            <w:tcBorders>
              <w:right w:val="single" w:sz="8" w:color="999999"/>
            </w:tcBorders>
          </w:tcPr>
          <w:p>
            <w:pPr>
              <w:ind w:left="140"/>
              <w:spacing w:after="0"/>
              <w:rPr>
                <w:sz w:val="20"/>
                <w:szCs w:val="20"/>
                <w:color w:val="auto"/>
              </w:rPr>
            </w:pPr>
            <w:r>
              <w:rPr>
                <w:rFonts w:ascii="Arial" w:cs="Arial" w:eastAsia="Arial" w:hAnsi="Arial"/>
                <w:sz w:val="16"/>
                <w:szCs w:val="16"/>
                <w:b w:val="1"/>
                <w:bCs w:val="1"/>
                <w:color w:val="auto"/>
              </w:rPr>
              <w:t>STEPHEN M. TODD</w:t>
            </w:r>
          </w:p>
        </w:tc>
        <w:tc>
          <w:tcPr>
            <w:tcW w:w="2200" w:type="dxa"/>
            <w:vAlign w:val="bottom"/>
            <w:gridSpan w:val="2"/>
          </w:tcPr>
          <w:p>
            <w:pPr>
              <w:jc w:val="right"/>
              <w:ind w:right="639"/>
              <w:spacing w:after="0"/>
              <w:rPr>
                <w:sz w:val="20"/>
                <w:szCs w:val="20"/>
                <w:color w:val="auto"/>
              </w:rPr>
            </w:pPr>
            <w:r>
              <w:rPr>
                <w:rFonts w:ascii="Arial" w:cs="Arial" w:eastAsia="Arial" w:hAnsi="Arial"/>
                <w:sz w:val="16"/>
                <w:szCs w:val="16"/>
                <w:color w:val="auto"/>
              </w:rPr>
              <w:t>15,884(9)</w:t>
            </w:r>
          </w:p>
        </w:tc>
        <w:tc>
          <w:tcPr>
            <w:tcW w:w="2480" w:type="dxa"/>
            <w:vAlign w:val="bottom"/>
          </w:tcPr>
          <w:p>
            <w:pPr>
              <w:jc w:val="right"/>
              <w:ind w:right="659"/>
              <w:spacing w:after="0"/>
              <w:rPr>
                <w:sz w:val="20"/>
                <w:szCs w:val="20"/>
                <w:color w:val="auto"/>
              </w:rPr>
            </w:pPr>
            <w:r>
              <w:rPr>
                <w:rFonts w:ascii="Arial" w:cs="Arial" w:eastAsia="Arial" w:hAnsi="Arial"/>
                <w:sz w:val="16"/>
                <w:szCs w:val="16"/>
                <w:color w:val="auto"/>
              </w:rPr>
              <w:t>*</w:t>
            </w:r>
          </w:p>
        </w:tc>
      </w:tr>
      <w:tr>
        <w:trPr>
          <w:trHeight w:val="293"/>
        </w:trPr>
        <w:tc>
          <w:tcPr>
            <w:tcW w:w="5440" w:type="dxa"/>
            <w:vAlign w:val="bottom"/>
            <w:tcBorders>
              <w:right w:val="single" w:sz="8" w:color="999999"/>
            </w:tcBorders>
            <w:shd w:val="clear" w:color="auto" w:fill="D8D8D8"/>
          </w:tcPr>
          <w:p>
            <w:pPr>
              <w:ind w:left="140"/>
              <w:spacing w:after="0"/>
              <w:rPr>
                <w:sz w:val="20"/>
                <w:szCs w:val="20"/>
                <w:color w:val="auto"/>
              </w:rPr>
            </w:pPr>
            <w:r>
              <w:rPr>
                <w:rFonts w:ascii="Arial" w:cs="Arial" w:eastAsia="Arial" w:hAnsi="Arial"/>
                <w:sz w:val="16"/>
                <w:szCs w:val="16"/>
                <w:b w:val="1"/>
                <w:bCs w:val="1"/>
                <w:color w:val="auto"/>
              </w:rPr>
              <w:t>STEPHEN K. WAGNER</w:t>
            </w:r>
          </w:p>
        </w:tc>
        <w:tc>
          <w:tcPr>
            <w:tcW w:w="2200" w:type="dxa"/>
            <w:vAlign w:val="bottom"/>
            <w:gridSpan w:val="2"/>
            <w:shd w:val="clear" w:color="auto" w:fill="D8D8D8"/>
          </w:tcPr>
          <w:p>
            <w:pPr>
              <w:jc w:val="right"/>
              <w:ind w:right="559"/>
              <w:spacing w:after="0"/>
              <w:rPr>
                <w:sz w:val="20"/>
                <w:szCs w:val="20"/>
                <w:color w:val="auto"/>
              </w:rPr>
            </w:pPr>
            <w:r>
              <w:rPr>
                <w:rFonts w:ascii="Arial" w:cs="Arial" w:eastAsia="Arial" w:hAnsi="Arial"/>
                <w:sz w:val="16"/>
                <w:szCs w:val="16"/>
                <w:color w:val="auto"/>
              </w:rPr>
              <w:t>11,884(10)</w:t>
            </w:r>
          </w:p>
        </w:tc>
        <w:tc>
          <w:tcPr>
            <w:tcW w:w="2480" w:type="dxa"/>
            <w:vAlign w:val="bottom"/>
            <w:shd w:val="clear" w:color="auto" w:fill="D8D8D8"/>
          </w:tcPr>
          <w:p>
            <w:pPr>
              <w:jc w:val="right"/>
              <w:ind w:right="659"/>
              <w:spacing w:after="0"/>
              <w:rPr>
                <w:sz w:val="20"/>
                <w:szCs w:val="20"/>
                <w:color w:val="auto"/>
              </w:rPr>
            </w:pPr>
            <w:r>
              <w:rPr>
                <w:rFonts w:ascii="Arial" w:cs="Arial" w:eastAsia="Arial" w:hAnsi="Arial"/>
                <w:sz w:val="16"/>
                <w:szCs w:val="16"/>
                <w:color w:val="auto"/>
              </w:rPr>
              <w:t>*</w:t>
            </w:r>
          </w:p>
        </w:tc>
      </w:tr>
      <w:tr>
        <w:trPr>
          <w:trHeight w:val="274"/>
        </w:trPr>
        <w:tc>
          <w:tcPr>
            <w:tcW w:w="5440" w:type="dxa"/>
            <w:vAlign w:val="bottom"/>
            <w:tcBorders>
              <w:right w:val="single" w:sz="8" w:color="999999"/>
            </w:tcBorders>
          </w:tcPr>
          <w:p>
            <w:pPr>
              <w:ind w:left="140"/>
              <w:spacing w:after="0"/>
              <w:rPr>
                <w:sz w:val="20"/>
                <w:szCs w:val="20"/>
                <w:color w:val="auto"/>
              </w:rPr>
            </w:pPr>
            <w:r>
              <w:rPr>
                <w:rFonts w:ascii="Arial" w:cs="Arial" w:eastAsia="Arial" w:hAnsi="Arial"/>
                <w:sz w:val="16"/>
                <w:szCs w:val="16"/>
                <w:b w:val="1"/>
                <w:bCs w:val="1"/>
                <w:color w:val="auto"/>
              </w:rPr>
              <w:t>KEITH E. WANDELL</w:t>
            </w:r>
          </w:p>
        </w:tc>
        <w:tc>
          <w:tcPr>
            <w:tcW w:w="1280" w:type="dxa"/>
            <w:vAlign w:val="bottom"/>
          </w:tcPr>
          <w:p>
            <w:pPr>
              <w:jc w:val="right"/>
              <w:spacing w:after="0"/>
              <w:rPr>
                <w:sz w:val="20"/>
                <w:szCs w:val="20"/>
                <w:color w:val="auto"/>
              </w:rPr>
            </w:pPr>
            <w:r>
              <w:rPr>
                <w:rFonts w:ascii="Arial" w:cs="Arial" w:eastAsia="Arial" w:hAnsi="Arial"/>
                <w:sz w:val="16"/>
                <w:szCs w:val="16"/>
                <w:color w:val="auto"/>
              </w:rPr>
              <w:t>2,240</w:t>
            </w:r>
          </w:p>
        </w:tc>
        <w:tc>
          <w:tcPr>
            <w:tcW w:w="920" w:type="dxa"/>
            <w:vAlign w:val="bottom"/>
          </w:tcPr>
          <w:p>
            <w:pPr>
              <w:spacing w:after="0"/>
              <w:rPr>
                <w:sz w:val="23"/>
                <w:szCs w:val="23"/>
                <w:color w:val="auto"/>
              </w:rPr>
            </w:pPr>
          </w:p>
        </w:tc>
        <w:tc>
          <w:tcPr>
            <w:tcW w:w="2480" w:type="dxa"/>
            <w:vAlign w:val="bottom"/>
          </w:tcPr>
          <w:p>
            <w:pPr>
              <w:jc w:val="right"/>
              <w:ind w:right="659"/>
              <w:spacing w:after="0"/>
              <w:rPr>
                <w:sz w:val="20"/>
                <w:szCs w:val="20"/>
                <w:color w:val="auto"/>
              </w:rPr>
            </w:pPr>
            <w:r>
              <w:rPr>
                <w:rFonts w:ascii="Arial" w:cs="Arial" w:eastAsia="Arial" w:hAnsi="Arial"/>
                <w:sz w:val="16"/>
                <w:szCs w:val="16"/>
                <w:color w:val="auto"/>
              </w:rPr>
              <w:t>*</w:t>
            </w:r>
          </w:p>
        </w:tc>
      </w:tr>
      <w:tr>
        <w:trPr>
          <w:trHeight w:val="293"/>
        </w:trPr>
        <w:tc>
          <w:tcPr>
            <w:tcW w:w="5440" w:type="dxa"/>
            <w:vAlign w:val="bottom"/>
            <w:tcBorders>
              <w:right w:val="single" w:sz="8" w:color="999999"/>
            </w:tcBorders>
            <w:shd w:val="clear" w:color="auto" w:fill="D8D8D8"/>
          </w:tcPr>
          <w:p>
            <w:pPr>
              <w:ind w:left="140"/>
              <w:spacing w:after="0"/>
              <w:rPr>
                <w:sz w:val="20"/>
                <w:szCs w:val="20"/>
                <w:color w:val="auto"/>
              </w:rPr>
            </w:pPr>
            <w:r>
              <w:rPr>
                <w:rFonts w:ascii="Arial" w:cs="Arial" w:eastAsia="Arial" w:hAnsi="Arial"/>
                <w:sz w:val="16"/>
                <w:szCs w:val="16"/>
                <w:b w:val="1"/>
                <w:bCs w:val="1"/>
                <w:color w:val="auto"/>
              </w:rPr>
              <w:t>MARY A. WINSTON</w:t>
            </w:r>
          </w:p>
        </w:tc>
        <w:tc>
          <w:tcPr>
            <w:tcW w:w="1280" w:type="dxa"/>
            <w:vAlign w:val="bottom"/>
            <w:shd w:val="clear" w:color="auto" w:fill="D8D8D8"/>
          </w:tcPr>
          <w:p>
            <w:pPr>
              <w:jc w:val="right"/>
              <w:spacing w:after="0"/>
              <w:rPr>
                <w:sz w:val="20"/>
                <w:szCs w:val="20"/>
                <w:color w:val="auto"/>
              </w:rPr>
            </w:pPr>
            <w:r>
              <w:rPr>
                <w:rFonts w:ascii="Arial" w:cs="Arial" w:eastAsia="Arial" w:hAnsi="Arial"/>
                <w:sz w:val="16"/>
                <w:szCs w:val="16"/>
                <w:color w:val="auto"/>
              </w:rPr>
              <w:t>16,153</w:t>
            </w:r>
          </w:p>
        </w:tc>
        <w:tc>
          <w:tcPr>
            <w:tcW w:w="920" w:type="dxa"/>
            <w:vAlign w:val="bottom"/>
            <w:shd w:val="clear" w:color="auto" w:fill="D8D8D8"/>
          </w:tcPr>
          <w:p>
            <w:pPr>
              <w:spacing w:after="0"/>
              <w:rPr>
                <w:sz w:val="24"/>
                <w:szCs w:val="24"/>
                <w:color w:val="auto"/>
              </w:rPr>
            </w:pPr>
          </w:p>
        </w:tc>
        <w:tc>
          <w:tcPr>
            <w:tcW w:w="2480" w:type="dxa"/>
            <w:vAlign w:val="bottom"/>
            <w:shd w:val="clear" w:color="auto" w:fill="D8D8D8"/>
          </w:tcPr>
          <w:p>
            <w:pPr>
              <w:jc w:val="right"/>
              <w:ind w:right="659"/>
              <w:spacing w:after="0"/>
              <w:rPr>
                <w:sz w:val="20"/>
                <w:szCs w:val="20"/>
                <w:color w:val="auto"/>
              </w:rPr>
            </w:pPr>
            <w:r>
              <w:rPr>
                <w:rFonts w:ascii="Arial" w:cs="Arial" w:eastAsia="Arial" w:hAnsi="Arial"/>
                <w:sz w:val="16"/>
                <w:szCs w:val="16"/>
                <w:color w:val="auto"/>
              </w:rPr>
              <w:t>*</w:t>
            </w:r>
          </w:p>
        </w:tc>
      </w:tr>
      <w:tr>
        <w:trPr>
          <w:trHeight w:val="274"/>
        </w:trPr>
        <w:tc>
          <w:tcPr>
            <w:tcW w:w="5440" w:type="dxa"/>
            <w:vAlign w:val="bottom"/>
            <w:tcBorders>
              <w:right w:val="single" w:sz="8" w:color="999999"/>
            </w:tcBorders>
          </w:tcPr>
          <w:p>
            <w:pPr>
              <w:ind w:left="140"/>
              <w:spacing w:after="0"/>
              <w:rPr>
                <w:sz w:val="20"/>
                <w:szCs w:val="20"/>
                <w:color w:val="auto"/>
              </w:rPr>
            </w:pPr>
            <w:r>
              <w:rPr>
                <w:rFonts w:ascii="Arial" w:cs="Arial" w:eastAsia="Arial" w:hAnsi="Arial"/>
                <w:sz w:val="16"/>
                <w:szCs w:val="16"/>
                <w:b w:val="1"/>
                <w:bCs w:val="1"/>
                <w:i w:val="1"/>
                <w:iCs w:val="1"/>
                <w:color w:val="auto"/>
              </w:rPr>
              <w:t>NEOS:</w:t>
            </w:r>
          </w:p>
        </w:tc>
        <w:tc>
          <w:tcPr>
            <w:tcW w:w="1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80" w:type="dxa"/>
            <w:vAlign w:val="bottom"/>
          </w:tcPr>
          <w:p>
            <w:pPr>
              <w:spacing w:after="0"/>
              <w:rPr>
                <w:sz w:val="23"/>
                <w:szCs w:val="23"/>
                <w:color w:val="auto"/>
              </w:rPr>
            </w:pPr>
          </w:p>
        </w:tc>
      </w:tr>
      <w:tr>
        <w:trPr>
          <w:trHeight w:val="293"/>
        </w:trPr>
        <w:tc>
          <w:tcPr>
            <w:tcW w:w="5440" w:type="dxa"/>
            <w:vAlign w:val="bottom"/>
            <w:tcBorders>
              <w:right w:val="single" w:sz="8" w:color="999999"/>
            </w:tcBorders>
            <w:shd w:val="clear" w:color="auto" w:fill="D8D8D8"/>
          </w:tcPr>
          <w:p>
            <w:pPr>
              <w:ind w:left="140"/>
              <w:spacing w:after="0"/>
              <w:rPr>
                <w:sz w:val="20"/>
                <w:szCs w:val="20"/>
                <w:color w:val="auto"/>
              </w:rPr>
            </w:pPr>
            <w:r>
              <w:rPr>
                <w:rFonts w:ascii="Arial" w:cs="Arial" w:eastAsia="Arial" w:hAnsi="Arial"/>
                <w:sz w:val="16"/>
                <w:szCs w:val="16"/>
                <w:b w:val="1"/>
                <w:bCs w:val="1"/>
                <w:color w:val="auto"/>
              </w:rPr>
              <w:t>BRAD M. CEREPAK</w:t>
            </w:r>
          </w:p>
        </w:tc>
        <w:tc>
          <w:tcPr>
            <w:tcW w:w="1280" w:type="dxa"/>
            <w:vAlign w:val="bottom"/>
            <w:shd w:val="clear" w:color="auto" w:fill="D8D8D8"/>
          </w:tcPr>
          <w:p>
            <w:pPr>
              <w:jc w:val="right"/>
              <w:spacing w:after="0"/>
              <w:rPr>
                <w:sz w:val="20"/>
                <w:szCs w:val="20"/>
                <w:color w:val="auto"/>
              </w:rPr>
            </w:pPr>
            <w:r>
              <w:rPr>
                <w:rFonts w:ascii="Arial" w:cs="Arial" w:eastAsia="Arial" w:hAnsi="Arial"/>
                <w:sz w:val="16"/>
                <w:szCs w:val="16"/>
                <w:color w:val="auto"/>
              </w:rPr>
              <w:t>385,367</w:t>
            </w:r>
          </w:p>
        </w:tc>
        <w:tc>
          <w:tcPr>
            <w:tcW w:w="920" w:type="dxa"/>
            <w:vAlign w:val="bottom"/>
            <w:shd w:val="clear" w:color="auto" w:fill="D8D8D8"/>
          </w:tcPr>
          <w:p>
            <w:pPr>
              <w:jc w:val="right"/>
              <w:ind w:right="559"/>
              <w:spacing w:after="0"/>
              <w:rPr>
                <w:sz w:val="20"/>
                <w:szCs w:val="20"/>
                <w:color w:val="auto"/>
              </w:rPr>
            </w:pPr>
            <w:r>
              <w:rPr>
                <w:rFonts w:ascii="Arial" w:cs="Arial" w:eastAsia="Arial" w:hAnsi="Arial"/>
                <w:sz w:val="16"/>
                <w:szCs w:val="16"/>
                <w:color w:val="auto"/>
                <w:w w:val="91"/>
              </w:rPr>
              <w:t>(11)</w:t>
            </w:r>
          </w:p>
        </w:tc>
        <w:tc>
          <w:tcPr>
            <w:tcW w:w="2480" w:type="dxa"/>
            <w:vAlign w:val="bottom"/>
            <w:shd w:val="clear" w:color="auto" w:fill="D8D8D8"/>
          </w:tcPr>
          <w:p>
            <w:pPr>
              <w:jc w:val="right"/>
              <w:ind w:right="659"/>
              <w:spacing w:after="0"/>
              <w:rPr>
                <w:sz w:val="20"/>
                <w:szCs w:val="20"/>
                <w:color w:val="auto"/>
              </w:rPr>
            </w:pPr>
            <w:r>
              <w:rPr>
                <w:rFonts w:ascii="Arial" w:cs="Arial" w:eastAsia="Arial" w:hAnsi="Arial"/>
                <w:sz w:val="16"/>
                <w:szCs w:val="16"/>
                <w:color w:val="auto"/>
              </w:rPr>
              <w:t>*</w:t>
            </w:r>
          </w:p>
        </w:tc>
      </w:tr>
      <w:tr>
        <w:trPr>
          <w:trHeight w:val="274"/>
        </w:trPr>
        <w:tc>
          <w:tcPr>
            <w:tcW w:w="5440" w:type="dxa"/>
            <w:vAlign w:val="bottom"/>
            <w:tcBorders>
              <w:right w:val="single" w:sz="8" w:color="999999"/>
            </w:tcBorders>
          </w:tcPr>
          <w:p>
            <w:pPr>
              <w:ind w:left="140"/>
              <w:spacing w:after="0"/>
              <w:rPr>
                <w:sz w:val="20"/>
                <w:szCs w:val="20"/>
                <w:color w:val="auto"/>
              </w:rPr>
            </w:pPr>
            <w:r>
              <w:rPr>
                <w:rFonts w:ascii="Arial" w:cs="Arial" w:eastAsia="Arial" w:hAnsi="Arial"/>
                <w:sz w:val="16"/>
                <w:szCs w:val="16"/>
                <w:b w:val="1"/>
                <w:bCs w:val="1"/>
                <w:color w:val="auto"/>
              </w:rPr>
              <w:t>C. ANDERSON FINCHER</w:t>
            </w:r>
          </w:p>
        </w:tc>
        <w:tc>
          <w:tcPr>
            <w:tcW w:w="1280" w:type="dxa"/>
            <w:vAlign w:val="bottom"/>
          </w:tcPr>
          <w:p>
            <w:pPr>
              <w:jc w:val="right"/>
              <w:spacing w:after="0"/>
              <w:rPr>
                <w:sz w:val="20"/>
                <w:szCs w:val="20"/>
                <w:color w:val="auto"/>
              </w:rPr>
            </w:pPr>
            <w:r>
              <w:rPr>
                <w:rFonts w:ascii="Arial" w:cs="Arial" w:eastAsia="Arial" w:hAnsi="Arial"/>
                <w:sz w:val="16"/>
                <w:szCs w:val="16"/>
                <w:color w:val="auto"/>
              </w:rPr>
              <w:t>157,032</w:t>
            </w:r>
          </w:p>
        </w:tc>
        <w:tc>
          <w:tcPr>
            <w:tcW w:w="920" w:type="dxa"/>
            <w:vAlign w:val="bottom"/>
          </w:tcPr>
          <w:p>
            <w:pPr>
              <w:jc w:val="right"/>
              <w:ind w:right="559"/>
              <w:spacing w:after="0"/>
              <w:rPr>
                <w:sz w:val="20"/>
                <w:szCs w:val="20"/>
                <w:color w:val="auto"/>
              </w:rPr>
            </w:pPr>
            <w:r>
              <w:rPr>
                <w:rFonts w:ascii="Arial" w:cs="Arial" w:eastAsia="Arial" w:hAnsi="Arial"/>
                <w:sz w:val="16"/>
                <w:szCs w:val="16"/>
                <w:color w:val="auto"/>
                <w:w w:val="91"/>
              </w:rPr>
              <w:t>(12)</w:t>
            </w:r>
          </w:p>
        </w:tc>
        <w:tc>
          <w:tcPr>
            <w:tcW w:w="2480" w:type="dxa"/>
            <w:vAlign w:val="bottom"/>
          </w:tcPr>
          <w:p>
            <w:pPr>
              <w:jc w:val="right"/>
              <w:ind w:right="659"/>
              <w:spacing w:after="0"/>
              <w:rPr>
                <w:sz w:val="20"/>
                <w:szCs w:val="20"/>
                <w:color w:val="auto"/>
              </w:rPr>
            </w:pPr>
            <w:r>
              <w:rPr>
                <w:rFonts w:ascii="Arial" w:cs="Arial" w:eastAsia="Arial" w:hAnsi="Arial"/>
                <w:sz w:val="16"/>
                <w:szCs w:val="16"/>
                <w:color w:val="auto"/>
              </w:rPr>
              <w:t>*</w:t>
            </w:r>
          </w:p>
        </w:tc>
      </w:tr>
      <w:tr>
        <w:trPr>
          <w:trHeight w:val="293"/>
        </w:trPr>
        <w:tc>
          <w:tcPr>
            <w:tcW w:w="5440" w:type="dxa"/>
            <w:vAlign w:val="bottom"/>
            <w:tcBorders>
              <w:right w:val="single" w:sz="8" w:color="999999"/>
            </w:tcBorders>
            <w:shd w:val="clear" w:color="auto" w:fill="D8D8D8"/>
          </w:tcPr>
          <w:p>
            <w:pPr>
              <w:ind w:left="140"/>
              <w:spacing w:after="0"/>
              <w:rPr>
                <w:sz w:val="20"/>
                <w:szCs w:val="20"/>
                <w:color w:val="auto"/>
              </w:rPr>
            </w:pPr>
            <w:r>
              <w:rPr>
                <w:rFonts w:ascii="Arial" w:cs="Arial" w:eastAsia="Arial" w:hAnsi="Arial"/>
                <w:sz w:val="16"/>
                <w:szCs w:val="16"/>
                <w:b w:val="1"/>
                <w:bCs w:val="1"/>
                <w:color w:val="auto"/>
              </w:rPr>
              <w:t>ROBERT A. LIVINGSTON</w:t>
            </w:r>
          </w:p>
        </w:tc>
        <w:tc>
          <w:tcPr>
            <w:tcW w:w="1280" w:type="dxa"/>
            <w:vAlign w:val="bottom"/>
            <w:shd w:val="clear" w:color="auto" w:fill="D8D8D8"/>
          </w:tcPr>
          <w:p>
            <w:pPr>
              <w:jc w:val="right"/>
              <w:spacing w:after="0"/>
              <w:rPr>
                <w:sz w:val="20"/>
                <w:szCs w:val="20"/>
                <w:color w:val="auto"/>
              </w:rPr>
            </w:pPr>
            <w:r>
              <w:rPr>
                <w:rFonts w:ascii="Arial" w:cs="Arial" w:eastAsia="Arial" w:hAnsi="Arial"/>
                <w:sz w:val="16"/>
                <w:szCs w:val="16"/>
                <w:color w:val="auto"/>
              </w:rPr>
              <w:t>1,841,475</w:t>
            </w:r>
          </w:p>
        </w:tc>
        <w:tc>
          <w:tcPr>
            <w:tcW w:w="920" w:type="dxa"/>
            <w:vAlign w:val="bottom"/>
            <w:shd w:val="clear" w:color="auto" w:fill="D8D8D8"/>
          </w:tcPr>
          <w:p>
            <w:pPr>
              <w:jc w:val="right"/>
              <w:ind w:right="559"/>
              <w:spacing w:after="0"/>
              <w:rPr>
                <w:sz w:val="20"/>
                <w:szCs w:val="20"/>
                <w:color w:val="auto"/>
              </w:rPr>
            </w:pPr>
            <w:r>
              <w:rPr>
                <w:rFonts w:ascii="Arial" w:cs="Arial" w:eastAsia="Arial" w:hAnsi="Arial"/>
                <w:sz w:val="16"/>
                <w:szCs w:val="16"/>
                <w:color w:val="auto"/>
                <w:w w:val="91"/>
              </w:rPr>
              <w:t>(13)</w:t>
            </w:r>
          </w:p>
        </w:tc>
        <w:tc>
          <w:tcPr>
            <w:tcW w:w="2480" w:type="dxa"/>
            <w:vAlign w:val="bottom"/>
            <w:shd w:val="clear" w:color="auto" w:fill="D8D8D8"/>
          </w:tcPr>
          <w:p>
            <w:pPr>
              <w:jc w:val="right"/>
              <w:ind w:right="519"/>
              <w:spacing w:after="0"/>
              <w:rPr>
                <w:sz w:val="20"/>
                <w:szCs w:val="20"/>
                <w:color w:val="auto"/>
              </w:rPr>
            </w:pPr>
            <w:r>
              <w:rPr>
                <w:rFonts w:ascii="Arial" w:cs="Arial" w:eastAsia="Arial" w:hAnsi="Arial"/>
                <w:sz w:val="16"/>
                <w:szCs w:val="16"/>
                <w:color w:val="auto"/>
              </w:rPr>
              <w:t>1.2%</w:t>
            </w:r>
          </w:p>
        </w:tc>
      </w:tr>
      <w:tr>
        <w:trPr>
          <w:trHeight w:val="274"/>
        </w:trPr>
        <w:tc>
          <w:tcPr>
            <w:tcW w:w="5440" w:type="dxa"/>
            <w:vAlign w:val="bottom"/>
            <w:tcBorders>
              <w:right w:val="single" w:sz="8" w:color="999999"/>
            </w:tcBorders>
          </w:tcPr>
          <w:p>
            <w:pPr>
              <w:ind w:left="140"/>
              <w:spacing w:after="0"/>
              <w:rPr>
                <w:sz w:val="20"/>
                <w:szCs w:val="20"/>
                <w:color w:val="auto"/>
              </w:rPr>
            </w:pPr>
            <w:r>
              <w:rPr>
                <w:rFonts w:ascii="Arial" w:cs="Arial" w:eastAsia="Arial" w:hAnsi="Arial"/>
                <w:sz w:val="16"/>
                <w:szCs w:val="16"/>
                <w:b w:val="1"/>
                <w:bCs w:val="1"/>
                <w:color w:val="auto"/>
              </w:rPr>
              <w:t>SIVASANKARAN SOMASUNDARAM</w:t>
            </w:r>
          </w:p>
        </w:tc>
        <w:tc>
          <w:tcPr>
            <w:tcW w:w="1280" w:type="dxa"/>
            <w:vAlign w:val="bottom"/>
          </w:tcPr>
          <w:p>
            <w:pPr>
              <w:jc w:val="right"/>
              <w:spacing w:after="0"/>
              <w:rPr>
                <w:sz w:val="20"/>
                <w:szCs w:val="20"/>
                <w:color w:val="auto"/>
              </w:rPr>
            </w:pPr>
            <w:r>
              <w:rPr>
                <w:rFonts w:ascii="Arial" w:cs="Arial" w:eastAsia="Arial" w:hAnsi="Arial"/>
                <w:sz w:val="16"/>
                <w:szCs w:val="16"/>
                <w:color w:val="auto"/>
              </w:rPr>
              <w:t>61,003</w:t>
            </w:r>
          </w:p>
        </w:tc>
        <w:tc>
          <w:tcPr>
            <w:tcW w:w="920" w:type="dxa"/>
            <w:vAlign w:val="bottom"/>
          </w:tcPr>
          <w:p>
            <w:pPr>
              <w:jc w:val="right"/>
              <w:ind w:right="559"/>
              <w:spacing w:after="0"/>
              <w:rPr>
                <w:sz w:val="20"/>
                <w:szCs w:val="20"/>
                <w:color w:val="auto"/>
              </w:rPr>
            </w:pPr>
            <w:r>
              <w:rPr>
                <w:rFonts w:ascii="Arial" w:cs="Arial" w:eastAsia="Arial" w:hAnsi="Arial"/>
                <w:sz w:val="16"/>
                <w:szCs w:val="16"/>
                <w:color w:val="auto"/>
                <w:w w:val="91"/>
              </w:rPr>
              <w:t>(14)</w:t>
            </w:r>
          </w:p>
        </w:tc>
        <w:tc>
          <w:tcPr>
            <w:tcW w:w="2480" w:type="dxa"/>
            <w:vAlign w:val="bottom"/>
          </w:tcPr>
          <w:p>
            <w:pPr>
              <w:jc w:val="right"/>
              <w:ind w:right="659"/>
              <w:spacing w:after="0"/>
              <w:rPr>
                <w:sz w:val="20"/>
                <w:szCs w:val="20"/>
                <w:color w:val="auto"/>
              </w:rPr>
            </w:pPr>
            <w:r>
              <w:rPr>
                <w:rFonts w:ascii="Arial" w:cs="Arial" w:eastAsia="Arial" w:hAnsi="Arial"/>
                <w:sz w:val="16"/>
                <w:szCs w:val="16"/>
                <w:color w:val="auto"/>
              </w:rPr>
              <w:t>*</w:t>
            </w:r>
          </w:p>
        </w:tc>
      </w:tr>
      <w:tr>
        <w:trPr>
          <w:trHeight w:val="293"/>
        </w:trPr>
        <w:tc>
          <w:tcPr>
            <w:tcW w:w="5440" w:type="dxa"/>
            <w:vAlign w:val="bottom"/>
            <w:tcBorders>
              <w:right w:val="single" w:sz="8" w:color="999999"/>
            </w:tcBorders>
            <w:shd w:val="clear" w:color="auto" w:fill="D8D8D8"/>
          </w:tcPr>
          <w:p>
            <w:pPr>
              <w:ind w:left="140"/>
              <w:spacing w:after="0"/>
              <w:rPr>
                <w:sz w:val="20"/>
                <w:szCs w:val="20"/>
                <w:color w:val="auto"/>
              </w:rPr>
            </w:pPr>
            <w:r>
              <w:rPr>
                <w:rFonts w:ascii="Arial" w:cs="Arial" w:eastAsia="Arial" w:hAnsi="Arial"/>
                <w:sz w:val="16"/>
                <w:szCs w:val="16"/>
                <w:b w:val="1"/>
                <w:bCs w:val="1"/>
                <w:color w:val="auto"/>
              </w:rPr>
              <w:t>WILLIAM W. SPURGEON, JR.</w:t>
            </w:r>
          </w:p>
        </w:tc>
        <w:tc>
          <w:tcPr>
            <w:tcW w:w="1280" w:type="dxa"/>
            <w:vAlign w:val="bottom"/>
            <w:shd w:val="clear" w:color="auto" w:fill="D8D8D8"/>
          </w:tcPr>
          <w:p>
            <w:pPr>
              <w:jc w:val="right"/>
              <w:spacing w:after="0"/>
              <w:rPr>
                <w:sz w:val="20"/>
                <w:szCs w:val="20"/>
                <w:color w:val="auto"/>
              </w:rPr>
            </w:pPr>
            <w:r>
              <w:rPr>
                <w:rFonts w:ascii="Arial" w:cs="Arial" w:eastAsia="Arial" w:hAnsi="Arial"/>
                <w:sz w:val="16"/>
                <w:szCs w:val="16"/>
                <w:color w:val="auto"/>
              </w:rPr>
              <w:t>112,282</w:t>
            </w:r>
          </w:p>
        </w:tc>
        <w:tc>
          <w:tcPr>
            <w:tcW w:w="920" w:type="dxa"/>
            <w:vAlign w:val="bottom"/>
            <w:shd w:val="clear" w:color="auto" w:fill="D8D8D8"/>
          </w:tcPr>
          <w:p>
            <w:pPr>
              <w:jc w:val="right"/>
              <w:ind w:right="559"/>
              <w:spacing w:after="0"/>
              <w:rPr>
                <w:sz w:val="20"/>
                <w:szCs w:val="20"/>
                <w:color w:val="auto"/>
              </w:rPr>
            </w:pPr>
            <w:r>
              <w:rPr>
                <w:rFonts w:ascii="Arial" w:cs="Arial" w:eastAsia="Arial" w:hAnsi="Arial"/>
                <w:sz w:val="16"/>
                <w:szCs w:val="16"/>
                <w:color w:val="auto"/>
                <w:w w:val="91"/>
              </w:rPr>
              <w:t>(15)</w:t>
            </w:r>
          </w:p>
        </w:tc>
        <w:tc>
          <w:tcPr>
            <w:tcW w:w="2480" w:type="dxa"/>
            <w:vAlign w:val="bottom"/>
            <w:shd w:val="clear" w:color="auto" w:fill="D8D8D8"/>
          </w:tcPr>
          <w:p>
            <w:pPr>
              <w:jc w:val="right"/>
              <w:ind w:right="659"/>
              <w:spacing w:after="0"/>
              <w:rPr>
                <w:sz w:val="20"/>
                <w:szCs w:val="20"/>
                <w:color w:val="auto"/>
              </w:rPr>
            </w:pPr>
            <w:r>
              <w:rPr>
                <w:rFonts w:ascii="Arial" w:cs="Arial" w:eastAsia="Arial" w:hAnsi="Arial"/>
                <w:sz w:val="16"/>
                <w:szCs w:val="16"/>
                <w:color w:val="auto"/>
              </w:rPr>
              <w:t>*</w:t>
            </w:r>
          </w:p>
        </w:tc>
      </w:tr>
      <w:tr>
        <w:trPr>
          <w:trHeight w:val="238"/>
        </w:trPr>
        <w:tc>
          <w:tcPr>
            <w:tcW w:w="5440" w:type="dxa"/>
            <w:vAlign w:val="bottom"/>
            <w:tcBorders>
              <w:right w:val="single" w:sz="8" w:color="999999"/>
            </w:tcBorders>
          </w:tcPr>
          <w:p>
            <w:pPr>
              <w:ind w:left="140"/>
              <w:spacing w:after="0"/>
              <w:rPr>
                <w:sz w:val="20"/>
                <w:szCs w:val="20"/>
                <w:color w:val="auto"/>
              </w:rPr>
            </w:pPr>
            <w:r>
              <w:rPr>
                <w:rFonts w:ascii="Arial" w:cs="Arial" w:eastAsia="Arial" w:hAnsi="Arial"/>
                <w:sz w:val="16"/>
                <w:szCs w:val="16"/>
                <w:b w:val="1"/>
                <w:bCs w:val="1"/>
                <w:color w:val="auto"/>
              </w:rPr>
              <w:t>DIRECTORS AND EXECUTIVE OFFICERS AS A GROUP</w:t>
            </w:r>
          </w:p>
        </w:tc>
        <w:tc>
          <w:tcPr>
            <w:tcW w:w="1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224"/>
        </w:trPr>
        <w:tc>
          <w:tcPr>
            <w:tcW w:w="5440" w:type="dxa"/>
            <w:vAlign w:val="bottom"/>
            <w:tcBorders>
              <w:right w:val="single" w:sz="8" w:color="999999"/>
            </w:tcBorders>
          </w:tcPr>
          <w:p>
            <w:pPr>
              <w:ind w:left="300"/>
              <w:spacing w:after="0"/>
              <w:rPr>
                <w:sz w:val="20"/>
                <w:szCs w:val="20"/>
                <w:color w:val="auto"/>
              </w:rPr>
            </w:pPr>
            <w:r>
              <w:rPr>
                <w:rFonts w:ascii="Arial" w:cs="Arial" w:eastAsia="Arial" w:hAnsi="Arial"/>
                <w:sz w:val="16"/>
                <w:szCs w:val="16"/>
                <w:b w:val="1"/>
                <w:bCs w:val="1"/>
                <w:color w:val="auto"/>
              </w:rPr>
              <w:t>(27 PERSONS)</w:t>
            </w:r>
          </w:p>
        </w:tc>
        <w:tc>
          <w:tcPr>
            <w:tcW w:w="1280" w:type="dxa"/>
            <w:vAlign w:val="bottom"/>
          </w:tcPr>
          <w:p>
            <w:pPr>
              <w:jc w:val="right"/>
              <w:spacing w:after="0"/>
              <w:rPr>
                <w:sz w:val="20"/>
                <w:szCs w:val="20"/>
                <w:color w:val="auto"/>
              </w:rPr>
            </w:pPr>
            <w:r>
              <w:rPr>
                <w:rFonts w:ascii="Arial" w:cs="Arial" w:eastAsia="Arial" w:hAnsi="Arial"/>
                <w:sz w:val="16"/>
                <w:szCs w:val="16"/>
                <w:color w:val="auto"/>
              </w:rPr>
              <w:t>4,111,264</w:t>
            </w:r>
          </w:p>
        </w:tc>
        <w:tc>
          <w:tcPr>
            <w:tcW w:w="920" w:type="dxa"/>
            <w:vAlign w:val="bottom"/>
          </w:tcPr>
          <w:p>
            <w:pPr>
              <w:jc w:val="right"/>
              <w:ind w:right="559"/>
              <w:spacing w:after="0"/>
              <w:rPr>
                <w:sz w:val="20"/>
                <w:szCs w:val="20"/>
                <w:color w:val="auto"/>
              </w:rPr>
            </w:pPr>
            <w:r>
              <w:rPr>
                <w:rFonts w:ascii="Arial" w:cs="Arial" w:eastAsia="Arial" w:hAnsi="Arial"/>
                <w:sz w:val="16"/>
                <w:szCs w:val="16"/>
                <w:color w:val="auto"/>
                <w:w w:val="91"/>
              </w:rPr>
              <w:t>(16)</w:t>
            </w:r>
          </w:p>
        </w:tc>
        <w:tc>
          <w:tcPr>
            <w:tcW w:w="2480" w:type="dxa"/>
            <w:vAlign w:val="bottom"/>
          </w:tcPr>
          <w:p>
            <w:pPr>
              <w:jc w:val="right"/>
              <w:ind w:right="519"/>
              <w:spacing w:after="0"/>
              <w:rPr>
                <w:sz w:val="20"/>
                <w:szCs w:val="20"/>
                <w:color w:val="auto"/>
              </w:rPr>
            </w:pPr>
            <w:r>
              <w:rPr>
                <w:rFonts w:ascii="Arial" w:cs="Arial" w:eastAsia="Arial" w:hAnsi="Arial"/>
                <w:sz w:val="16"/>
                <w:szCs w:val="16"/>
                <w:color w:val="auto"/>
              </w:rPr>
              <w:t>2.6%</w:t>
            </w:r>
          </w:p>
        </w:tc>
      </w:tr>
      <w:tr>
        <w:trPr>
          <w:trHeight w:val="293"/>
        </w:trPr>
        <w:tc>
          <w:tcPr>
            <w:tcW w:w="5440" w:type="dxa"/>
            <w:vAlign w:val="bottom"/>
            <w:tcBorders>
              <w:right w:val="single" w:sz="8" w:color="999999"/>
            </w:tcBorders>
            <w:shd w:val="clear" w:color="auto" w:fill="D8D8D8"/>
          </w:tcPr>
          <w:p>
            <w:pPr>
              <w:ind w:left="140"/>
              <w:spacing w:after="0"/>
              <w:rPr>
                <w:sz w:val="20"/>
                <w:szCs w:val="20"/>
                <w:color w:val="auto"/>
              </w:rPr>
            </w:pPr>
            <w:r>
              <w:rPr>
                <w:rFonts w:ascii="Arial" w:cs="Arial" w:eastAsia="Arial" w:hAnsi="Arial"/>
                <w:sz w:val="16"/>
                <w:szCs w:val="16"/>
                <w:b w:val="1"/>
                <w:bCs w:val="1"/>
                <w:i w:val="1"/>
                <w:iCs w:val="1"/>
                <w:color w:val="auto"/>
              </w:rPr>
              <w:t>5% BENEFICIAL OWNERS:</w:t>
            </w:r>
          </w:p>
        </w:tc>
        <w:tc>
          <w:tcPr>
            <w:tcW w:w="1280" w:type="dxa"/>
            <w:vAlign w:val="bottom"/>
            <w:shd w:val="clear" w:color="auto" w:fill="D8D8D8"/>
          </w:tcPr>
          <w:p>
            <w:pPr>
              <w:spacing w:after="0"/>
              <w:rPr>
                <w:sz w:val="24"/>
                <w:szCs w:val="24"/>
                <w:color w:val="auto"/>
              </w:rPr>
            </w:pPr>
          </w:p>
        </w:tc>
        <w:tc>
          <w:tcPr>
            <w:tcW w:w="920" w:type="dxa"/>
            <w:vAlign w:val="bottom"/>
            <w:shd w:val="clear" w:color="auto" w:fill="D8D8D8"/>
          </w:tcPr>
          <w:p>
            <w:pPr>
              <w:spacing w:after="0"/>
              <w:rPr>
                <w:sz w:val="24"/>
                <w:szCs w:val="24"/>
                <w:color w:val="auto"/>
              </w:rPr>
            </w:pPr>
          </w:p>
        </w:tc>
        <w:tc>
          <w:tcPr>
            <w:tcW w:w="2480" w:type="dxa"/>
            <w:vAlign w:val="bottom"/>
            <w:shd w:val="clear" w:color="auto" w:fill="D8D8D8"/>
          </w:tcPr>
          <w:p>
            <w:pPr>
              <w:spacing w:after="0"/>
              <w:rPr>
                <w:sz w:val="24"/>
                <w:szCs w:val="24"/>
                <w:color w:val="auto"/>
              </w:rPr>
            </w:pPr>
          </w:p>
        </w:tc>
      </w:tr>
      <w:tr>
        <w:trPr>
          <w:trHeight w:val="274"/>
        </w:trPr>
        <w:tc>
          <w:tcPr>
            <w:tcW w:w="5440" w:type="dxa"/>
            <w:vAlign w:val="bottom"/>
            <w:tcBorders>
              <w:right w:val="single" w:sz="8" w:color="999999"/>
            </w:tcBorders>
          </w:tcPr>
          <w:p>
            <w:pPr>
              <w:ind w:left="140"/>
              <w:spacing w:after="0"/>
              <w:rPr>
                <w:sz w:val="20"/>
                <w:szCs w:val="20"/>
                <w:color w:val="auto"/>
              </w:rPr>
            </w:pPr>
            <w:r>
              <w:rPr>
                <w:rFonts w:ascii="Arial" w:cs="Arial" w:eastAsia="Arial" w:hAnsi="Arial"/>
                <w:sz w:val="16"/>
                <w:szCs w:val="16"/>
                <w:b w:val="1"/>
                <w:bCs w:val="1"/>
                <w:color w:val="auto"/>
              </w:rPr>
              <w:t>BLACKROCK, INC.</w:t>
            </w:r>
          </w:p>
        </w:tc>
        <w:tc>
          <w:tcPr>
            <w:tcW w:w="1280" w:type="dxa"/>
            <w:vAlign w:val="bottom"/>
          </w:tcPr>
          <w:p>
            <w:pPr>
              <w:jc w:val="right"/>
              <w:spacing w:after="0"/>
              <w:rPr>
                <w:sz w:val="20"/>
                <w:szCs w:val="20"/>
                <w:color w:val="auto"/>
              </w:rPr>
            </w:pPr>
            <w:r>
              <w:rPr>
                <w:rFonts w:ascii="Arial" w:cs="Arial" w:eastAsia="Arial" w:hAnsi="Arial"/>
                <w:sz w:val="16"/>
                <w:szCs w:val="16"/>
                <w:color w:val="auto"/>
              </w:rPr>
              <w:t>10,116,807</w:t>
            </w:r>
          </w:p>
        </w:tc>
        <w:tc>
          <w:tcPr>
            <w:tcW w:w="920" w:type="dxa"/>
            <w:vAlign w:val="bottom"/>
          </w:tcPr>
          <w:p>
            <w:pPr>
              <w:jc w:val="right"/>
              <w:ind w:right="559"/>
              <w:spacing w:after="0"/>
              <w:rPr>
                <w:sz w:val="20"/>
                <w:szCs w:val="20"/>
                <w:color w:val="auto"/>
              </w:rPr>
            </w:pPr>
            <w:r>
              <w:rPr>
                <w:rFonts w:ascii="Arial" w:cs="Arial" w:eastAsia="Arial" w:hAnsi="Arial"/>
                <w:sz w:val="16"/>
                <w:szCs w:val="16"/>
                <w:color w:val="auto"/>
                <w:w w:val="91"/>
              </w:rPr>
              <w:t>(17)</w:t>
            </w:r>
          </w:p>
        </w:tc>
        <w:tc>
          <w:tcPr>
            <w:tcW w:w="2480" w:type="dxa"/>
            <w:vAlign w:val="bottom"/>
          </w:tcPr>
          <w:p>
            <w:pPr>
              <w:jc w:val="right"/>
              <w:ind w:right="519"/>
              <w:spacing w:after="0"/>
              <w:rPr>
                <w:sz w:val="20"/>
                <w:szCs w:val="20"/>
                <w:color w:val="auto"/>
              </w:rPr>
            </w:pPr>
            <w:r>
              <w:rPr>
                <w:rFonts w:ascii="Arial" w:cs="Arial" w:eastAsia="Arial" w:hAnsi="Arial"/>
                <w:sz w:val="16"/>
                <w:szCs w:val="16"/>
                <w:color w:val="auto"/>
              </w:rPr>
              <w:t>6.5%</w:t>
            </w:r>
          </w:p>
        </w:tc>
      </w:tr>
      <w:tr>
        <w:trPr>
          <w:trHeight w:val="293"/>
        </w:trPr>
        <w:tc>
          <w:tcPr>
            <w:tcW w:w="5440" w:type="dxa"/>
            <w:vAlign w:val="bottom"/>
            <w:tcBorders>
              <w:right w:val="single" w:sz="8" w:color="999999"/>
            </w:tcBorders>
            <w:shd w:val="clear" w:color="auto" w:fill="D8D8D8"/>
          </w:tcPr>
          <w:p>
            <w:pPr>
              <w:ind w:left="140"/>
              <w:spacing w:after="0"/>
              <w:rPr>
                <w:sz w:val="20"/>
                <w:szCs w:val="20"/>
                <w:color w:val="auto"/>
              </w:rPr>
            </w:pPr>
            <w:r>
              <w:rPr>
                <w:rFonts w:ascii="Arial" w:cs="Arial" w:eastAsia="Arial" w:hAnsi="Arial"/>
                <w:sz w:val="16"/>
                <w:szCs w:val="16"/>
                <w:b w:val="1"/>
                <w:bCs w:val="1"/>
                <w:color w:val="auto"/>
              </w:rPr>
              <w:t>STATE STREET CORPORATION</w:t>
            </w:r>
          </w:p>
        </w:tc>
        <w:tc>
          <w:tcPr>
            <w:tcW w:w="1280" w:type="dxa"/>
            <w:vAlign w:val="bottom"/>
            <w:shd w:val="clear" w:color="auto" w:fill="D8D8D8"/>
          </w:tcPr>
          <w:p>
            <w:pPr>
              <w:jc w:val="right"/>
              <w:spacing w:after="0"/>
              <w:rPr>
                <w:sz w:val="20"/>
                <w:szCs w:val="20"/>
                <w:color w:val="auto"/>
              </w:rPr>
            </w:pPr>
            <w:r>
              <w:rPr>
                <w:rFonts w:ascii="Arial" w:cs="Arial" w:eastAsia="Arial" w:hAnsi="Arial"/>
                <w:sz w:val="16"/>
                <w:szCs w:val="16"/>
                <w:color w:val="auto"/>
              </w:rPr>
              <w:t>8,385,852</w:t>
            </w:r>
          </w:p>
        </w:tc>
        <w:tc>
          <w:tcPr>
            <w:tcW w:w="920" w:type="dxa"/>
            <w:vAlign w:val="bottom"/>
            <w:shd w:val="clear" w:color="auto" w:fill="D8D8D8"/>
          </w:tcPr>
          <w:p>
            <w:pPr>
              <w:jc w:val="right"/>
              <w:ind w:right="559"/>
              <w:spacing w:after="0"/>
              <w:rPr>
                <w:sz w:val="20"/>
                <w:szCs w:val="20"/>
                <w:color w:val="auto"/>
              </w:rPr>
            </w:pPr>
            <w:r>
              <w:rPr>
                <w:rFonts w:ascii="Arial" w:cs="Arial" w:eastAsia="Arial" w:hAnsi="Arial"/>
                <w:sz w:val="16"/>
                <w:szCs w:val="16"/>
                <w:color w:val="auto"/>
                <w:w w:val="91"/>
              </w:rPr>
              <w:t>(18)</w:t>
            </w:r>
          </w:p>
        </w:tc>
        <w:tc>
          <w:tcPr>
            <w:tcW w:w="2480" w:type="dxa"/>
            <w:vAlign w:val="bottom"/>
            <w:shd w:val="clear" w:color="auto" w:fill="D8D8D8"/>
          </w:tcPr>
          <w:p>
            <w:pPr>
              <w:jc w:val="right"/>
              <w:ind w:right="519"/>
              <w:spacing w:after="0"/>
              <w:rPr>
                <w:sz w:val="20"/>
                <w:szCs w:val="20"/>
                <w:color w:val="auto"/>
              </w:rPr>
            </w:pPr>
            <w:r>
              <w:rPr>
                <w:rFonts w:ascii="Arial" w:cs="Arial" w:eastAsia="Arial" w:hAnsi="Arial"/>
                <w:sz w:val="16"/>
                <w:szCs w:val="16"/>
                <w:color w:val="auto"/>
              </w:rPr>
              <w:t>5.38%</w:t>
            </w:r>
          </w:p>
        </w:tc>
      </w:tr>
      <w:tr>
        <w:trPr>
          <w:trHeight w:val="274"/>
        </w:trPr>
        <w:tc>
          <w:tcPr>
            <w:tcW w:w="5440" w:type="dxa"/>
            <w:vAlign w:val="bottom"/>
            <w:tcBorders>
              <w:right w:val="single" w:sz="8" w:color="999999"/>
            </w:tcBorders>
          </w:tcPr>
          <w:p>
            <w:pPr>
              <w:ind w:left="140"/>
              <w:spacing w:after="0"/>
              <w:rPr>
                <w:sz w:val="20"/>
                <w:szCs w:val="20"/>
                <w:color w:val="auto"/>
              </w:rPr>
            </w:pPr>
            <w:r>
              <w:rPr>
                <w:rFonts w:ascii="Arial" w:cs="Arial" w:eastAsia="Arial" w:hAnsi="Arial"/>
                <w:sz w:val="16"/>
                <w:szCs w:val="16"/>
                <w:b w:val="1"/>
                <w:bCs w:val="1"/>
                <w:color w:val="auto"/>
              </w:rPr>
              <w:t>THE VANGUARD GROUP</w:t>
            </w:r>
          </w:p>
        </w:tc>
        <w:tc>
          <w:tcPr>
            <w:tcW w:w="1280" w:type="dxa"/>
            <w:vAlign w:val="bottom"/>
          </w:tcPr>
          <w:p>
            <w:pPr>
              <w:jc w:val="right"/>
              <w:spacing w:after="0"/>
              <w:rPr>
                <w:sz w:val="20"/>
                <w:szCs w:val="20"/>
                <w:color w:val="auto"/>
              </w:rPr>
            </w:pPr>
            <w:r>
              <w:rPr>
                <w:rFonts w:ascii="Arial" w:cs="Arial" w:eastAsia="Arial" w:hAnsi="Arial"/>
                <w:sz w:val="16"/>
                <w:szCs w:val="16"/>
                <w:color w:val="auto"/>
              </w:rPr>
              <w:t>16,908,509</w:t>
            </w:r>
          </w:p>
        </w:tc>
        <w:tc>
          <w:tcPr>
            <w:tcW w:w="920" w:type="dxa"/>
            <w:vAlign w:val="bottom"/>
          </w:tcPr>
          <w:p>
            <w:pPr>
              <w:jc w:val="right"/>
              <w:ind w:right="559"/>
              <w:spacing w:after="0"/>
              <w:rPr>
                <w:sz w:val="20"/>
                <w:szCs w:val="20"/>
                <w:color w:val="auto"/>
              </w:rPr>
            </w:pPr>
            <w:r>
              <w:rPr>
                <w:rFonts w:ascii="Arial" w:cs="Arial" w:eastAsia="Arial" w:hAnsi="Arial"/>
                <w:sz w:val="16"/>
                <w:szCs w:val="16"/>
                <w:color w:val="auto"/>
                <w:w w:val="91"/>
              </w:rPr>
              <w:t>(19)</w:t>
            </w:r>
          </w:p>
        </w:tc>
        <w:tc>
          <w:tcPr>
            <w:tcW w:w="2480" w:type="dxa"/>
            <w:vAlign w:val="bottom"/>
          </w:tcPr>
          <w:p>
            <w:pPr>
              <w:jc w:val="right"/>
              <w:ind w:right="519"/>
              <w:spacing w:after="0"/>
              <w:rPr>
                <w:sz w:val="20"/>
                <w:szCs w:val="20"/>
                <w:color w:val="auto"/>
              </w:rPr>
            </w:pPr>
            <w:r>
              <w:rPr>
                <w:rFonts w:ascii="Arial" w:cs="Arial" w:eastAsia="Arial" w:hAnsi="Arial"/>
                <w:sz w:val="16"/>
                <w:szCs w:val="16"/>
                <w:color w:val="auto"/>
              </w:rPr>
              <w:t>10.85%</w:t>
            </w:r>
          </w:p>
        </w:tc>
      </w:tr>
      <w:tr>
        <w:trPr>
          <w:trHeight w:val="293"/>
        </w:trPr>
        <w:tc>
          <w:tcPr>
            <w:tcW w:w="5440" w:type="dxa"/>
            <w:vAlign w:val="bottom"/>
            <w:tcBorders>
              <w:right w:val="single" w:sz="8" w:color="999999"/>
            </w:tcBorders>
            <w:shd w:val="clear" w:color="auto" w:fill="D8D8D8"/>
          </w:tcPr>
          <w:p>
            <w:pPr>
              <w:ind w:left="140"/>
              <w:spacing w:after="0"/>
              <w:rPr>
                <w:sz w:val="20"/>
                <w:szCs w:val="20"/>
                <w:color w:val="auto"/>
              </w:rPr>
            </w:pPr>
            <w:r>
              <w:rPr>
                <w:rFonts w:ascii="Arial" w:cs="Arial" w:eastAsia="Arial" w:hAnsi="Arial"/>
                <w:sz w:val="16"/>
                <w:szCs w:val="16"/>
                <w:b w:val="1"/>
                <w:bCs w:val="1"/>
                <w:color w:val="auto"/>
              </w:rPr>
              <w:t>JPMORGAN CHASE &amp; CO.</w:t>
            </w:r>
          </w:p>
        </w:tc>
        <w:tc>
          <w:tcPr>
            <w:tcW w:w="1280" w:type="dxa"/>
            <w:vAlign w:val="bottom"/>
            <w:shd w:val="clear" w:color="auto" w:fill="D8D8D8"/>
          </w:tcPr>
          <w:p>
            <w:pPr>
              <w:jc w:val="right"/>
              <w:spacing w:after="0"/>
              <w:rPr>
                <w:sz w:val="20"/>
                <w:szCs w:val="20"/>
                <w:color w:val="auto"/>
              </w:rPr>
            </w:pPr>
            <w:r>
              <w:rPr>
                <w:rFonts w:ascii="Arial" w:cs="Arial" w:eastAsia="Arial" w:hAnsi="Arial"/>
                <w:sz w:val="16"/>
                <w:szCs w:val="16"/>
                <w:color w:val="auto"/>
              </w:rPr>
              <w:t>9,307,666</w:t>
            </w:r>
          </w:p>
        </w:tc>
        <w:tc>
          <w:tcPr>
            <w:tcW w:w="920" w:type="dxa"/>
            <w:vAlign w:val="bottom"/>
            <w:shd w:val="clear" w:color="auto" w:fill="D8D8D8"/>
          </w:tcPr>
          <w:p>
            <w:pPr>
              <w:jc w:val="right"/>
              <w:ind w:right="559"/>
              <w:spacing w:after="0"/>
              <w:rPr>
                <w:sz w:val="20"/>
                <w:szCs w:val="20"/>
                <w:color w:val="auto"/>
              </w:rPr>
            </w:pPr>
            <w:r>
              <w:rPr>
                <w:rFonts w:ascii="Arial" w:cs="Arial" w:eastAsia="Arial" w:hAnsi="Arial"/>
                <w:sz w:val="16"/>
                <w:szCs w:val="16"/>
                <w:color w:val="auto"/>
                <w:w w:val="91"/>
              </w:rPr>
              <w:t>(20)</w:t>
            </w:r>
          </w:p>
        </w:tc>
        <w:tc>
          <w:tcPr>
            <w:tcW w:w="2480" w:type="dxa"/>
            <w:vAlign w:val="bottom"/>
            <w:shd w:val="clear" w:color="auto" w:fill="D8D8D8"/>
          </w:tcPr>
          <w:p>
            <w:pPr>
              <w:jc w:val="right"/>
              <w:ind w:right="519"/>
              <w:spacing w:after="0"/>
              <w:rPr>
                <w:sz w:val="20"/>
                <w:szCs w:val="20"/>
                <w:color w:val="auto"/>
              </w:rPr>
            </w:pPr>
            <w:r>
              <w:rPr>
                <w:rFonts w:ascii="Arial" w:cs="Arial" w:eastAsia="Arial" w:hAnsi="Arial"/>
                <w:sz w:val="16"/>
                <w:szCs w:val="16"/>
                <w:color w:val="auto"/>
              </w:rPr>
              <w:t>5.9%</w:t>
            </w:r>
          </w:p>
        </w:tc>
      </w:tr>
    </w:tbl>
    <w:p>
      <w:pPr>
        <w:spacing w:after="0" w:line="53" w:lineRule="exact"/>
        <w:rPr>
          <w:sz w:val="20"/>
          <w:szCs w:val="20"/>
          <w:color w:val="auto"/>
        </w:rPr>
      </w:pPr>
    </w:p>
    <w:p>
      <w:pPr>
        <w:ind w:left="540" w:hanging="330"/>
        <w:spacing w:after="0"/>
        <w:tabs>
          <w:tab w:leader="none" w:pos="540" w:val="left"/>
        </w:tabs>
        <w:numPr>
          <w:ilvl w:val="0"/>
          <w:numId w:val="65"/>
        </w:numPr>
        <w:rPr>
          <w:rFonts w:ascii="Arial" w:cs="Arial" w:eastAsia="Arial" w:hAnsi="Arial"/>
          <w:sz w:val="16"/>
          <w:szCs w:val="16"/>
          <w:i w:val="1"/>
          <w:iCs w:val="1"/>
          <w:color w:val="auto"/>
        </w:rPr>
      </w:pPr>
      <w:r>
        <w:rPr>
          <w:rFonts w:ascii="Arial" w:cs="Arial" w:eastAsia="Arial" w:hAnsi="Arial"/>
          <w:sz w:val="16"/>
          <w:szCs w:val="16"/>
          <w:i w:val="1"/>
          <w:iCs w:val="1"/>
          <w:color w:val="auto"/>
        </w:rPr>
        <w:t>Less than one percent.</w:t>
      </w:r>
    </w:p>
    <w:p>
      <w:pPr>
        <w:spacing w:after="0" w:line="14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76</w:t>
      </w:r>
    </w:p>
    <w:p>
      <w:pPr>
        <w:sectPr>
          <w:pgSz w:w="11900" w:h="16838" w:orient="portrait"/>
          <w:cols w:equalWidth="0" w:num="1">
            <w:col w:w="11220"/>
          </w:cols>
          <w:pgMar w:left="240" w:top="459" w:right="4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SHARE OWNERSHIP INFORMATION</w:t>
      </w:r>
    </w:p>
    <w:p>
      <w:pPr>
        <w:spacing w:after="0" w:line="157" w:lineRule="exact"/>
        <w:rPr>
          <w:sz w:val="20"/>
          <w:szCs w:val="20"/>
          <w:color w:val="auto"/>
        </w:rPr>
      </w:pPr>
    </w:p>
    <w:p>
      <w:pPr>
        <w:ind w:left="540" w:right="140" w:hanging="330"/>
        <w:spacing w:after="0" w:line="253" w:lineRule="auto"/>
        <w:tabs>
          <w:tab w:leader="none" w:pos="540" w:val="left"/>
        </w:tabs>
        <w:numPr>
          <w:ilvl w:val="0"/>
          <w:numId w:val="66"/>
        </w:numPr>
        <w:rPr>
          <w:rFonts w:ascii="Arial" w:cs="Arial" w:eastAsia="Arial" w:hAnsi="Arial"/>
          <w:sz w:val="16"/>
          <w:szCs w:val="16"/>
          <w:i w:val="1"/>
          <w:iCs w:val="1"/>
          <w:color w:val="auto"/>
        </w:rPr>
      </w:pPr>
      <w:r>
        <w:rPr>
          <w:rFonts w:ascii="Arial" w:cs="Arial" w:eastAsia="Arial" w:hAnsi="Arial"/>
          <w:sz w:val="16"/>
          <w:szCs w:val="16"/>
          <w:i w:val="1"/>
          <w:iCs w:val="1"/>
          <w:color w:val="auto"/>
        </w:rPr>
        <w:t>In computing the number of shares beneficially owned by an executive officer and the percentage ownership of such executive officers, we have included (i) shares of common stock subject to stock-settled appreciation rights (“SSARs”) held by that person that are currently exercisable or exercisable within 60 days of March 12, 2018 and (ii) shares of common stock subject to restricted stock units that are scheduled to vest within 60 days of March 12, 2018, subject to the executive being an employee of Dover on the date of vesting. Such shares, however, are not deemed to be outstanding for purposes of computing the percentage ownership of any other person. Information about shares held through Dover’s 401(k) plan is as of March 1, 2018; fractional shares held in 401(k) accounts have been rounded down.</w:t>
      </w:r>
    </w:p>
    <w:p>
      <w:pPr>
        <w:spacing w:after="0" w:line="50" w:lineRule="exact"/>
        <w:rPr>
          <w:rFonts w:ascii="Arial" w:cs="Arial" w:eastAsia="Arial" w:hAnsi="Arial"/>
          <w:sz w:val="16"/>
          <w:szCs w:val="16"/>
          <w:i w:val="1"/>
          <w:iCs w:val="1"/>
          <w:color w:val="auto"/>
        </w:rPr>
      </w:pPr>
    </w:p>
    <w:p>
      <w:pPr>
        <w:ind w:left="540" w:right="40"/>
        <w:spacing w:after="0" w:line="251" w:lineRule="auto"/>
        <w:rPr>
          <w:rFonts w:ascii="Arial" w:cs="Arial" w:eastAsia="Arial" w:hAnsi="Arial"/>
          <w:sz w:val="16"/>
          <w:szCs w:val="16"/>
          <w:i w:val="1"/>
          <w:iCs w:val="1"/>
          <w:color w:val="auto"/>
        </w:rPr>
      </w:pPr>
      <w:r>
        <w:rPr>
          <w:rFonts w:ascii="Arial" w:cs="Arial" w:eastAsia="Arial" w:hAnsi="Arial"/>
          <w:sz w:val="16"/>
          <w:szCs w:val="16"/>
          <w:i w:val="1"/>
          <w:iCs w:val="1"/>
          <w:color w:val="auto"/>
        </w:rPr>
        <w:t>In computing the number of shares beneficially owned by any non-employee directors and the percentage of such non-employee directors, we have included shares of common stock subject to deferred stock units which will be payable in an equal number of shares of common stock at the time such director departs from the Board. Such shares, however, are not deemed to be outstanding for purposes of computing the percentage ownership of any other person.</w:t>
      </w:r>
    </w:p>
    <w:p>
      <w:pPr>
        <w:spacing w:after="0" w:line="1" w:lineRule="exact"/>
        <w:rPr>
          <w:rFonts w:ascii="Arial" w:cs="Arial" w:eastAsia="Arial" w:hAnsi="Arial"/>
          <w:sz w:val="16"/>
          <w:szCs w:val="16"/>
          <w:i w:val="1"/>
          <w:iCs w:val="1"/>
          <w:color w:val="auto"/>
        </w:rPr>
      </w:pPr>
    </w:p>
    <w:p>
      <w:pPr>
        <w:ind w:left="540" w:hanging="330"/>
        <w:spacing w:after="0"/>
        <w:tabs>
          <w:tab w:leader="none" w:pos="540" w:val="left"/>
        </w:tabs>
        <w:numPr>
          <w:ilvl w:val="0"/>
          <w:numId w:val="66"/>
        </w:numPr>
        <w:rPr>
          <w:rFonts w:ascii="Arial" w:cs="Arial" w:eastAsia="Arial" w:hAnsi="Arial"/>
          <w:sz w:val="16"/>
          <w:szCs w:val="16"/>
          <w:i w:val="1"/>
          <w:iCs w:val="1"/>
          <w:color w:val="auto"/>
        </w:rPr>
      </w:pPr>
      <w:r>
        <w:rPr>
          <w:rFonts w:ascii="Arial" w:cs="Arial" w:eastAsia="Arial" w:hAnsi="Arial"/>
          <w:sz w:val="16"/>
          <w:szCs w:val="16"/>
          <w:i w:val="1"/>
          <w:iCs w:val="1"/>
          <w:color w:val="auto"/>
        </w:rPr>
        <w:t>Includes 7,906 deferred stock units.</w:t>
      </w:r>
    </w:p>
    <w:p>
      <w:pPr>
        <w:spacing w:after="0" w:line="4" w:lineRule="exact"/>
        <w:rPr>
          <w:rFonts w:ascii="Arial" w:cs="Arial" w:eastAsia="Arial" w:hAnsi="Arial"/>
          <w:sz w:val="16"/>
          <w:szCs w:val="16"/>
          <w:i w:val="1"/>
          <w:iCs w:val="1"/>
          <w:color w:val="auto"/>
        </w:rPr>
      </w:pPr>
    </w:p>
    <w:p>
      <w:pPr>
        <w:jc w:val="both"/>
        <w:ind w:left="540" w:right="120" w:hanging="330"/>
        <w:spacing w:after="0" w:line="246" w:lineRule="auto"/>
        <w:tabs>
          <w:tab w:leader="none" w:pos="540" w:val="left"/>
        </w:tabs>
        <w:numPr>
          <w:ilvl w:val="0"/>
          <w:numId w:val="66"/>
        </w:numPr>
        <w:rPr>
          <w:rFonts w:ascii="Arial" w:cs="Arial" w:eastAsia="Arial" w:hAnsi="Arial"/>
          <w:sz w:val="16"/>
          <w:szCs w:val="16"/>
          <w:i w:val="1"/>
          <w:iCs w:val="1"/>
          <w:color w:val="auto"/>
        </w:rPr>
      </w:pPr>
      <w:r>
        <w:rPr>
          <w:rFonts w:ascii="Arial" w:cs="Arial" w:eastAsia="Arial" w:hAnsi="Arial"/>
          <w:sz w:val="16"/>
          <w:szCs w:val="16"/>
          <w:i w:val="1"/>
          <w:iCs w:val="1"/>
          <w:color w:val="auto"/>
        </w:rPr>
        <w:t>Includes 159,359 shares held by foundations of which Ms. Graham is a director and in which she disclaims any beneficial ownership, 11,116 shares held in various trusts of which she is a co-trustee sharing voting and investment powers and in which she disclaims any beneficial ownership, 2,460 shares held by her minor children to which Ms. Graham disclaims any beneficial ownership and 7,906 deferred stock units.</w:t>
      </w:r>
    </w:p>
    <w:p>
      <w:pPr>
        <w:ind w:left="540" w:hanging="330"/>
        <w:spacing w:after="0"/>
        <w:tabs>
          <w:tab w:leader="none" w:pos="540" w:val="left"/>
        </w:tabs>
        <w:numPr>
          <w:ilvl w:val="0"/>
          <w:numId w:val="66"/>
        </w:numPr>
        <w:rPr>
          <w:rFonts w:ascii="Arial" w:cs="Arial" w:eastAsia="Arial" w:hAnsi="Arial"/>
          <w:sz w:val="16"/>
          <w:szCs w:val="16"/>
          <w:i w:val="1"/>
          <w:iCs w:val="1"/>
          <w:color w:val="auto"/>
        </w:rPr>
      </w:pPr>
      <w:r>
        <w:rPr>
          <w:rFonts w:ascii="Arial" w:cs="Arial" w:eastAsia="Arial" w:hAnsi="Arial"/>
          <w:sz w:val="16"/>
          <w:szCs w:val="16"/>
          <w:i w:val="1"/>
          <w:iCs w:val="1"/>
          <w:color w:val="auto"/>
        </w:rPr>
        <w:t>Includes 8,245 deferred stock units.</w:t>
      </w:r>
    </w:p>
    <w:p>
      <w:pPr>
        <w:spacing w:after="0" w:line="4" w:lineRule="exact"/>
        <w:rPr>
          <w:rFonts w:ascii="Arial" w:cs="Arial" w:eastAsia="Arial" w:hAnsi="Arial"/>
          <w:sz w:val="16"/>
          <w:szCs w:val="16"/>
          <w:i w:val="1"/>
          <w:iCs w:val="1"/>
          <w:color w:val="auto"/>
        </w:rPr>
      </w:pPr>
    </w:p>
    <w:p>
      <w:pPr>
        <w:ind w:left="540" w:right="880" w:hanging="330"/>
        <w:spacing w:after="0" w:line="246" w:lineRule="auto"/>
        <w:tabs>
          <w:tab w:leader="none" w:pos="540" w:val="left"/>
        </w:tabs>
        <w:numPr>
          <w:ilvl w:val="0"/>
          <w:numId w:val="66"/>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8,886 shares held by a trust of which Mr. Lochridge is the trustee, 2,966 shares held in a ROTH IRA held by a trust owned by Mr. Lochridge and 7,906 deferred stock units.</w:t>
      </w:r>
    </w:p>
    <w:p>
      <w:pPr>
        <w:ind w:left="540" w:hanging="330"/>
        <w:spacing w:after="0"/>
        <w:tabs>
          <w:tab w:leader="none" w:pos="540" w:val="left"/>
        </w:tabs>
        <w:numPr>
          <w:ilvl w:val="0"/>
          <w:numId w:val="66"/>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1,253 deferred stock units.</w:t>
      </w:r>
    </w:p>
    <w:p>
      <w:pPr>
        <w:spacing w:after="0" w:line="4" w:lineRule="exact"/>
        <w:rPr>
          <w:rFonts w:ascii="Arial" w:cs="Arial" w:eastAsia="Arial" w:hAnsi="Arial"/>
          <w:sz w:val="16"/>
          <w:szCs w:val="16"/>
          <w:i w:val="1"/>
          <w:iCs w:val="1"/>
          <w:color w:val="auto"/>
        </w:rPr>
      </w:pPr>
    </w:p>
    <w:p>
      <w:pPr>
        <w:ind w:left="540" w:right="100" w:hanging="330"/>
        <w:spacing w:after="0" w:line="246" w:lineRule="auto"/>
        <w:tabs>
          <w:tab w:leader="none" w:pos="540" w:val="left"/>
        </w:tabs>
        <w:numPr>
          <w:ilvl w:val="0"/>
          <w:numId w:val="66"/>
        </w:numPr>
        <w:rPr>
          <w:rFonts w:ascii="Arial" w:cs="Arial" w:eastAsia="Arial" w:hAnsi="Arial"/>
          <w:sz w:val="16"/>
          <w:szCs w:val="16"/>
          <w:i w:val="1"/>
          <w:iCs w:val="1"/>
          <w:color w:val="auto"/>
        </w:rPr>
      </w:pPr>
      <w:r>
        <w:rPr>
          <w:rFonts w:ascii="Arial" w:cs="Arial" w:eastAsia="Arial" w:hAnsi="Arial"/>
          <w:sz w:val="16"/>
          <w:szCs w:val="16"/>
          <w:i w:val="1"/>
          <w:iCs w:val="1"/>
          <w:color w:val="auto"/>
        </w:rPr>
        <w:t>Includes 1,000 shares held by his spouse and 20,972 shares held by a trust of which Mr. Stubbs is a co-trustee and various members of his immediate family are beneficiaries, as to all of which shares Mr. Stubbs disclaims beneficial ownership, and includes 90,000 shares held in a grantor retained annuity trust as to which Mr. Stubbs has power of substitution of assets; excludes 676,878 shares held by trusts of which Mr. Stubbs is a beneficiary.</w:t>
      </w:r>
    </w:p>
    <w:p>
      <w:pPr>
        <w:spacing w:after="0" w:line="1" w:lineRule="exact"/>
        <w:rPr>
          <w:rFonts w:ascii="Arial" w:cs="Arial" w:eastAsia="Arial" w:hAnsi="Arial"/>
          <w:sz w:val="16"/>
          <w:szCs w:val="16"/>
          <w:i w:val="1"/>
          <w:iCs w:val="1"/>
          <w:color w:val="auto"/>
        </w:rPr>
      </w:pPr>
    </w:p>
    <w:p>
      <w:pPr>
        <w:ind w:left="540" w:hanging="330"/>
        <w:spacing w:after="0"/>
        <w:tabs>
          <w:tab w:leader="none" w:pos="540" w:val="left"/>
        </w:tabs>
        <w:numPr>
          <w:ilvl w:val="0"/>
          <w:numId w:val="66"/>
        </w:numPr>
        <w:rPr>
          <w:rFonts w:ascii="Arial" w:cs="Arial" w:eastAsia="Arial" w:hAnsi="Arial"/>
          <w:sz w:val="16"/>
          <w:szCs w:val="16"/>
          <w:i w:val="1"/>
          <w:iCs w:val="1"/>
          <w:color w:val="auto"/>
        </w:rPr>
      </w:pPr>
      <w:r>
        <w:rPr>
          <w:rFonts w:ascii="Arial" w:cs="Arial" w:eastAsia="Arial" w:hAnsi="Arial"/>
          <w:sz w:val="16"/>
          <w:szCs w:val="16"/>
          <w:i w:val="1"/>
          <w:iCs w:val="1"/>
          <w:color w:val="auto"/>
        </w:rPr>
        <w:t>Includes 2,149 deferred stock units.</w:t>
      </w:r>
    </w:p>
    <w:p>
      <w:pPr>
        <w:spacing w:after="0" w:line="4" w:lineRule="exact"/>
        <w:rPr>
          <w:rFonts w:ascii="Arial" w:cs="Arial" w:eastAsia="Arial" w:hAnsi="Arial"/>
          <w:sz w:val="16"/>
          <w:szCs w:val="16"/>
          <w:i w:val="1"/>
          <w:iCs w:val="1"/>
          <w:color w:val="auto"/>
        </w:rPr>
      </w:pPr>
    </w:p>
    <w:p>
      <w:pPr>
        <w:ind w:left="540" w:hanging="330"/>
        <w:spacing w:after="0"/>
        <w:tabs>
          <w:tab w:leader="none" w:pos="540" w:val="left"/>
        </w:tabs>
        <w:numPr>
          <w:ilvl w:val="0"/>
          <w:numId w:val="66"/>
        </w:numPr>
        <w:rPr>
          <w:rFonts w:ascii="Arial" w:cs="Arial" w:eastAsia="Arial" w:hAnsi="Arial"/>
          <w:sz w:val="16"/>
          <w:szCs w:val="16"/>
          <w:i w:val="1"/>
          <w:iCs w:val="1"/>
          <w:color w:val="auto"/>
        </w:rPr>
      </w:pPr>
      <w:r>
        <w:rPr>
          <w:rFonts w:ascii="Arial" w:cs="Arial" w:eastAsia="Arial" w:hAnsi="Arial"/>
          <w:sz w:val="16"/>
          <w:szCs w:val="16"/>
          <w:i w:val="1"/>
          <w:iCs w:val="1"/>
          <w:color w:val="auto"/>
        </w:rPr>
        <w:t>Includes 7,906 deferred stock units.</w:t>
      </w:r>
    </w:p>
    <w:p>
      <w:pPr>
        <w:spacing w:after="0" w:line="4" w:lineRule="exact"/>
        <w:rPr>
          <w:rFonts w:ascii="Arial" w:cs="Arial" w:eastAsia="Arial" w:hAnsi="Arial"/>
          <w:sz w:val="16"/>
          <w:szCs w:val="16"/>
          <w:i w:val="1"/>
          <w:iCs w:val="1"/>
          <w:color w:val="auto"/>
        </w:rPr>
      </w:pPr>
    </w:p>
    <w:p>
      <w:pPr>
        <w:ind w:left="540" w:hanging="330"/>
        <w:spacing w:after="0"/>
        <w:tabs>
          <w:tab w:leader="none" w:pos="540" w:val="left"/>
        </w:tabs>
        <w:numPr>
          <w:ilvl w:val="0"/>
          <w:numId w:val="66"/>
        </w:numPr>
        <w:rPr>
          <w:rFonts w:ascii="Arial" w:cs="Arial" w:eastAsia="Arial" w:hAnsi="Arial"/>
          <w:sz w:val="16"/>
          <w:szCs w:val="16"/>
          <w:i w:val="1"/>
          <w:iCs w:val="1"/>
          <w:color w:val="auto"/>
        </w:rPr>
      </w:pPr>
      <w:r>
        <w:rPr>
          <w:rFonts w:ascii="Arial" w:cs="Arial" w:eastAsia="Arial" w:hAnsi="Arial"/>
          <w:sz w:val="16"/>
          <w:szCs w:val="16"/>
          <w:i w:val="1"/>
          <w:iCs w:val="1"/>
          <w:color w:val="auto"/>
        </w:rPr>
        <w:t>Includes 7,906 deferred stock units.</w:t>
      </w:r>
    </w:p>
    <w:p>
      <w:pPr>
        <w:spacing w:after="0" w:line="4" w:lineRule="exact"/>
        <w:rPr>
          <w:rFonts w:ascii="Arial" w:cs="Arial" w:eastAsia="Arial" w:hAnsi="Arial"/>
          <w:sz w:val="16"/>
          <w:szCs w:val="16"/>
          <w:i w:val="1"/>
          <w:iCs w:val="1"/>
          <w:color w:val="auto"/>
        </w:rPr>
      </w:pPr>
    </w:p>
    <w:p>
      <w:pPr>
        <w:ind w:left="540" w:right="500" w:hanging="330"/>
        <w:spacing w:after="0" w:line="246" w:lineRule="auto"/>
        <w:tabs>
          <w:tab w:leader="none" w:pos="540" w:val="left"/>
        </w:tabs>
        <w:numPr>
          <w:ilvl w:val="0"/>
          <w:numId w:val="66"/>
        </w:numPr>
        <w:rPr>
          <w:rFonts w:ascii="Arial" w:cs="Arial" w:eastAsia="Arial" w:hAnsi="Arial"/>
          <w:sz w:val="16"/>
          <w:szCs w:val="16"/>
          <w:i w:val="1"/>
          <w:iCs w:val="1"/>
          <w:color w:val="auto"/>
        </w:rPr>
      </w:pPr>
      <w:r>
        <w:rPr>
          <w:rFonts w:ascii="Arial" w:cs="Arial" w:eastAsia="Arial" w:hAnsi="Arial"/>
          <w:sz w:val="16"/>
          <w:szCs w:val="16"/>
          <w:i w:val="1"/>
          <w:iCs w:val="1"/>
          <w:color w:val="auto"/>
        </w:rPr>
        <w:t>Includes 333,960 shares in respect of SSARs, 3,835 shares in respect of restricted stock units scheduled to vest on March 15, 2018 and 2,133 shares held in our 401(k) plan.</w:t>
      </w:r>
    </w:p>
    <w:p>
      <w:pPr>
        <w:ind w:left="540" w:right="500" w:hanging="330"/>
        <w:spacing w:after="0" w:line="246" w:lineRule="auto"/>
        <w:tabs>
          <w:tab w:leader="none" w:pos="540" w:val="left"/>
        </w:tabs>
        <w:numPr>
          <w:ilvl w:val="0"/>
          <w:numId w:val="66"/>
        </w:numPr>
        <w:rPr>
          <w:rFonts w:ascii="Arial" w:cs="Arial" w:eastAsia="Arial" w:hAnsi="Arial"/>
          <w:sz w:val="16"/>
          <w:szCs w:val="16"/>
          <w:i w:val="1"/>
          <w:iCs w:val="1"/>
          <w:color w:val="auto"/>
        </w:rPr>
      </w:pPr>
      <w:r>
        <w:rPr>
          <w:rFonts w:ascii="Arial" w:cs="Arial" w:eastAsia="Arial" w:hAnsi="Arial"/>
          <w:sz w:val="16"/>
          <w:szCs w:val="16"/>
          <w:i w:val="1"/>
          <w:iCs w:val="1"/>
          <w:color w:val="auto"/>
        </w:rPr>
        <w:t>Includes 123,244 shares in respect of SSARs, 2,206 shares in respect of restricted stock units scheduled to vest on March 15, 2018 and 2,224 shares held in our 401(k) plan.</w:t>
      </w:r>
    </w:p>
    <w:p>
      <w:pPr>
        <w:ind w:left="540" w:right="180" w:hanging="330"/>
        <w:spacing w:after="0" w:line="246" w:lineRule="auto"/>
        <w:tabs>
          <w:tab w:leader="none" w:pos="540" w:val="left"/>
        </w:tabs>
        <w:numPr>
          <w:ilvl w:val="0"/>
          <w:numId w:val="66"/>
        </w:numPr>
        <w:rPr>
          <w:rFonts w:ascii="Arial" w:cs="Arial" w:eastAsia="Arial" w:hAnsi="Arial"/>
          <w:sz w:val="16"/>
          <w:szCs w:val="16"/>
          <w:i w:val="1"/>
          <w:iCs w:val="1"/>
          <w:color w:val="auto"/>
        </w:rPr>
      </w:pPr>
      <w:r>
        <w:rPr>
          <w:rFonts w:ascii="Arial" w:cs="Arial" w:eastAsia="Arial" w:hAnsi="Arial"/>
          <w:sz w:val="16"/>
          <w:szCs w:val="16"/>
          <w:i w:val="1"/>
          <w:iCs w:val="1"/>
          <w:color w:val="auto"/>
        </w:rPr>
        <w:t>Includes 1,643,643 shares in respect of SSARs, 13,245 shares in respect of restricted stock units scheduled to vest on March 15, 2018 and 18,262 shares held in our 401(k) plan.</w:t>
      </w:r>
    </w:p>
    <w:p>
      <w:pPr>
        <w:ind w:left="540" w:right="560" w:hanging="330"/>
        <w:spacing w:after="0" w:line="246" w:lineRule="auto"/>
        <w:tabs>
          <w:tab w:leader="none" w:pos="540" w:val="left"/>
        </w:tabs>
        <w:numPr>
          <w:ilvl w:val="0"/>
          <w:numId w:val="66"/>
        </w:numPr>
        <w:rPr>
          <w:rFonts w:ascii="Arial" w:cs="Arial" w:eastAsia="Arial" w:hAnsi="Arial"/>
          <w:sz w:val="16"/>
          <w:szCs w:val="16"/>
          <w:i w:val="1"/>
          <w:iCs w:val="1"/>
          <w:color w:val="auto"/>
        </w:rPr>
      </w:pPr>
      <w:r>
        <w:rPr>
          <w:rFonts w:ascii="Arial" w:cs="Arial" w:eastAsia="Arial" w:hAnsi="Arial"/>
          <w:sz w:val="16"/>
          <w:szCs w:val="16"/>
          <w:i w:val="1"/>
          <w:iCs w:val="1"/>
          <w:color w:val="auto"/>
        </w:rPr>
        <w:t>Includes 25,934 shares held in a limited partnership of which Mr. Somasundaram is a partner, 2,206 shares in respect of restricted stock units scheduled to vest on March 15, 2018 and 1,788 shares held in our 401(k) plan.</w:t>
      </w:r>
    </w:p>
    <w:p>
      <w:pPr>
        <w:ind w:left="540" w:right="60" w:hanging="330"/>
        <w:spacing w:after="0" w:line="246" w:lineRule="auto"/>
        <w:tabs>
          <w:tab w:leader="none" w:pos="540" w:val="left"/>
        </w:tabs>
        <w:numPr>
          <w:ilvl w:val="0"/>
          <w:numId w:val="66"/>
        </w:numPr>
        <w:rPr>
          <w:rFonts w:ascii="Arial" w:cs="Arial" w:eastAsia="Arial" w:hAnsi="Arial"/>
          <w:sz w:val="16"/>
          <w:szCs w:val="16"/>
          <w:i w:val="1"/>
          <w:iCs w:val="1"/>
          <w:color w:val="auto"/>
        </w:rPr>
      </w:pPr>
      <w:r>
        <w:rPr>
          <w:rFonts w:ascii="Arial" w:cs="Arial" w:eastAsia="Arial" w:hAnsi="Arial"/>
          <w:sz w:val="16"/>
          <w:szCs w:val="16"/>
          <w:i w:val="1"/>
          <w:iCs w:val="1"/>
          <w:color w:val="auto"/>
        </w:rPr>
        <w:t>Includes 82,684 shares in respect of SSARs, 2,206 shares in respect of restricted stock units scheduled to vest on March 15, 2018 and 8,143 shares held in our 401(k) plan.</w:t>
      </w:r>
    </w:p>
    <w:p>
      <w:pPr>
        <w:ind w:left="540" w:right="320" w:hanging="330"/>
        <w:spacing w:after="0" w:line="246" w:lineRule="auto"/>
        <w:tabs>
          <w:tab w:leader="none" w:pos="540" w:val="left"/>
        </w:tabs>
        <w:numPr>
          <w:ilvl w:val="0"/>
          <w:numId w:val="66"/>
        </w:numPr>
        <w:rPr>
          <w:rFonts w:ascii="Arial" w:cs="Arial" w:eastAsia="Arial" w:hAnsi="Arial"/>
          <w:sz w:val="16"/>
          <w:szCs w:val="16"/>
          <w:i w:val="1"/>
          <w:iCs w:val="1"/>
          <w:color w:val="auto"/>
        </w:rPr>
      </w:pPr>
      <w:r>
        <w:rPr>
          <w:rFonts w:ascii="Arial" w:cs="Arial" w:eastAsia="Arial" w:hAnsi="Arial"/>
          <w:sz w:val="16"/>
          <w:szCs w:val="16"/>
          <w:i w:val="1"/>
          <w:iCs w:val="1"/>
          <w:color w:val="auto"/>
        </w:rPr>
        <w:t>Includes 648,295 shares in respect of SSARs, 31,095 shares in respect of restricted stock units scheduled to vest on March 15, 2018 and 48,129 shares held in our 401(k) plan.</w:t>
      </w:r>
    </w:p>
    <w:p>
      <w:pPr>
        <w:ind w:left="540" w:hanging="330"/>
        <w:spacing w:after="0"/>
        <w:tabs>
          <w:tab w:leader="none" w:pos="540" w:val="left"/>
        </w:tabs>
        <w:numPr>
          <w:ilvl w:val="0"/>
          <w:numId w:val="66"/>
        </w:numPr>
        <w:rPr>
          <w:rFonts w:ascii="Arial" w:cs="Arial" w:eastAsia="Arial" w:hAnsi="Arial"/>
          <w:sz w:val="16"/>
          <w:szCs w:val="16"/>
          <w:i w:val="1"/>
          <w:iCs w:val="1"/>
          <w:color w:val="auto"/>
        </w:rPr>
      </w:pPr>
      <w:r>
        <w:rPr>
          <w:rFonts w:ascii="Arial" w:cs="Arial" w:eastAsia="Arial" w:hAnsi="Arial"/>
          <w:sz w:val="16"/>
          <w:szCs w:val="16"/>
          <w:i w:val="1"/>
          <w:iCs w:val="1"/>
          <w:color w:val="auto"/>
        </w:rPr>
        <w:t>Number of shares beneficially owned and percentage ownership based on information contained in a Schedule 13G/A filed with the SEC on</w:t>
      </w:r>
    </w:p>
    <w:p>
      <w:pPr>
        <w:spacing w:after="0" w:line="4" w:lineRule="exact"/>
        <w:rPr>
          <w:rFonts w:ascii="Arial" w:cs="Arial" w:eastAsia="Arial" w:hAnsi="Arial"/>
          <w:sz w:val="16"/>
          <w:szCs w:val="16"/>
          <w:i w:val="1"/>
          <w:iCs w:val="1"/>
          <w:color w:val="auto"/>
        </w:rPr>
      </w:pPr>
    </w:p>
    <w:p>
      <w:pPr>
        <w:ind w:left="540" w:right="20"/>
        <w:spacing w:after="0" w:line="246" w:lineRule="auto"/>
        <w:rPr>
          <w:rFonts w:ascii="Arial" w:cs="Arial" w:eastAsia="Arial" w:hAnsi="Arial"/>
          <w:sz w:val="16"/>
          <w:szCs w:val="16"/>
          <w:i w:val="1"/>
          <w:iCs w:val="1"/>
          <w:color w:val="auto"/>
        </w:rPr>
      </w:pPr>
      <w:r>
        <w:rPr>
          <w:rFonts w:ascii="Arial" w:cs="Arial" w:eastAsia="Arial" w:hAnsi="Arial"/>
          <w:sz w:val="16"/>
          <w:szCs w:val="16"/>
          <w:i w:val="1"/>
          <w:iCs w:val="1"/>
          <w:color w:val="auto"/>
        </w:rPr>
        <w:t>January 29, 2018 by BlackRock, Inc. with respect to beneficial ownership of Dover common stock as of December 31, 2017. BlackRock, Inc.’s offices are located at 55 East 52nd Street, New York, NY 10055.</w:t>
      </w:r>
    </w:p>
    <w:p>
      <w:pPr>
        <w:ind w:left="540" w:right="200" w:hanging="330"/>
        <w:spacing w:after="0" w:line="253" w:lineRule="auto"/>
        <w:tabs>
          <w:tab w:leader="none" w:pos="540" w:val="left"/>
        </w:tabs>
        <w:numPr>
          <w:ilvl w:val="0"/>
          <w:numId w:val="66"/>
        </w:numPr>
        <w:rPr>
          <w:rFonts w:ascii="Arial" w:cs="Arial" w:eastAsia="Arial" w:hAnsi="Arial"/>
          <w:sz w:val="16"/>
          <w:szCs w:val="16"/>
          <w:i w:val="1"/>
          <w:iCs w:val="1"/>
          <w:color w:val="auto"/>
        </w:rPr>
      </w:pPr>
      <w:r>
        <w:rPr>
          <w:rFonts w:ascii="Arial" w:cs="Arial" w:eastAsia="Arial" w:hAnsi="Arial"/>
          <w:sz w:val="16"/>
          <w:szCs w:val="16"/>
          <w:i w:val="1"/>
          <w:iCs w:val="1"/>
          <w:color w:val="auto"/>
        </w:rPr>
        <w:t>Number of shares beneficially owned and percentage ownership based on information contained in a Schedule 13G filed with the SEC on February 14, 2018 by State Street Corporation with respect to beneficial ownership of Dover common stock as of December 31, 2017. State Street Corporation’s offices are located at State Street Financial Center, One Lincoln Street, Boston, MA 02111.</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77</w:t>
      </w:r>
    </w:p>
    <w:p>
      <w:pPr>
        <w:sectPr>
          <w:pgSz w:w="11900" w:h="16838" w:orient="portrait"/>
          <w:cols w:equalWidth="0" w:num="1">
            <w:col w:w="11220"/>
          </w:cols>
          <w:pgMar w:left="240" w:top="459" w:right="4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SHARE OWNERSHIP INFORMATION</w:t>
      </w:r>
    </w:p>
    <w:p>
      <w:pPr>
        <w:spacing w:after="0" w:line="157" w:lineRule="exact"/>
        <w:rPr>
          <w:sz w:val="20"/>
          <w:szCs w:val="20"/>
          <w:color w:val="auto"/>
        </w:rPr>
      </w:pPr>
    </w:p>
    <w:p>
      <w:pPr>
        <w:ind w:left="540" w:right="360" w:hanging="330"/>
        <w:spacing w:after="0" w:line="253" w:lineRule="auto"/>
        <w:tabs>
          <w:tab w:leader="none" w:pos="540" w:val="left"/>
        </w:tabs>
        <w:numPr>
          <w:ilvl w:val="0"/>
          <w:numId w:val="67"/>
        </w:numPr>
        <w:rPr>
          <w:rFonts w:ascii="Arial" w:cs="Arial" w:eastAsia="Arial" w:hAnsi="Arial"/>
          <w:sz w:val="16"/>
          <w:szCs w:val="16"/>
          <w:i w:val="1"/>
          <w:iCs w:val="1"/>
          <w:color w:val="auto"/>
        </w:rPr>
      </w:pPr>
      <w:r>
        <w:rPr>
          <w:rFonts w:ascii="Arial" w:cs="Arial" w:eastAsia="Arial" w:hAnsi="Arial"/>
          <w:sz w:val="16"/>
          <w:szCs w:val="16"/>
          <w:i w:val="1"/>
          <w:iCs w:val="1"/>
          <w:color w:val="auto"/>
        </w:rPr>
        <w:t>Number of shares beneficially owned and percentage ownership based on information contained in a Schedule 13G/A filed with the SEC on February 9, 2018 by The Vanguard Group with respect to beneficial ownership of Dover common stock as of December 31, 2017. The Vanguard Group’s address is 100 Vanguard Blvd., Malvem, PA 19355.</w:t>
      </w:r>
    </w:p>
    <w:p>
      <w:pPr>
        <w:ind w:left="540" w:right="60" w:hanging="330"/>
        <w:spacing w:after="0" w:line="253" w:lineRule="auto"/>
        <w:tabs>
          <w:tab w:leader="none" w:pos="540" w:val="left"/>
        </w:tabs>
        <w:numPr>
          <w:ilvl w:val="0"/>
          <w:numId w:val="67"/>
        </w:numPr>
        <w:rPr>
          <w:rFonts w:ascii="Arial" w:cs="Arial" w:eastAsia="Arial" w:hAnsi="Arial"/>
          <w:sz w:val="16"/>
          <w:szCs w:val="16"/>
          <w:i w:val="1"/>
          <w:iCs w:val="1"/>
          <w:color w:val="auto"/>
        </w:rPr>
      </w:pPr>
      <w:r>
        <w:rPr>
          <w:rFonts w:ascii="Arial" w:cs="Arial" w:eastAsia="Arial" w:hAnsi="Arial"/>
          <w:sz w:val="16"/>
          <w:szCs w:val="16"/>
          <w:i w:val="1"/>
          <w:iCs w:val="1"/>
          <w:color w:val="auto"/>
        </w:rPr>
        <w:t>Number of shares beneficially owned and percentage ownership based on information contained in a Schedule 13G filed with the SEC on January 9, 2018 by JPMorgan Chase &amp; Co. with respect to beneficial ownership of Dover common stock as of December 31, 2017. JPMorgan Chase &amp; Co.’s address is 270 Park Avenue, New York, NY 10017.</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32406B"/>
        </w:rPr>
        <w:t>Stock Ownership Guidelines</w:t>
      </w:r>
    </w:p>
    <w:p>
      <w:pPr>
        <w:spacing w:after="0" w:line="106" w:lineRule="exact"/>
        <w:rPr>
          <w:sz w:val="20"/>
          <w:szCs w:val="20"/>
          <w:color w:val="auto"/>
        </w:rPr>
      </w:pPr>
    </w:p>
    <w:p>
      <w:pPr>
        <w:ind w:left="220" w:right="80"/>
        <w:spacing w:after="0" w:line="260" w:lineRule="auto"/>
        <w:rPr>
          <w:sz w:val="20"/>
          <w:szCs w:val="20"/>
          <w:color w:val="auto"/>
        </w:rPr>
      </w:pPr>
      <w:r>
        <w:rPr>
          <w:rFonts w:ascii="Arial" w:cs="Arial" w:eastAsia="Arial" w:hAnsi="Arial"/>
          <w:sz w:val="16"/>
          <w:szCs w:val="16"/>
          <w:color w:val="auto"/>
        </w:rPr>
        <w:t>Our Board has adopted a policy that directors are expected to hold at any time a number of shares at least equal to the aggregate number of shares they received as the stock portion of their annual retainer during the past five years, net of an assumed 30% tax rate.</w:t>
      </w:r>
    </w:p>
    <w:p>
      <w:pPr>
        <w:spacing w:after="0" w:line="154" w:lineRule="exact"/>
        <w:rPr>
          <w:sz w:val="20"/>
          <w:szCs w:val="20"/>
          <w:color w:val="auto"/>
        </w:rPr>
      </w:pPr>
    </w:p>
    <w:p>
      <w:pPr>
        <w:ind w:left="220" w:right="60"/>
        <w:spacing w:after="0" w:line="253" w:lineRule="auto"/>
        <w:rPr>
          <w:sz w:val="20"/>
          <w:szCs w:val="20"/>
          <w:color w:val="auto"/>
        </w:rPr>
      </w:pPr>
      <w:r>
        <w:rPr>
          <w:rFonts w:ascii="Arial" w:cs="Arial" w:eastAsia="Arial" w:hAnsi="Arial"/>
          <w:sz w:val="16"/>
          <w:szCs w:val="16"/>
          <w:color w:val="auto"/>
        </w:rPr>
        <w:t>Executive officers are expected to hold a number of shares with a value at least equal to a multiple of their annual salary. For a discussion of the executive officer share ownership guidelines, see “Executive Compensation —Compensation Discussion and Analysis — Other Compensation Programs and Policies.”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32406B"/>
        </w:rPr>
        <w:t>Section 16(a) Beneficial Ownership Reporting Compliance</w:t>
      </w:r>
    </w:p>
    <w:p>
      <w:pPr>
        <w:spacing w:after="0" w:line="92" w:lineRule="exact"/>
        <w:rPr>
          <w:sz w:val="20"/>
          <w:szCs w:val="20"/>
          <w:color w:val="auto"/>
        </w:rPr>
      </w:pPr>
    </w:p>
    <w:p>
      <w:pPr>
        <w:jc w:val="both"/>
        <w:ind w:left="220" w:right="160"/>
        <w:spacing w:after="0" w:line="253" w:lineRule="auto"/>
        <w:rPr>
          <w:sz w:val="20"/>
          <w:szCs w:val="20"/>
          <w:color w:val="auto"/>
        </w:rPr>
      </w:pPr>
      <w:r>
        <w:rPr>
          <w:rFonts w:ascii="Arial" w:cs="Arial" w:eastAsia="Arial" w:hAnsi="Arial"/>
          <w:sz w:val="16"/>
          <w:szCs w:val="16"/>
          <w:color w:val="auto"/>
        </w:rPr>
        <w:t>Section 16(a) of the Securities Exchange Act of 1934 (the “Exchange Act”) requires that our directors and certain of our officers file reports of ownership and changes of ownership of our common stock with the SEC and the NYSE. Based solely on copies of such reports provided to us, we believe that all directors and officers filed on a timely basis all such reports required of them with respect to stock ownership and changes in ownership during 2017.</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78</w:t>
      </w:r>
    </w:p>
    <w:p>
      <w:pPr>
        <w:sectPr>
          <w:pgSz w:w="11900" w:h="16838" w:orient="portrait"/>
          <w:cols w:equalWidth="0" w:num="1">
            <w:col w:w="11220"/>
          </w:cols>
          <w:pgMar w:left="240" w:top="459" w:right="4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76" w:lineRule="exact"/>
        <w:rPr>
          <w:sz w:val="20"/>
          <w:szCs w:val="20"/>
          <w:color w:val="auto"/>
        </w:rPr>
      </w:pPr>
    </w:p>
    <w:p>
      <w:pPr>
        <w:ind w:left="220"/>
        <w:spacing w:after="0"/>
        <w:rPr>
          <w:sz w:val="20"/>
          <w:szCs w:val="20"/>
          <w:color w:val="auto"/>
        </w:rPr>
      </w:pPr>
      <w:r>
        <w:rPr>
          <w:rFonts w:ascii="Arial" w:cs="Arial" w:eastAsia="Arial" w:hAnsi="Arial"/>
          <w:sz w:val="35"/>
          <w:szCs w:val="35"/>
          <w:b w:val="1"/>
          <w:bCs w:val="1"/>
          <w:color w:val="32406B"/>
        </w:rPr>
        <w:t>General Information About the Annual Meeting</w:t>
      </w:r>
    </w:p>
    <w:p>
      <w:pPr>
        <w:sectPr>
          <w:pgSz w:w="11900" w:h="16838" w:orient="portrait"/>
          <w:cols w:equalWidth="0" w:num="1">
            <w:col w:w="11220"/>
          </w:cols>
          <w:pgMar w:left="240" w:top="459" w:right="439" w:bottom="1440" w:gutter="0" w:footer="0" w:header="0"/>
        </w:sectPr>
      </w:pPr>
    </w:p>
    <w:p>
      <w:pPr>
        <w:spacing w:after="0" w:line="362" w:lineRule="exact"/>
        <w:rPr>
          <w:sz w:val="20"/>
          <w:szCs w:val="20"/>
          <w:color w:val="auto"/>
        </w:rPr>
      </w:pPr>
    </w:p>
    <w:p>
      <w:pPr>
        <w:ind w:left="220"/>
        <w:spacing w:after="0" w:line="250" w:lineRule="auto"/>
        <w:rPr>
          <w:sz w:val="20"/>
          <w:szCs w:val="20"/>
          <w:color w:val="auto"/>
        </w:rPr>
      </w:pPr>
      <w:r>
        <w:rPr>
          <w:rFonts w:ascii="Arial" w:cs="Arial" w:eastAsia="Arial" w:hAnsi="Arial"/>
          <w:sz w:val="16"/>
          <w:szCs w:val="16"/>
          <w:color w:val="auto"/>
        </w:rPr>
        <w:t>We are providing this Proxy Statement to our shareholders in connection with the solicitation of proxies by the Board for use at the Annual Meeting. We are mailing this Notice of Annual Meeting and Proxy Statement beginning on or about March 22, 2018.</w:t>
      </w:r>
    </w:p>
    <w:p>
      <w:pPr>
        <w:spacing w:after="0" w:line="185"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32406B"/>
        </w:rPr>
        <w:t>Record Date</w:t>
      </w:r>
    </w:p>
    <w:p>
      <w:pPr>
        <w:spacing w:after="0" w:line="106" w:lineRule="exact"/>
        <w:rPr>
          <w:sz w:val="20"/>
          <w:szCs w:val="20"/>
          <w:color w:val="auto"/>
        </w:rPr>
      </w:pPr>
    </w:p>
    <w:p>
      <w:pPr>
        <w:ind w:left="220" w:right="260"/>
        <w:spacing w:after="0" w:line="250" w:lineRule="auto"/>
        <w:rPr>
          <w:sz w:val="20"/>
          <w:szCs w:val="20"/>
          <w:color w:val="auto"/>
        </w:rPr>
      </w:pPr>
      <w:r>
        <w:rPr>
          <w:rFonts w:ascii="Arial" w:cs="Arial" w:eastAsia="Arial" w:hAnsi="Arial"/>
          <w:sz w:val="16"/>
          <w:szCs w:val="16"/>
          <w:color w:val="auto"/>
        </w:rPr>
        <w:t>The record date for determining shareholders eligible to vote at the Annual Meeting is March 12, 2018. As of the close of business on that date, we had outstanding 154,576,877 shares of common stock. Each share of common stock is entitled to one vote on each matter.</w:t>
      </w:r>
    </w:p>
    <w:p>
      <w:pPr>
        <w:spacing w:after="0" w:line="185"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32406B"/>
        </w:rPr>
        <w:t>Electronic Delivery of Proxy Materials</w:t>
      </w:r>
    </w:p>
    <w:p>
      <w:pPr>
        <w:spacing w:after="0" w:line="92" w:lineRule="exact"/>
        <w:rPr>
          <w:sz w:val="20"/>
          <w:szCs w:val="20"/>
          <w:color w:val="auto"/>
        </w:rPr>
      </w:pPr>
    </w:p>
    <w:p>
      <w:pPr>
        <w:ind w:left="220"/>
        <w:spacing w:after="0" w:line="247" w:lineRule="auto"/>
        <w:rPr>
          <w:sz w:val="20"/>
          <w:szCs w:val="20"/>
          <w:color w:val="auto"/>
        </w:rPr>
      </w:pPr>
      <w:r>
        <w:rPr>
          <w:rFonts w:ascii="Arial" w:cs="Arial" w:eastAsia="Arial" w:hAnsi="Arial"/>
          <w:sz w:val="16"/>
          <w:szCs w:val="16"/>
          <w:color w:val="auto"/>
        </w:rPr>
        <w:t>As permitted under SEC rules, we are making this Proxy Statement and our Annual Report on Form 10-K for the year ended December 31, 2017 (which is our Annual Report) available to shareholders electronically via the internet. We believe electronic delivery expedites receipt of our proxy materials by shareholders, while lowering the costs and reducing the environmental impact of the Annual Meeting. If you receive a notice of internet availability of proxy materials by mail, you will not receive a printed copy of the proxy materials by mail unless you specifically request them. Instead, the notice of internet availability will provide instructions as to how you may review the proxy materials and submit your voting instructions over the internet. If you receive the notice by mail and would like to receive a printed copy of the proxy materials, you should follow the instructions in the notice of internet availability for requesting a printed copy. In addition, the proxy card contains instructions for electing to receive proxy materials over the internet or by mail in future years.</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32406B"/>
        </w:rPr>
        <w:t>Shareholders of Record; Beneficial Owners</w:t>
      </w:r>
    </w:p>
    <w:p>
      <w:pPr>
        <w:spacing w:after="0" w:line="92" w:lineRule="exact"/>
        <w:rPr>
          <w:sz w:val="20"/>
          <w:szCs w:val="20"/>
          <w:color w:val="auto"/>
        </w:rPr>
      </w:pPr>
    </w:p>
    <w:p>
      <w:pPr>
        <w:ind w:left="220" w:right="40"/>
        <w:spacing w:after="0" w:line="250" w:lineRule="auto"/>
        <w:rPr>
          <w:sz w:val="20"/>
          <w:szCs w:val="20"/>
          <w:color w:val="auto"/>
        </w:rPr>
      </w:pPr>
      <w:r>
        <w:rPr>
          <w:rFonts w:ascii="Arial" w:cs="Arial" w:eastAsia="Arial" w:hAnsi="Arial"/>
          <w:sz w:val="16"/>
          <w:szCs w:val="16"/>
          <w:color w:val="auto"/>
        </w:rPr>
        <w:t>Most holders of our common stock hold their shares beneficially through a broker, bank or other nominee rather than of record directly in their own name. As summarized below, there are some differences in the way to vote shares held of record and those owned beneficially.</w:t>
      </w:r>
    </w:p>
    <w:p>
      <w:pPr>
        <w:spacing w:after="0" w:line="178" w:lineRule="exact"/>
        <w:rPr>
          <w:sz w:val="20"/>
          <w:szCs w:val="20"/>
          <w:color w:val="auto"/>
        </w:rPr>
      </w:pPr>
    </w:p>
    <w:p>
      <w:pPr>
        <w:ind w:left="220"/>
        <w:spacing w:after="0" w:line="250" w:lineRule="auto"/>
        <w:rPr>
          <w:sz w:val="20"/>
          <w:szCs w:val="20"/>
          <w:color w:val="auto"/>
        </w:rPr>
      </w:pPr>
      <w:r>
        <w:rPr>
          <w:rFonts w:ascii="Arial" w:cs="Arial" w:eastAsia="Arial" w:hAnsi="Arial"/>
          <w:sz w:val="16"/>
          <w:szCs w:val="16"/>
          <w:color w:val="auto"/>
        </w:rPr>
        <w:t>If your shares are registered directly in your name with our transfer agent, you are considered the shareholder of record of those shares, and the notice of internet availability or proxy materials are being sent directly to you. As a shareholder of record, you have the right to</w:t>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grant your voting proxy directly to the persons named as proxy holders or to vote in person at the Annual Meeting. If you received or requested printed copies of the proxy materials, Dover has enclosed a proxy card for you to use. You may also submit your proxy on the internet or by telephone as described in the proxy card.</w:t>
      </w:r>
    </w:p>
    <w:p>
      <w:pPr>
        <w:spacing w:after="0" w:line="179" w:lineRule="exact"/>
        <w:rPr>
          <w:sz w:val="20"/>
          <w:szCs w:val="20"/>
          <w:color w:val="auto"/>
        </w:rPr>
      </w:pPr>
    </w:p>
    <w:p>
      <w:pPr>
        <w:ind w:right="20"/>
        <w:spacing w:after="0" w:line="247" w:lineRule="auto"/>
        <w:rPr>
          <w:sz w:val="20"/>
          <w:szCs w:val="20"/>
          <w:color w:val="auto"/>
        </w:rPr>
      </w:pPr>
      <w:r>
        <w:rPr>
          <w:rFonts w:ascii="Arial" w:cs="Arial" w:eastAsia="Arial" w:hAnsi="Arial"/>
          <w:sz w:val="16"/>
          <w:szCs w:val="16"/>
          <w:color w:val="auto"/>
        </w:rPr>
        <w:t>If your shares are held in a brokerage account or by a bank or other nominee, you are considered the beneficial owner of the shares held in “street name,” and these proxy materials are being forwarded to you by your broker or nominee who is considered the shareholder of record of those shares. As the beneficial owner, you generally have the right to direct your broker on how to vote and are also invited to attend the Annual Meeting. However, since you are not the shareholder of record, you may not vote those shares in person at the Annual Meeting unless you have a proxy, executed in your favor, from the holder of record of your shares. Your broker or nominee has enclosed a voting instruction card for you to use in directing your broker or nominee as to how to vote your shares. We strongly encourage you to instruct your broker or nominee how you wish to vote.</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32406B"/>
        </w:rPr>
        <w:t>Vote Required; Abstentions and Broker Non-Votes; Quorum</w:t>
      </w:r>
    </w:p>
    <w:p>
      <w:pPr>
        <w:spacing w:after="0" w:line="92"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For Proposal 1, a majority of the votes cast at the Annual Meeting is required to elect directors. This means that the number of votes cast “FOR” a director must exceed the number of votes cast “AGAINST” that director in order for that director to be elected. Our organizational documents do not provide for cumulative voting.</w:t>
      </w:r>
    </w:p>
    <w:p>
      <w:pPr>
        <w:spacing w:after="0" w:line="165" w:lineRule="exact"/>
        <w:rPr>
          <w:sz w:val="20"/>
          <w:szCs w:val="20"/>
          <w:color w:val="auto"/>
        </w:rPr>
      </w:pPr>
    </w:p>
    <w:p>
      <w:pPr>
        <w:jc w:val="both"/>
        <w:ind w:right="180"/>
        <w:spacing w:after="0" w:line="260" w:lineRule="auto"/>
        <w:rPr>
          <w:sz w:val="20"/>
          <w:szCs w:val="20"/>
          <w:color w:val="auto"/>
        </w:rPr>
      </w:pPr>
      <w:r>
        <w:rPr>
          <w:rFonts w:ascii="Arial" w:cs="Arial" w:eastAsia="Arial" w:hAnsi="Arial"/>
          <w:sz w:val="16"/>
          <w:szCs w:val="16"/>
          <w:color w:val="auto"/>
        </w:rPr>
        <w:t>Proposal 2 will require the affirmative vote of at least a majority of shares present in person or by proxy and entitled to vote at the Annual Meeting.</w:t>
      </w:r>
    </w:p>
    <w:p>
      <w:pPr>
        <w:spacing w:after="0" w:line="168"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Proposal 3 is a nonbinding, advisory resolution so its ultimate adoption is at the discretion of the Board. The affirmative vote of a majority of shares present in person or by proxy and entitled to vote at the Annual Meeting will be deemed to be approval by the shareholders of Proposal 3.</w:t>
      </w:r>
    </w:p>
    <w:p>
      <w:pPr>
        <w:spacing w:after="0" w:line="164" w:lineRule="exact"/>
        <w:rPr>
          <w:sz w:val="20"/>
          <w:szCs w:val="20"/>
          <w:color w:val="auto"/>
        </w:rPr>
      </w:pPr>
    </w:p>
    <w:p>
      <w:pPr>
        <w:ind w:right="280"/>
        <w:spacing w:after="0" w:line="260" w:lineRule="auto"/>
        <w:rPr>
          <w:sz w:val="20"/>
          <w:szCs w:val="20"/>
          <w:color w:val="auto"/>
        </w:rPr>
      </w:pPr>
      <w:r>
        <w:rPr>
          <w:rFonts w:ascii="Arial" w:cs="Arial" w:eastAsia="Arial" w:hAnsi="Arial"/>
          <w:sz w:val="16"/>
          <w:szCs w:val="16"/>
          <w:color w:val="auto"/>
        </w:rPr>
        <w:t>Proposals 4 and 5 will require the affirmative vote of at least 80% of our outstanding shares of common stock.</w:t>
      </w:r>
    </w:p>
    <w:p>
      <w:pPr>
        <w:spacing w:after="0" w:line="154"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If you are a shareholder of record and you sign and return your proxy card or vote electronically without</w:t>
      </w:r>
    </w:p>
    <w:p>
      <w:pPr>
        <w:spacing w:after="0" w:line="200" w:lineRule="exact"/>
        <w:rPr>
          <w:sz w:val="20"/>
          <w:szCs w:val="20"/>
          <w:color w:val="auto"/>
        </w:rPr>
      </w:pPr>
    </w:p>
    <w:p>
      <w:pPr>
        <w:sectPr>
          <w:pgSz w:w="11900" w:h="16838" w:orient="portrait"/>
          <w:cols w:equalWidth="0" w:num="2">
            <w:col w:w="5480" w:space="340"/>
            <w:col w:w="5400"/>
          </w:cols>
          <w:pgMar w:left="240" w:top="459" w:right="439" w:bottom="1440" w:gutter="0" w:footer="0" w:header="0"/>
          <w:type w:val="continuous"/>
        </w:sectPr>
      </w:pPr>
    </w:p>
    <w:p>
      <w:pPr>
        <w:spacing w:after="0" w:line="56" w:lineRule="exact"/>
        <w:rPr>
          <w:sz w:val="20"/>
          <w:szCs w:val="20"/>
          <w:color w:val="auto"/>
        </w:rPr>
      </w:pPr>
    </w:p>
    <w:p>
      <w:pPr>
        <w:ind w:left="7380"/>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79</w:t>
      </w:r>
    </w:p>
    <w:p>
      <w:pPr>
        <w:sectPr>
          <w:pgSz w:w="11900" w:h="16838" w:orient="portrait"/>
          <w:cols w:equalWidth="0" w:num="1">
            <w:col w:w="11220"/>
          </w:cols>
          <w:pgMar w:left="240" w:top="459" w:right="439" w:bottom="1440" w:gutter="0" w:footer="0" w:header="0"/>
          <w:type w:val="continuous"/>
        </w:sectPr>
      </w:pPr>
    </w:p>
    <w:bookmarkStart w:id="84" w:name="page85"/>
    <w:bookmarkEnd w:id="8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GENERAL INFORMATION ABOUT THE ANNUAL MEETING</w:t>
      </w:r>
    </w:p>
    <w:p>
      <w:pPr>
        <w:spacing w:after="0" w:line="227" w:lineRule="exact"/>
        <w:rPr>
          <w:sz w:val="20"/>
          <w:szCs w:val="20"/>
          <w:color w:val="auto"/>
        </w:rPr>
      </w:pPr>
    </w:p>
    <w:p>
      <w:pPr>
        <w:ind w:left="220" w:right="80"/>
        <w:spacing w:after="0" w:line="260" w:lineRule="auto"/>
        <w:rPr>
          <w:sz w:val="20"/>
          <w:szCs w:val="20"/>
          <w:color w:val="auto"/>
        </w:rPr>
      </w:pPr>
      <w:r>
        <w:rPr>
          <w:rFonts w:ascii="Arial" w:cs="Arial" w:eastAsia="Arial" w:hAnsi="Arial"/>
          <w:sz w:val="16"/>
          <w:szCs w:val="16"/>
          <w:color w:val="auto"/>
        </w:rPr>
        <w:t>making any specific selection, then your shares will be voted FOR all director nominees listed in Proposal 1 and FOR Proposals 2, 3, 4 and 5.</w:t>
      </w:r>
    </w:p>
    <w:p>
      <w:pPr>
        <w:spacing w:after="0" w:line="168" w:lineRule="exact"/>
        <w:rPr>
          <w:sz w:val="20"/>
          <w:szCs w:val="20"/>
          <w:color w:val="auto"/>
        </w:rPr>
      </w:pPr>
    </w:p>
    <w:p>
      <w:pPr>
        <w:ind w:left="220"/>
        <w:spacing w:after="0" w:line="250" w:lineRule="auto"/>
        <w:rPr>
          <w:sz w:val="20"/>
          <w:szCs w:val="20"/>
          <w:color w:val="auto"/>
        </w:rPr>
      </w:pPr>
      <w:r>
        <w:rPr>
          <w:rFonts w:ascii="Arial" w:cs="Arial" w:eastAsia="Arial" w:hAnsi="Arial"/>
          <w:sz w:val="16"/>
          <w:szCs w:val="16"/>
          <w:color w:val="auto"/>
        </w:rPr>
        <w:t>If you specify that you wish to “ABSTAIN” from voting on an item, then your shares will not be voted on that particular item. Abstentions will not affect the outcome of the vote on Proposal 1. However, they will have the same effect as a vote against Proposals 2, 3, 4 and 5.</w:t>
      </w:r>
    </w:p>
    <w:p>
      <w:pPr>
        <w:spacing w:after="0" w:line="164" w:lineRule="exact"/>
        <w:rPr>
          <w:sz w:val="20"/>
          <w:szCs w:val="20"/>
          <w:color w:val="auto"/>
        </w:rPr>
      </w:pPr>
    </w:p>
    <w:p>
      <w:pPr>
        <w:ind w:left="220" w:right="20"/>
        <w:spacing w:after="0" w:line="248" w:lineRule="auto"/>
        <w:rPr>
          <w:sz w:val="20"/>
          <w:szCs w:val="20"/>
          <w:color w:val="auto"/>
        </w:rPr>
      </w:pPr>
      <w:r>
        <w:rPr>
          <w:rFonts w:ascii="Arial" w:cs="Arial" w:eastAsia="Arial" w:hAnsi="Arial"/>
          <w:sz w:val="16"/>
          <w:szCs w:val="16"/>
          <w:color w:val="auto"/>
        </w:rPr>
        <w:t>If you are a beneficial owner and hold your shares through a broker or other nominee and do not provide your broker or nominee with voting instructions, the broker or nominee will have discretionary authority to vote your shares on routine matters only and will not vote your shares on non-routine matters. This is generally referred to as a “broker non-vote.” Only Proposal 2 will be considered a routine matter for the Annual Meeting. Accordingly, broker non-votes will not affect the outcome of the vote on Proposal 1 but will have the same effect as a vote against Proposals 3, 4 and 5 as they will be counted as being present.</w:t>
      </w:r>
    </w:p>
    <w:p>
      <w:pPr>
        <w:spacing w:after="0" w:line="164" w:lineRule="exact"/>
        <w:rPr>
          <w:sz w:val="20"/>
          <w:szCs w:val="20"/>
          <w:color w:val="auto"/>
        </w:rPr>
      </w:pPr>
    </w:p>
    <w:p>
      <w:pPr>
        <w:ind w:left="220"/>
        <w:spacing w:after="0" w:line="250" w:lineRule="auto"/>
        <w:rPr>
          <w:sz w:val="20"/>
          <w:szCs w:val="20"/>
          <w:color w:val="auto"/>
        </w:rPr>
      </w:pPr>
      <w:r>
        <w:rPr>
          <w:rFonts w:ascii="Arial" w:cs="Arial" w:eastAsia="Arial" w:hAnsi="Arial"/>
          <w:sz w:val="16"/>
          <w:szCs w:val="16"/>
          <w:color w:val="auto"/>
        </w:rPr>
        <w:t>For purposes of the Annual Meeting, there will be a quorum if the holders of a majority of the outstanding shares of our common stock are present in person or by proxy. Abstentions and broker non-votes will be counted for purposes of determining if a quorum is present.</w:t>
      </w:r>
    </w:p>
    <w:p>
      <w:pPr>
        <w:spacing w:after="0" w:line="185"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32406B"/>
        </w:rPr>
        <w:t>Voting Procedures</w:t>
      </w:r>
    </w:p>
    <w:p>
      <w:pPr>
        <w:spacing w:after="0" w:line="106" w:lineRule="exact"/>
        <w:rPr>
          <w:sz w:val="20"/>
          <w:szCs w:val="20"/>
          <w:color w:val="auto"/>
        </w:rPr>
      </w:pPr>
    </w:p>
    <w:p>
      <w:pPr>
        <w:ind w:left="220" w:right="60"/>
        <w:spacing w:after="0" w:line="248" w:lineRule="auto"/>
        <w:rPr>
          <w:sz w:val="20"/>
          <w:szCs w:val="20"/>
          <w:color w:val="auto"/>
        </w:rPr>
      </w:pPr>
      <w:r>
        <w:rPr>
          <w:rFonts w:ascii="Arial" w:cs="Arial" w:eastAsia="Arial" w:hAnsi="Arial"/>
          <w:sz w:val="16"/>
          <w:szCs w:val="16"/>
          <w:color w:val="auto"/>
        </w:rPr>
        <w:t>If you are a shareholder of record, you may vote in person at the Annual Meeting or submit your proxy or voting instruction form over the internet, by telephone or by mail by following the instructions provided in our notice of internet availability, in the proxy materials or in the voting instruction form. If you hold your shares beneficially in “street name” through a broker or other nominee, you must follow the instructions provided by your broker or nominee to vote your shares.</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32406B"/>
        </w:rPr>
        <w:t>Revoking Your Proxy/Changing Your Voting Instructions</w:t>
      </w:r>
    </w:p>
    <w:p>
      <w:pPr>
        <w:spacing w:after="0" w:line="92" w:lineRule="exact"/>
        <w:rPr>
          <w:sz w:val="20"/>
          <w:szCs w:val="20"/>
          <w:color w:val="auto"/>
        </w:rPr>
      </w:pPr>
    </w:p>
    <w:p>
      <w:pPr>
        <w:ind w:left="220" w:right="60"/>
        <w:spacing w:after="0" w:line="249" w:lineRule="auto"/>
        <w:rPr>
          <w:sz w:val="20"/>
          <w:szCs w:val="20"/>
          <w:color w:val="auto"/>
        </w:rPr>
      </w:pPr>
      <w:r>
        <w:rPr>
          <w:rFonts w:ascii="Arial" w:cs="Arial" w:eastAsia="Arial" w:hAnsi="Arial"/>
          <w:sz w:val="16"/>
          <w:szCs w:val="16"/>
          <w:color w:val="auto"/>
        </w:rPr>
        <w:t>If you are a shareholder of record, whether you give your proxy over the internet, by telephone or by mail, you may revoke it at any time before it is exercised. You may submit a new proxy by using the internet or the telephone or by mailing a new proxy card bearing a later date so long as it is received before the Annual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Meeting. You may also revoke your proxy by attending the Annual Meeting and voting in person, although attendance at the Annual Meeting will not, by itself, revoke your proxy. If you hold your shares beneficially in “street name” through a broker or other nominee, you must follow the instructions provided by your broker or nominee as to how you may change your 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-1515745</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32406B"/>
        </w:rPr>
        <w:t>Shareholders Sharing the Same Address</w:t>
      </w:r>
    </w:p>
    <w:p>
      <w:pPr>
        <w:spacing w:after="0" w:line="106"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SEC rules permit us to deliver one copy of the Proxy Statement or a notice of internet availability of the Proxy Statement to multiple shareholders of record who share the same address and have the same last name, unless we have received contrary instructions from one or more of such shareholders. This delivery method, called “householding,” reduces our printing and mailing costs. Shareholders who participate in householding will continue to receive or have internet access to separate proxy cards.</w:t>
      </w:r>
    </w:p>
    <w:p>
      <w:pPr>
        <w:spacing w:after="0" w:line="167"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If you are a shareholder of record subject to householding and wish to receive a separate copy of the Proxy Statement or notice of internet availability of the proxy materials, now or in the future, at the same address or if you are currently receiving multiple copies of such materials at the same address and wish to receive only a single copy, please write to or call the Corporate Secretary, Dover Corporation, 3005 Highland Parkway, Downers Grove, Illinois 60515, telephone: (630) 541-1540.</w:t>
      </w:r>
    </w:p>
    <w:p>
      <w:pPr>
        <w:spacing w:after="0" w:line="167"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Beneficial owners sharing an address who are currently receiving multiple copies of the proxy materials or notice of internet availability of the proxy materials and wish to receive only a single copy in the future, or who currently receive a single copy and wish to receive separate copies in the future, should contact their bank, broker or other holder of record to request that only a single copy or separate copies, as the case may be, be delivered to all shareholders at the shared address in the future.</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32406B"/>
        </w:rPr>
        <w:t>Proxy Solicitation Costs</w:t>
      </w:r>
    </w:p>
    <w:p>
      <w:pPr>
        <w:spacing w:after="0" w:line="106" w:lineRule="exact"/>
        <w:rPr>
          <w:sz w:val="20"/>
          <w:szCs w:val="20"/>
          <w:color w:val="auto"/>
        </w:rPr>
      </w:pPr>
    </w:p>
    <w:p>
      <w:pPr>
        <w:ind w:right="100"/>
        <w:spacing w:after="0" w:line="249" w:lineRule="auto"/>
        <w:rPr>
          <w:sz w:val="20"/>
          <w:szCs w:val="20"/>
          <w:color w:val="auto"/>
        </w:rPr>
      </w:pPr>
      <w:r>
        <w:rPr>
          <w:rFonts w:ascii="Arial" w:cs="Arial" w:eastAsia="Arial" w:hAnsi="Arial"/>
          <w:sz w:val="16"/>
          <w:szCs w:val="16"/>
          <w:color w:val="auto"/>
        </w:rPr>
        <w:t>We will pay the reasonable and actual costs of printing, mailing and soliciting proxies, but we will not pay a fee to any of our officers or employees or to officers or employees of any of our subsidiaries as compensation for soliciting proxies. We have retained Morrow Sodali, LLC to solicit brokerage houses and other custodians,</w:t>
      </w:r>
    </w:p>
    <w:p>
      <w:pPr>
        <w:spacing w:after="0" w:line="25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80</w:t>
      </w:r>
    </w:p>
    <w:p>
      <w:pPr>
        <w:sectPr>
          <w:pgSz w:w="11900" w:h="16838" w:orient="portrait"/>
          <w:cols w:equalWidth="0" w:num="2">
            <w:col w:w="5440" w:space="380"/>
            <w:col w:w="5400"/>
          </w:cols>
          <w:pgMar w:left="240" w:top="459" w:right="4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GENERAL INFORMATION ABOUT THE ANNUAL MEETING</w:t>
      </w:r>
    </w:p>
    <w:p>
      <w:pPr>
        <w:spacing w:after="0" w:line="227" w:lineRule="exact"/>
        <w:rPr>
          <w:sz w:val="20"/>
          <w:szCs w:val="20"/>
          <w:color w:val="auto"/>
        </w:rPr>
      </w:pPr>
    </w:p>
    <w:p>
      <w:pPr>
        <w:ind w:left="220" w:right="40"/>
        <w:spacing w:after="0" w:line="253" w:lineRule="auto"/>
        <w:rPr>
          <w:sz w:val="20"/>
          <w:szCs w:val="20"/>
          <w:color w:val="auto"/>
        </w:rPr>
      </w:pPr>
      <w:r>
        <w:rPr>
          <w:rFonts w:ascii="Arial" w:cs="Arial" w:eastAsia="Arial" w:hAnsi="Arial"/>
          <w:sz w:val="16"/>
          <w:szCs w:val="16"/>
          <w:color w:val="auto"/>
        </w:rPr>
        <w:t>nominees or fiduciaries, and to send proxies and proxy materials to the beneficial owners of such shares, for a fee of approximately $12,000 plus expenses.</w:t>
      </w:r>
    </w:p>
    <w:p>
      <w:pPr>
        <w:spacing w:after="0" w:line="181" w:lineRule="exact"/>
        <w:rPr>
          <w:sz w:val="20"/>
          <w:szCs w:val="20"/>
          <w:color w:val="auto"/>
        </w:rPr>
      </w:pPr>
    </w:p>
    <w:p>
      <w:pPr>
        <w:ind w:left="220" w:right="220"/>
        <w:spacing w:after="0" w:line="286" w:lineRule="auto"/>
        <w:rPr>
          <w:sz w:val="20"/>
          <w:szCs w:val="20"/>
          <w:color w:val="auto"/>
        </w:rPr>
      </w:pPr>
      <w:r>
        <w:rPr>
          <w:rFonts w:ascii="Arial" w:cs="Arial" w:eastAsia="Arial" w:hAnsi="Arial"/>
          <w:sz w:val="16"/>
          <w:szCs w:val="16"/>
          <w:b w:val="1"/>
          <w:bCs w:val="1"/>
          <w:color w:val="32406B"/>
        </w:rPr>
        <w:t>Shareholder Proposals and Director Nominations for 2019 Annual Meeting</w:t>
      </w:r>
    </w:p>
    <w:p>
      <w:pPr>
        <w:spacing w:after="0" w:line="40" w:lineRule="exact"/>
        <w:rPr>
          <w:sz w:val="20"/>
          <w:szCs w:val="20"/>
          <w:color w:val="auto"/>
        </w:rPr>
      </w:pPr>
    </w:p>
    <w:p>
      <w:pPr>
        <w:ind w:left="220"/>
        <w:spacing w:after="0" w:line="249" w:lineRule="auto"/>
        <w:rPr>
          <w:sz w:val="20"/>
          <w:szCs w:val="20"/>
          <w:color w:val="auto"/>
        </w:rPr>
      </w:pPr>
      <w:r>
        <w:rPr>
          <w:rFonts w:ascii="Arial" w:cs="Arial" w:eastAsia="Arial" w:hAnsi="Arial"/>
          <w:sz w:val="16"/>
          <w:szCs w:val="16"/>
          <w:color w:val="auto"/>
        </w:rPr>
        <w:t>In order for shareholder proposals to be included in our proxy statement for the Annual Meeting of Shareholders to be held in 2019 (the “2019 Annual Meeting”), they must be received by our Corporate Secretary at our principal executive offices, 3005 Highland Parkway, Downers Grove, Illinois, 60515, no later than the close of business on November 22, 2018.</w:t>
      </w:r>
    </w:p>
    <w:p>
      <w:pPr>
        <w:spacing w:after="0" w:line="165" w:lineRule="exact"/>
        <w:rPr>
          <w:sz w:val="20"/>
          <w:szCs w:val="20"/>
          <w:color w:val="auto"/>
        </w:rPr>
      </w:pPr>
    </w:p>
    <w:p>
      <w:pPr>
        <w:ind w:left="220" w:right="280"/>
        <w:spacing w:after="0" w:line="250" w:lineRule="auto"/>
        <w:rPr>
          <w:sz w:val="20"/>
          <w:szCs w:val="20"/>
          <w:color w:val="auto"/>
        </w:rPr>
      </w:pPr>
      <w:r>
        <w:rPr>
          <w:rFonts w:ascii="Arial" w:cs="Arial" w:eastAsia="Arial" w:hAnsi="Arial"/>
          <w:sz w:val="16"/>
          <w:szCs w:val="16"/>
          <w:color w:val="auto"/>
        </w:rPr>
        <w:t>In 2016, we adopted a proxy access right to permit a shareholder or a group of up to 20 shareholders owning 3% or more of our outstanding common stock continuously for at least three years to nominate and include in our proxy materials director candidates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constituting up to the greater of two individuals or 20% of the Board, provided that the shareholder(s) and the nominee(s) satisfy the requirements specified in our by-laws. In order to be timely, notice of proxy access director nominees must be received by our Corporate Secretary at our principal executive offices at the address above no earlier than October 23, 2018 and no later than the close of business on November 22, 2018 being, respectively, 150 days and 120 days prior to the first anniversary of the date we first distributed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-1754505</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59"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All other shareholder nominations and proposals, in order to be voted on at the 2019 Annual Meeting, must be received by us no earlier than January 4, 2019, and no later than the close of business on Sunday, February 3, 2019 being, respectively, 120 days and 90 days prior to the date of the first anniversary of the 2018 Annual Meeting.</w:t>
      </w:r>
    </w:p>
    <w:p>
      <w:pPr>
        <w:spacing w:after="0" w:line="673" w:lineRule="exact"/>
        <w:rPr>
          <w:sz w:val="20"/>
          <w:szCs w:val="20"/>
          <w:color w:val="auto"/>
        </w:rPr>
      </w:pPr>
    </w:p>
    <w:p>
      <w:pPr>
        <w:sectPr>
          <w:pgSz w:w="11900" w:h="16838" w:orient="portrait"/>
          <w:cols w:equalWidth="0" w:num="2">
            <w:col w:w="5480" w:space="340"/>
            <w:col w:w="5400"/>
          </w:cols>
          <w:pgMar w:left="240" w:top="459" w:right="439" w:bottom="1440" w:gutter="0" w:footer="0" w:header="0"/>
        </w:sectPr>
      </w:pPr>
    </w:p>
    <w:p>
      <w:pPr>
        <w:spacing w:after="0" w:line="146"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32406B"/>
        </w:rPr>
        <w:t>Where You Can Find Additional Information</w:t>
      </w:r>
    </w:p>
    <w:p>
      <w:pPr>
        <w:spacing w:after="0" w:line="92" w:lineRule="exact"/>
        <w:rPr>
          <w:sz w:val="20"/>
          <w:szCs w:val="20"/>
          <w:color w:val="auto"/>
        </w:rPr>
      </w:pPr>
    </w:p>
    <w:p>
      <w:pPr>
        <w:ind w:left="220" w:right="700"/>
        <w:spacing w:after="0" w:line="260" w:lineRule="auto"/>
        <w:rPr>
          <w:sz w:val="20"/>
          <w:szCs w:val="20"/>
          <w:color w:val="auto"/>
        </w:rPr>
      </w:pPr>
      <w:r>
        <w:rPr>
          <w:rFonts w:ascii="Arial" w:cs="Arial" w:eastAsia="Arial" w:hAnsi="Arial"/>
          <w:sz w:val="16"/>
          <w:szCs w:val="16"/>
          <w:color w:val="auto"/>
        </w:rPr>
        <w:t>Our website is located at www.dovercorporation.com. Although the information contained on or connected to our website is not part of this Proxy Statement, you can view additional information on our website, such as:</w:t>
      </w:r>
    </w:p>
    <w:p>
      <w:pPr>
        <w:spacing w:after="0" w:line="195" w:lineRule="exact"/>
        <w:rPr>
          <w:sz w:val="20"/>
          <w:szCs w:val="20"/>
          <w:color w:val="auto"/>
        </w:rPr>
      </w:pPr>
    </w:p>
    <w:p>
      <w:pPr>
        <w:ind w:left="860" w:hanging="326"/>
        <w:spacing w:after="0"/>
        <w:tabs>
          <w:tab w:leader="none" w:pos="8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Charters of our Board committees</w:t>
      </w:r>
    </w:p>
    <w:p>
      <w:pPr>
        <w:spacing w:after="0" w:line="126" w:lineRule="exact"/>
        <w:rPr>
          <w:rFonts w:ascii="Arial" w:cs="Arial" w:eastAsia="Arial" w:hAnsi="Arial"/>
          <w:sz w:val="16"/>
          <w:szCs w:val="16"/>
          <w:color w:val="auto"/>
        </w:rPr>
      </w:pPr>
    </w:p>
    <w:p>
      <w:pPr>
        <w:ind w:left="860" w:hanging="326"/>
        <w:spacing w:after="0"/>
        <w:tabs>
          <w:tab w:leader="none" w:pos="8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Corporate Governance Guidelines</w:t>
      </w:r>
    </w:p>
    <w:p>
      <w:pPr>
        <w:spacing w:after="0" w:line="85" w:lineRule="exact"/>
        <w:rPr>
          <w:rFonts w:ascii="Arial" w:cs="Arial" w:eastAsia="Arial" w:hAnsi="Arial"/>
          <w:sz w:val="16"/>
          <w:szCs w:val="16"/>
          <w:color w:val="auto"/>
        </w:rPr>
      </w:pPr>
    </w:p>
    <w:p>
      <w:pPr>
        <w:ind w:left="860" w:hanging="326"/>
        <w:spacing w:after="0"/>
        <w:tabs>
          <w:tab w:leader="none" w:pos="8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Code of Business Conduct &amp; Ethics</w:t>
      </w:r>
    </w:p>
    <w:p>
      <w:pPr>
        <w:spacing w:after="0" w:line="85" w:lineRule="exact"/>
        <w:rPr>
          <w:rFonts w:ascii="Arial" w:cs="Arial" w:eastAsia="Arial" w:hAnsi="Arial"/>
          <w:sz w:val="16"/>
          <w:szCs w:val="16"/>
          <w:color w:val="auto"/>
        </w:rPr>
      </w:pPr>
    </w:p>
    <w:p>
      <w:pPr>
        <w:ind w:left="860" w:hanging="326"/>
        <w:spacing w:after="0"/>
        <w:tabs>
          <w:tab w:leader="none" w:pos="8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Related Person Transactions Policy</w:t>
      </w:r>
    </w:p>
    <w:p>
      <w:pPr>
        <w:spacing w:after="0" w:line="85" w:lineRule="exact"/>
        <w:rPr>
          <w:rFonts w:ascii="Arial" w:cs="Arial" w:eastAsia="Arial" w:hAnsi="Arial"/>
          <w:sz w:val="16"/>
          <w:szCs w:val="16"/>
          <w:color w:val="auto"/>
        </w:rPr>
      </w:pPr>
    </w:p>
    <w:p>
      <w:pPr>
        <w:ind w:left="860" w:hanging="326"/>
        <w:spacing w:after="0"/>
        <w:tabs>
          <w:tab w:leader="none" w:pos="8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Standards for Director Independence</w:t>
      </w:r>
    </w:p>
    <w:p>
      <w:pPr>
        <w:spacing w:after="0" w:line="85" w:lineRule="exact"/>
        <w:rPr>
          <w:rFonts w:ascii="Arial" w:cs="Arial" w:eastAsia="Arial" w:hAnsi="Arial"/>
          <w:sz w:val="16"/>
          <w:szCs w:val="16"/>
          <w:color w:val="auto"/>
        </w:rPr>
      </w:pPr>
    </w:p>
    <w:p>
      <w:pPr>
        <w:ind w:left="860" w:right="100" w:hanging="326"/>
        <w:spacing w:after="0" w:line="260" w:lineRule="auto"/>
        <w:tabs>
          <w:tab w:leader="none" w:pos="8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Other governance materials and reports that we file with the SEC. Copies of these documents also may be obtained free of charge by writing or calling the Corporate Secretary, Dover Corporation, 3005 Highland Parkway, Downers Grove, Illinois 60515, telephone: (630) 541-1540</w:t>
      </w:r>
    </w:p>
    <w:p>
      <w:pPr>
        <w:spacing w:after="0" w:line="161"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32406B"/>
        </w:rPr>
        <w:t>Caution Concerning Forward-Looking Statements and Non-GAAP Measures</w:t>
      </w:r>
    </w:p>
    <w:p>
      <w:pPr>
        <w:spacing w:after="0" w:line="9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This proxy statement contains forward-looking statements that are inherently subject to uncertainties and risks. We</w:t>
      </w:r>
    </w:p>
    <w:p>
      <w:pPr>
        <w:spacing w:after="0" w:line="5" w:lineRule="exact"/>
        <w:rPr>
          <w:sz w:val="20"/>
          <w:szCs w:val="20"/>
          <w:color w:val="auto"/>
        </w:rPr>
      </w:pPr>
    </w:p>
    <w:p>
      <w:pPr>
        <w:ind w:left="220" w:right="60"/>
        <w:spacing w:after="0" w:line="250" w:lineRule="auto"/>
        <w:rPr>
          <w:sz w:val="20"/>
          <w:szCs w:val="20"/>
          <w:color w:val="auto"/>
        </w:rPr>
      </w:pPr>
      <w:r>
        <w:rPr>
          <w:rFonts w:ascii="Arial" w:cs="Arial" w:eastAsia="Arial" w:hAnsi="Arial"/>
          <w:sz w:val="16"/>
          <w:szCs w:val="16"/>
          <w:color w:val="auto"/>
        </w:rPr>
        <w:t>caution investors to be guided in their analysis of Dover by referring to the documents we file with the SEC, including our Annual Report on Form 10-K for 2017, for a list of factors that could cause our results to differ from those anticipated in any such forward-looking statements. This proxy statement also contains non-GAAP financial information. Reconciliations of non-GAAP measures are included in our filings with the SEC and are available on the Investor Relations section of our website.</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2018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81</w:t>
      </w:r>
    </w:p>
    <w:p>
      <w:pPr>
        <w:sectPr>
          <w:pgSz w:w="11900" w:h="16838" w:orient="portrait"/>
          <w:cols w:equalWidth="0" w:num="1">
            <w:col w:w="11220"/>
          </w:cols>
          <w:pgMar w:left="240" w:top="459" w:right="439" w:bottom="1440" w:gutter="0" w:footer="0" w:header="0"/>
          <w:type w:val="continuous"/>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Appendix A</w:t>
      </w:r>
    </w:p>
    <w:p>
      <w:pPr>
        <w:spacing w:after="0" w:line="216" w:lineRule="exact"/>
        <w:rPr>
          <w:sz w:val="20"/>
          <w:szCs w:val="20"/>
          <w:color w:val="auto"/>
        </w:rPr>
      </w:pPr>
    </w:p>
    <w:p>
      <w:pPr>
        <w:jc w:val="center"/>
        <w:ind w:left="440" w:right="2300"/>
        <w:spacing w:after="0" w:line="244" w:lineRule="auto"/>
        <w:rPr>
          <w:sz w:val="20"/>
          <w:szCs w:val="20"/>
          <w:color w:val="auto"/>
        </w:rPr>
      </w:pPr>
      <w:r>
        <w:rPr>
          <w:rFonts w:ascii="Arial" w:cs="Arial" w:eastAsia="Arial" w:hAnsi="Arial"/>
          <w:sz w:val="18"/>
          <w:szCs w:val="18"/>
          <w:b w:val="1"/>
          <w:bCs w:val="1"/>
          <w:u w:val="single" w:color="auto"/>
          <w:color w:val="auto"/>
        </w:rPr>
        <w:t>PROPOSED AMENDMENT TO ARTICLE FIFTEENTH OF RESTATED CERTIFICATE OF INCORPORATION TO ELIMINATE THE SUPER-MAJORITY VOTE REQUIREMENT EXPLAINED IN PROPOSAL 4</w:t>
      </w:r>
    </w:p>
    <w:p>
      <w:pPr>
        <w:jc w:val="center"/>
        <w:ind w:right="-219"/>
        <w:spacing w:after="0"/>
        <w:rPr>
          <w:sz w:val="20"/>
          <w:szCs w:val="20"/>
          <w:color w:val="auto"/>
        </w:rPr>
      </w:pPr>
      <w:r>
        <w:rPr>
          <w:rFonts w:ascii="Arial" w:cs="Arial" w:eastAsia="Arial" w:hAnsi="Arial"/>
          <w:sz w:val="16"/>
          <w:szCs w:val="16"/>
          <w:color w:val="auto"/>
        </w:rPr>
        <w:t>(matter to be deleted is stricken)</w:t>
      </w:r>
    </w:p>
    <w:p>
      <w:pPr>
        <w:spacing w:after="0" w:line="221" w:lineRule="exact"/>
        <w:rPr>
          <w:sz w:val="20"/>
          <w:szCs w:val="20"/>
          <w:color w:val="auto"/>
        </w:rPr>
      </w:pPr>
    </w:p>
    <w:p>
      <w:pPr>
        <w:ind w:left="220" w:right="100" w:firstLine="330"/>
        <w:spacing w:after="0" w:line="248" w:lineRule="auto"/>
        <w:rPr>
          <w:sz w:val="20"/>
          <w:szCs w:val="20"/>
          <w:color w:val="auto"/>
        </w:rPr>
      </w:pPr>
      <w:r>
        <w:rPr>
          <w:rFonts w:ascii="Arial" w:cs="Arial" w:eastAsia="Arial" w:hAnsi="Arial"/>
          <w:sz w:val="16"/>
          <w:szCs w:val="16"/>
          <w:color w:val="auto"/>
        </w:rPr>
        <w:t>FIFTEENTH: (A) (1) Except as otherwise expressly provided in paragraph (A)(2) below, any purchase by the corporation, or any subsidiary of the corporation, of Voting Shares (as hereinafter defined) from a person or persons known by the corporation to be an Interested Stockholder (as hereinafter defined) at a per share price in excess of the Market Price (as hereinafter defined) at the time of such purchase of the shares so purchased, shall require the affirmative vote of not less than a majority of the votes entitled to be cast by the holders of all then outstanding Voting Shares not beneficially owned by the Interested Stockholder, voting together as a single class. Such affirmative vote shall be required notwithstanding the fact that no vote may be required, or that a lesser percentage or separate class vote may be specified, by law or in any agreement with any national securities exchange or otherwise.</w:t>
      </w:r>
    </w:p>
    <w:p>
      <w:pPr>
        <w:spacing w:after="0" w:line="207" w:lineRule="exact"/>
        <w:rPr>
          <w:sz w:val="20"/>
          <w:szCs w:val="20"/>
          <w:color w:val="auto"/>
        </w:rPr>
      </w:pPr>
    </w:p>
    <w:p>
      <w:pPr>
        <w:ind w:left="220" w:right="120" w:firstLine="320"/>
        <w:spacing w:after="0" w:line="253" w:lineRule="auto"/>
        <w:tabs>
          <w:tab w:leader="none" w:pos="793"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provisions of Paragraph (A)(1) of this Article Fifteenth shall not be applicable to any purchase of Voting Shares, if such purchase is pursuant to (i) an offer, made available on the same terms, to the holders of all of the outstanding shares of the same class of those purchased or (ii) a purchase program effected on the open market and not the result of a privately-negotiated transaction.</w:t>
      </w:r>
    </w:p>
    <w:p>
      <w:pPr>
        <w:spacing w:after="0" w:line="201" w:lineRule="exact"/>
        <w:rPr>
          <w:sz w:val="20"/>
          <w:szCs w:val="20"/>
          <w:color w:val="auto"/>
        </w:rPr>
      </w:pPr>
    </w:p>
    <w:p>
      <w:pPr>
        <w:ind w:left="220" w:right="80" w:firstLine="320"/>
        <w:spacing w:after="0" w:line="249" w:lineRule="auto"/>
        <w:tabs>
          <w:tab w:leader="none" w:pos="811" w:val="left"/>
        </w:tabs>
        <w:numPr>
          <w:ilvl w:val="0"/>
          <w:numId w:val="70"/>
        </w:numPr>
        <w:rPr>
          <w:rFonts w:ascii="Arial" w:cs="Arial" w:eastAsia="Arial" w:hAnsi="Arial"/>
          <w:sz w:val="16"/>
          <w:szCs w:val="16"/>
          <w:color w:val="auto"/>
        </w:rPr>
      </w:pPr>
      <w:r>
        <w:rPr>
          <w:rFonts w:ascii="Arial" w:cs="Arial" w:eastAsia="Arial" w:hAnsi="Arial"/>
          <w:sz w:val="16"/>
          <w:szCs w:val="16"/>
          <w:color w:val="auto"/>
        </w:rPr>
        <w:t>(1) In the event that there shall exist a Substantial Stockholder (as hereinafter defined) of the corporation and such existence shall be known or made known to the corporation in advance of a meeting of stockholders at which directors will be elected, each holder of Voting Shares shall be entitled, in connection with any vote taken for such election of directors, to as many votes as shall equal the number of votes which (except for this provision as to cumulative voting) such stockholder would be entitled to cast for the election of directors with respect to such stockholder’s Voting Shares multiplied by the number of directors to be elected, and such stockholder may cast all of such votes for a single director may distribute them among the number of directors to be voted for, or for any two or more of them as such stockholder may see fit.</w:t>
      </w:r>
    </w:p>
    <w:p>
      <w:pPr>
        <w:spacing w:after="0" w:line="204" w:lineRule="exact"/>
        <w:rPr>
          <w:sz w:val="20"/>
          <w:szCs w:val="20"/>
          <w:color w:val="auto"/>
        </w:rPr>
      </w:pPr>
    </w:p>
    <w:p>
      <w:pPr>
        <w:ind w:left="780" w:hanging="240"/>
        <w:spacing w:after="0"/>
        <w:tabs>
          <w:tab w:leader="none" w:pos="7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In connection with any election of directors in which stockholders are entitled to cumulative voting:</w:t>
      </w:r>
    </w:p>
    <w:p>
      <w:pPr>
        <w:spacing w:after="0" w:line="220"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6"/>
          <w:szCs w:val="16"/>
          <w:color w:val="auto"/>
        </w:rPr>
        <w:t>(a) The Board of Directors shall appoint a committee (the “Committee”) consisting of three Directors.</w:t>
      </w:r>
    </w:p>
    <w:p>
      <w:pPr>
        <w:spacing w:after="0" w:line="221" w:lineRule="exact"/>
        <w:rPr>
          <w:sz w:val="20"/>
          <w:szCs w:val="20"/>
          <w:color w:val="auto"/>
        </w:rPr>
      </w:pPr>
    </w:p>
    <w:p>
      <w:pPr>
        <w:ind w:left="220" w:right="60" w:firstLine="320"/>
        <w:spacing w:after="0" w:line="249" w:lineRule="auto"/>
        <w:tabs>
          <w:tab w:leader="none" w:pos="793"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Committee shall send to all stockholders of the corporation entitled to vote in the election of directors at least 90 days in advance of such election a written notice informing stockholders (i) that the cumulative voting provisions of this Article will be in effect, (ii) that persons meeting the eligibility requirements of subparagraph (B)(2)(c) may submit nominations to the Committee, if such nominations are received at least 60 days in advance of the election and contain relevant information concerning the nominee, including all information required to be included in a proxy statement under the Securities and Exchange Act of 1934 and the rules and regulations thereunder (or any subsequent provisions replacing such Act, rules or regulations), and the nominee’s consent to be nominated, and (iii) as to the time, place and date of the meeting at which such election will be held.</w:t>
      </w:r>
    </w:p>
    <w:p>
      <w:pPr>
        <w:spacing w:after="0" w:line="203" w:lineRule="exact"/>
        <w:rPr>
          <w:rFonts w:ascii="Arial" w:cs="Arial" w:eastAsia="Arial" w:hAnsi="Arial"/>
          <w:sz w:val="16"/>
          <w:szCs w:val="16"/>
          <w:color w:val="auto"/>
        </w:rPr>
      </w:pPr>
    </w:p>
    <w:p>
      <w:pPr>
        <w:ind w:left="220" w:right="100" w:firstLine="320"/>
        <w:spacing w:after="0" w:line="248" w:lineRule="auto"/>
        <w:tabs>
          <w:tab w:leader="none" w:pos="784"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Committee will review all nominees, and the corporation’s proxy materials being prepared in connection with such meeting will include information relating to, and afford stockholders the opportunity to vote for, all nominees who are included by the Committee in the corporation’s proxy materials. The Committee shall be required to include in such proxy materials at least one nominee of each stockholder or group of stockholders who beneficially own Voting Shares with a Market Price (as herein defined) of at least $250,000 at the time notice of such meeting is sent to stockholders and who submit the information required with respect to such nominee under subparagraph (B)(2)(b). The Committee may include more than one nominee of such person or persons, provided that the number of nominees included by the Committee which are submitted by any one person or group of persons may not exceed the number of directors to be elected at such a meeting.</w:t>
      </w:r>
    </w:p>
    <w:p>
      <w:pPr>
        <w:spacing w:after="0" w:line="140"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A-1</w:t>
      </w:r>
    </w:p>
    <w:p>
      <w:pPr>
        <w:sectPr>
          <w:pgSz w:w="11900" w:h="16838" w:orient="portrait"/>
          <w:cols w:equalWidth="0" w:num="1">
            <w:col w:w="11220"/>
          </w:cols>
          <w:pgMar w:left="240" w:top="459" w:right="4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5" w:lineRule="exact"/>
        <w:rPr>
          <w:sz w:val="20"/>
          <w:szCs w:val="20"/>
          <w:color w:val="auto"/>
        </w:rPr>
      </w:pPr>
    </w:p>
    <w:p>
      <w:pPr>
        <w:ind w:left="220" w:right="160" w:firstLine="320"/>
        <w:spacing w:after="0" w:line="253" w:lineRule="auto"/>
        <w:tabs>
          <w:tab w:leader="none" w:pos="793"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corporation’s proxy statement and other communications with respect to the election shall contain, on an equal basis and at the expense of the corporation, descriptions and other statements of or with respect to all nominees for election which qualify under the procedures set forth in this Article.</w:t>
      </w:r>
    </w:p>
    <w:p>
      <w:pPr>
        <w:spacing w:after="0" w:line="201" w:lineRule="exact"/>
        <w:rPr>
          <w:sz w:val="20"/>
          <w:szCs w:val="20"/>
          <w:color w:val="auto"/>
        </w:rPr>
      </w:pPr>
    </w:p>
    <w:p>
      <w:pPr>
        <w:ind w:left="220" w:right="340" w:firstLine="320"/>
        <w:spacing w:after="0" w:line="253" w:lineRule="auto"/>
        <w:tabs>
          <w:tab w:leader="none" w:pos="793" w:val="left"/>
        </w:tabs>
        <w:numPr>
          <w:ilvl w:val="0"/>
          <w:numId w:val="74"/>
        </w:numPr>
        <w:rPr>
          <w:rFonts w:ascii="Arial" w:cs="Arial" w:eastAsia="Arial" w:hAnsi="Arial"/>
          <w:sz w:val="16"/>
          <w:szCs w:val="16"/>
          <w:color w:val="auto"/>
        </w:rPr>
      </w:pPr>
      <w:r>
        <w:rPr>
          <w:rFonts w:ascii="Arial" w:cs="Arial" w:eastAsia="Arial" w:hAnsi="Arial"/>
          <w:sz w:val="16"/>
          <w:szCs w:val="16"/>
          <w:color w:val="auto"/>
        </w:rPr>
        <w:t>If necessary to assure that the provisions of this Paragraph (B) are fairly applied and complied with, the Board of Directors may postpone any meeting of stockholders to which this Article would apply for such period of time as shall be necessary to permit the Committee to perform its responsibilities hereunder.</w:t>
      </w:r>
    </w:p>
    <w:p>
      <w:pPr>
        <w:spacing w:after="0" w:line="200" w:lineRule="exact"/>
        <w:rPr>
          <w:rFonts w:ascii="Arial" w:cs="Arial" w:eastAsia="Arial" w:hAnsi="Arial"/>
          <w:sz w:val="16"/>
          <w:szCs w:val="16"/>
          <w:color w:val="auto"/>
        </w:rPr>
      </w:pPr>
    </w:p>
    <w:p>
      <w:pPr>
        <w:jc w:val="both"/>
        <w:ind w:left="220" w:right="60" w:firstLine="320"/>
        <w:spacing w:after="0" w:line="250" w:lineRule="auto"/>
        <w:tabs>
          <w:tab w:leader="none" w:pos="793" w:val="left"/>
        </w:tabs>
        <w:numPr>
          <w:ilvl w:val="0"/>
          <w:numId w:val="74"/>
        </w:numPr>
        <w:rPr>
          <w:rFonts w:ascii="Arial" w:cs="Arial" w:eastAsia="Arial" w:hAnsi="Arial"/>
          <w:sz w:val="16"/>
          <w:szCs w:val="16"/>
          <w:color w:val="auto"/>
        </w:rPr>
      </w:pPr>
      <w:r>
        <w:rPr>
          <w:rFonts w:ascii="Arial" w:cs="Arial" w:eastAsia="Arial" w:hAnsi="Arial"/>
          <w:sz w:val="16"/>
          <w:szCs w:val="16"/>
          <w:color w:val="auto"/>
        </w:rPr>
        <w:t>Notwithstanding any other provision which may be contained from time to time in this Certificate of Incorporation or the by-laws of the corporation concerning the manner in which the size of the Board of Directors of the corporation may be established or changed, in the event that a person becomes a Substantial Stockholder, the number of directors at the time such person becomes a Substantial Stockholder shall remain fixed and may not be changed by the Board of Directors or the stockholders until such time as such person is no longer a Substantial Stockholder.</w:t>
      </w:r>
    </w:p>
    <w:p>
      <w:pPr>
        <w:spacing w:after="0" w:line="205" w:lineRule="exact"/>
        <w:rPr>
          <w:sz w:val="20"/>
          <w:szCs w:val="20"/>
          <w:color w:val="auto"/>
        </w:rPr>
      </w:pPr>
    </w:p>
    <w:p>
      <w:pPr>
        <w:ind w:left="540"/>
        <w:spacing w:after="0"/>
        <w:rPr>
          <w:sz w:val="20"/>
          <w:szCs w:val="20"/>
          <w:color w:val="auto"/>
        </w:rPr>
      </w:pPr>
      <w:r>
        <w:rPr>
          <w:rFonts w:ascii="Arial" w:cs="Arial" w:eastAsia="Arial" w:hAnsi="Arial"/>
          <w:sz w:val="16"/>
          <w:szCs w:val="16"/>
          <w:color w:val="auto"/>
        </w:rPr>
        <w:t>(C) For purposes of this Article Fifteenth:</w:t>
      </w:r>
    </w:p>
    <w:p>
      <w:pPr>
        <w:spacing w:after="0" w:line="221" w:lineRule="exact"/>
        <w:rPr>
          <w:sz w:val="20"/>
          <w:szCs w:val="20"/>
          <w:color w:val="auto"/>
        </w:rPr>
      </w:pPr>
    </w:p>
    <w:p>
      <w:pPr>
        <w:jc w:val="both"/>
        <w:ind w:left="220" w:right="100" w:firstLine="320"/>
        <w:spacing w:after="0" w:line="253" w:lineRule="auto"/>
        <w:tabs>
          <w:tab w:leader="none" w:pos="793" w:val="left"/>
        </w:tabs>
        <w:numPr>
          <w:ilvl w:val="0"/>
          <w:numId w:val="75"/>
        </w:numPr>
        <w:rPr>
          <w:rFonts w:ascii="Arial" w:cs="Arial" w:eastAsia="Arial" w:hAnsi="Arial"/>
          <w:sz w:val="16"/>
          <w:szCs w:val="16"/>
          <w:color w:val="auto"/>
        </w:rPr>
      </w:pPr>
      <w:r>
        <w:rPr>
          <w:rFonts w:ascii="Arial" w:cs="Arial" w:eastAsia="Arial" w:hAnsi="Arial"/>
          <w:sz w:val="16"/>
          <w:szCs w:val="16"/>
          <w:color w:val="auto"/>
        </w:rPr>
        <w:t>“Interested Stockholder” shall mean any person (other than the corporation or any Subsidiary; and other than any profit sharing, employee stock ownership, or other employee benefit plan of the corporation or any subsidiary, or any trustee of or fiduciary with respect to any such plan when acting in such capacity) who or which:</w:t>
      </w:r>
    </w:p>
    <w:p>
      <w:pPr>
        <w:spacing w:after="0" w:line="201" w:lineRule="exact"/>
        <w:rPr>
          <w:sz w:val="20"/>
          <w:szCs w:val="20"/>
          <w:color w:val="auto"/>
        </w:rPr>
      </w:pPr>
    </w:p>
    <w:p>
      <w:pPr>
        <w:ind w:left="220" w:right="380" w:firstLine="320"/>
        <w:spacing w:after="0" w:line="260" w:lineRule="auto"/>
        <w:tabs>
          <w:tab w:leader="none" w:pos="793" w:val="left"/>
        </w:tabs>
        <w:numPr>
          <w:ilvl w:val="0"/>
          <w:numId w:val="76"/>
        </w:numPr>
        <w:rPr>
          <w:rFonts w:ascii="Arial" w:cs="Arial" w:eastAsia="Arial" w:hAnsi="Arial"/>
          <w:sz w:val="16"/>
          <w:szCs w:val="16"/>
          <w:color w:val="auto"/>
        </w:rPr>
      </w:pPr>
      <w:r>
        <w:rPr>
          <w:rFonts w:ascii="Arial" w:cs="Arial" w:eastAsia="Arial" w:hAnsi="Arial"/>
          <w:sz w:val="16"/>
          <w:szCs w:val="16"/>
          <w:color w:val="auto"/>
        </w:rPr>
        <w:t>is the beneficial owner, directly or indirectly, of not less than 5% of the Voting Shares and has been such a beneficial owner for less than four years; or</w:t>
      </w:r>
    </w:p>
    <w:p>
      <w:pPr>
        <w:spacing w:after="0" w:line="194" w:lineRule="exact"/>
        <w:rPr>
          <w:rFonts w:ascii="Arial" w:cs="Arial" w:eastAsia="Arial" w:hAnsi="Arial"/>
          <w:sz w:val="16"/>
          <w:szCs w:val="16"/>
          <w:color w:val="auto"/>
        </w:rPr>
      </w:pPr>
    </w:p>
    <w:p>
      <w:pPr>
        <w:ind w:left="220" w:right="240" w:firstLine="320"/>
        <w:spacing w:after="0" w:line="260" w:lineRule="auto"/>
        <w:tabs>
          <w:tab w:leader="none" w:pos="793" w:val="left"/>
        </w:tabs>
        <w:numPr>
          <w:ilvl w:val="0"/>
          <w:numId w:val="76"/>
        </w:numPr>
        <w:rPr>
          <w:rFonts w:ascii="Arial" w:cs="Arial" w:eastAsia="Arial" w:hAnsi="Arial"/>
          <w:sz w:val="16"/>
          <w:szCs w:val="16"/>
          <w:color w:val="auto"/>
        </w:rPr>
      </w:pPr>
      <w:r>
        <w:rPr>
          <w:rFonts w:ascii="Arial" w:cs="Arial" w:eastAsia="Arial" w:hAnsi="Arial"/>
          <w:sz w:val="16"/>
          <w:szCs w:val="16"/>
          <w:color w:val="auto"/>
        </w:rPr>
        <w:t>is an Affiliate of the corporation and at any time within two years prior thereto was the beneficial owner, directly or indirectly, for a period of less than four years of not less than 5% of the then outstanding Voting Shares; or</w:t>
      </w:r>
    </w:p>
    <w:p>
      <w:pPr>
        <w:spacing w:after="0" w:line="194" w:lineRule="exact"/>
        <w:rPr>
          <w:rFonts w:ascii="Arial" w:cs="Arial" w:eastAsia="Arial" w:hAnsi="Arial"/>
          <w:sz w:val="16"/>
          <w:szCs w:val="16"/>
          <w:color w:val="auto"/>
        </w:rPr>
      </w:pPr>
    </w:p>
    <w:p>
      <w:pPr>
        <w:ind w:left="220" w:right="80" w:firstLine="320"/>
        <w:spacing w:after="0" w:line="253" w:lineRule="auto"/>
        <w:tabs>
          <w:tab w:leader="none" w:pos="784" w:val="left"/>
        </w:tabs>
        <w:numPr>
          <w:ilvl w:val="0"/>
          <w:numId w:val="76"/>
        </w:numPr>
        <w:rPr>
          <w:rFonts w:ascii="Arial" w:cs="Arial" w:eastAsia="Arial" w:hAnsi="Arial"/>
          <w:sz w:val="16"/>
          <w:szCs w:val="16"/>
          <w:color w:val="auto"/>
        </w:rPr>
      </w:pPr>
      <w:r>
        <w:rPr>
          <w:rFonts w:ascii="Arial" w:cs="Arial" w:eastAsia="Arial" w:hAnsi="Arial"/>
          <w:sz w:val="16"/>
          <w:szCs w:val="16"/>
          <w:color w:val="auto"/>
        </w:rPr>
        <w:t>is an assignee of or has otherwise succeeded to any shares of capital stock of the corporation which were at any time within two years prior thereto beneficially owned by any Interested Stockholder and such assignment or succession shall have occurred in the course of a transaction or series of transactions not involving a public offering within the meaning of the Securities Act of 1933.</w:t>
      </w:r>
    </w:p>
    <w:p>
      <w:pPr>
        <w:spacing w:after="0" w:line="201" w:lineRule="exact"/>
        <w:rPr>
          <w:sz w:val="20"/>
          <w:szCs w:val="20"/>
          <w:color w:val="auto"/>
        </w:rPr>
      </w:pPr>
    </w:p>
    <w:p>
      <w:pPr>
        <w:ind w:left="220" w:right="60" w:firstLine="320"/>
        <w:spacing w:after="0" w:line="253" w:lineRule="auto"/>
        <w:tabs>
          <w:tab w:leader="none" w:pos="793"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term “Substantial Stockholder” shall mean any person (other than the corporation or any Subsidiary; and other than any profit sharing, employee stock ownership or other employee benefit plan of the corporation or any subsidiary, or any trustee of or fiduciary with respect to any such plan when acting in such capacity) who or which is the beneficial owner, directly or indirectly, of not less than 40% of the Voting Shares.</w:t>
      </w:r>
    </w:p>
    <w:p>
      <w:pPr>
        <w:spacing w:after="0" w:line="200" w:lineRule="exact"/>
        <w:rPr>
          <w:rFonts w:ascii="Arial" w:cs="Arial" w:eastAsia="Arial" w:hAnsi="Arial"/>
          <w:sz w:val="16"/>
          <w:szCs w:val="16"/>
          <w:color w:val="auto"/>
        </w:rPr>
      </w:pPr>
    </w:p>
    <w:p>
      <w:pPr>
        <w:ind w:left="220" w:right="20" w:firstLine="320"/>
        <w:spacing w:after="0" w:line="250" w:lineRule="auto"/>
        <w:tabs>
          <w:tab w:leader="none" w:pos="793" w:val="left"/>
        </w:tabs>
        <w:numPr>
          <w:ilvl w:val="0"/>
          <w:numId w:val="77"/>
        </w:numPr>
        <w:rPr>
          <w:rFonts w:ascii="Arial" w:cs="Arial" w:eastAsia="Arial" w:hAnsi="Arial"/>
          <w:sz w:val="16"/>
          <w:szCs w:val="16"/>
          <w:color w:val="auto"/>
        </w:rPr>
      </w:pPr>
      <w:r>
        <w:rPr>
          <w:rFonts w:ascii="Arial" w:cs="Arial" w:eastAsia="Arial" w:hAnsi="Arial"/>
          <w:sz w:val="16"/>
          <w:szCs w:val="16"/>
          <w:color w:val="auto"/>
        </w:rPr>
        <w:t>For the purpose of determining whether a person is an Interested Stockholder or a Substantial Stockholder, the number of Voting Shares deemed to be outstanding shall include shares deemed beneficially owned by such person through application of subparagraph (4) of Paragraph (C) of Article Fourteenth, but shall not include any other Voting Shares that may be issuable pursuant to any agreement, or upon exercise of conversion rights, warranties or options, or otherwise.</w:t>
      </w:r>
    </w:p>
    <w:p>
      <w:pPr>
        <w:spacing w:after="0" w:line="204" w:lineRule="exact"/>
        <w:rPr>
          <w:rFonts w:ascii="Arial" w:cs="Arial" w:eastAsia="Arial" w:hAnsi="Arial"/>
          <w:sz w:val="16"/>
          <w:szCs w:val="16"/>
          <w:color w:val="auto"/>
        </w:rPr>
      </w:pPr>
    </w:p>
    <w:p>
      <w:pPr>
        <w:ind w:left="220" w:firstLine="320"/>
        <w:spacing w:after="0" w:line="250" w:lineRule="auto"/>
        <w:tabs>
          <w:tab w:leader="none" w:pos="793" w:val="left"/>
        </w:tabs>
        <w:numPr>
          <w:ilvl w:val="0"/>
          <w:numId w:val="77"/>
        </w:numPr>
        <w:rPr>
          <w:rFonts w:ascii="Arial" w:cs="Arial" w:eastAsia="Arial" w:hAnsi="Arial"/>
          <w:sz w:val="16"/>
          <w:szCs w:val="16"/>
          <w:color w:val="auto"/>
        </w:rPr>
      </w:pPr>
      <w:r>
        <w:rPr>
          <w:rFonts w:ascii="Arial" w:cs="Arial" w:eastAsia="Arial" w:hAnsi="Arial"/>
          <w:sz w:val="16"/>
          <w:szCs w:val="16"/>
          <w:color w:val="auto"/>
        </w:rPr>
        <w:t>For purposes of this Article Fifteenth, the terms “Voting Shares,” “beneficial owner,” “person,” “Affiliate,” “Associate,” “Subsidiary,” and “Market Price” shall have the meanings set forth in Article Fourteenth of this Certificate of Incorporation, except that “Market Price” shall mean the last closing sale price or the last closing bid quotation immediately preceding the date in question instead of the highest closing sale price or the highest closing bid quotation during the 30-day period immediately preceding the date in question; and</w:t>
      </w:r>
    </w:p>
    <w:p>
      <w:pPr>
        <w:spacing w:after="0" w:line="205" w:lineRule="exact"/>
        <w:rPr>
          <w:sz w:val="20"/>
          <w:szCs w:val="20"/>
          <w:color w:val="auto"/>
        </w:rPr>
      </w:pPr>
    </w:p>
    <w:p>
      <w:pPr>
        <w:jc w:val="both"/>
        <w:ind w:left="220" w:right="120" w:firstLine="320"/>
        <w:spacing w:after="0" w:line="253" w:lineRule="auto"/>
        <w:tabs>
          <w:tab w:leader="none" w:pos="82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Board of Directors shall have the power and the duty to determine for the purposes of this Article Fifteenth (a) whether the provisions of the Article are applicable to a particular transaction, (b) whether a person is an Interested Stockholder or a Substantial Stockholder, (c) the number of Voting Shares or other securities beneficially</w:t>
      </w:r>
    </w:p>
    <w:p>
      <w:pPr>
        <w:spacing w:after="0" w:line="133"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A-2</w:t>
      </w:r>
    </w:p>
    <w:p>
      <w:pPr>
        <w:sectPr>
          <w:pgSz w:w="11900" w:h="16838" w:orient="portrait"/>
          <w:cols w:equalWidth="0" w:num="1">
            <w:col w:w="11200"/>
          </w:cols>
          <w:pgMar w:left="240" w:top="459" w:right="4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5" w:lineRule="exact"/>
        <w:rPr>
          <w:sz w:val="20"/>
          <w:szCs w:val="20"/>
          <w:color w:val="auto"/>
        </w:rPr>
      </w:pPr>
    </w:p>
    <w:p>
      <w:pPr>
        <w:ind w:left="220" w:right="160"/>
        <w:spacing w:after="0" w:line="253" w:lineRule="auto"/>
        <w:rPr>
          <w:sz w:val="20"/>
          <w:szCs w:val="20"/>
          <w:color w:val="auto"/>
        </w:rPr>
      </w:pPr>
      <w:r>
        <w:rPr>
          <w:rFonts w:ascii="Arial" w:cs="Arial" w:eastAsia="Arial" w:hAnsi="Arial"/>
          <w:sz w:val="16"/>
          <w:szCs w:val="16"/>
          <w:color w:val="auto"/>
        </w:rPr>
        <w:t>owned by any person, (d) whether a person is an Affiliate or Associate of another, (e) what the Market Price is and whether a price is above the Market Price as of a given date, and (f) whether any person nominating directors in accordance with Paragraph B.2. beneficially owns Voting Shares with an aggregate Market Price of at least $250,000.</w:t>
      </w:r>
    </w:p>
    <w:p>
      <w:pPr>
        <w:spacing w:after="0" w:line="201" w:lineRule="exact"/>
        <w:rPr>
          <w:sz w:val="20"/>
          <w:szCs w:val="20"/>
          <w:color w:val="auto"/>
        </w:rPr>
      </w:pPr>
    </w:p>
    <w:p>
      <w:pPr>
        <w:ind w:left="220" w:firstLine="320"/>
        <w:spacing w:after="0" w:line="248" w:lineRule="auto"/>
        <w:tabs>
          <w:tab w:leader="none" w:pos="811" w:val="left"/>
        </w:tabs>
        <w:numPr>
          <w:ilvl w:val="0"/>
          <w:numId w:val="79"/>
        </w:numPr>
        <w:rPr>
          <w:rFonts w:ascii="Arial" w:cs="Arial" w:eastAsia="Arial" w:hAnsi="Arial"/>
          <w:sz w:val="16"/>
          <w:szCs w:val="16"/>
          <w:color w:val="auto"/>
          <w:strike w:val="1"/>
        </w:rPr>
      </w:pPr>
      <w:r>
        <w:rPr>
          <w:rFonts w:ascii="Arial" w:cs="Arial" w:eastAsia="Arial" w:hAnsi="Arial"/>
          <w:sz w:val="16"/>
          <w:szCs w:val="16"/>
          <w:color w:val="auto"/>
          <w:strike w:val="1"/>
        </w:rPr>
        <w:t>Notwithstanding any other provisions of this Certificate of Incorporation or the By-laws of the corporation to the contrary (and notwithstanding the fact that a lesser percentage may be specified by law, this Certificate of Incorporation or the by-laws of the corporation), any amendment, alteration, change or repeal of this Article Fifteenth of this Certificate of Incorporation shall require the affirmative vote of the holders of at least 80% of the then outstanding Voting Shares; provided, however, that this Paragraph E shall not apply to and such 80% vote shall not be required for, any amendment, alteration, change or repeal recommended to the stockholders by the majority vote of the Board of Directors and at the time such amendment, alteration, change or repeal is under consideration there is, to the knowledge of the Board of Directors, neither an Interested Stockholder nor a Substantial Stockholder.</w:t>
      </w:r>
    </w:p>
    <w:p>
      <w:pPr>
        <w:spacing w:after="0" w:line="140"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A-3</w:t>
      </w:r>
    </w:p>
    <w:p>
      <w:pPr>
        <w:sectPr>
          <w:pgSz w:w="11900" w:h="16838" w:orient="portrait"/>
          <w:cols w:equalWidth="0" w:num="1">
            <w:col w:w="11140"/>
          </w:cols>
          <w:pgMar w:left="240" w:top="459" w:right="51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Appendix B</w:t>
      </w:r>
    </w:p>
    <w:p>
      <w:pPr>
        <w:spacing w:after="0" w:line="216" w:lineRule="exact"/>
        <w:rPr>
          <w:sz w:val="20"/>
          <w:szCs w:val="20"/>
          <w:color w:val="auto"/>
        </w:rPr>
      </w:pPr>
    </w:p>
    <w:p>
      <w:pPr>
        <w:jc w:val="center"/>
        <w:ind w:left="440" w:right="2300"/>
        <w:spacing w:after="0" w:line="244" w:lineRule="auto"/>
        <w:rPr>
          <w:sz w:val="20"/>
          <w:szCs w:val="20"/>
          <w:color w:val="auto"/>
        </w:rPr>
      </w:pPr>
      <w:r>
        <w:rPr>
          <w:rFonts w:ascii="Arial" w:cs="Arial" w:eastAsia="Arial" w:hAnsi="Arial"/>
          <w:sz w:val="18"/>
          <w:szCs w:val="18"/>
          <w:b w:val="1"/>
          <w:bCs w:val="1"/>
          <w:u w:val="single" w:color="auto"/>
          <w:color w:val="auto"/>
        </w:rPr>
        <w:t>PROPOSED AMENDMENT TO ARTICLE SIXTEENTH OF RESTATED CERTIFICATE OF INCORPORATION TO ELIMINATE THE SUPER-MAJORITY VOTE REQUIREMENT EXPLAINED IN PROPOSAL 5</w:t>
      </w:r>
    </w:p>
    <w:p>
      <w:pPr>
        <w:jc w:val="center"/>
        <w:ind w:right="-219"/>
        <w:spacing w:after="0"/>
        <w:rPr>
          <w:sz w:val="20"/>
          <w:szCs w:val="20"/>
          <w:color w:val="auto"/>
        </w:rPr>
      </w:pPr>
      <w:r>
        <w:rPr>
          <w:rFonts w:ascii="Arial" w:cs="Arial" w:eastAsia="Arial" w:hAnsi="Arial"/>
          <w:sz w:val="16"/>
          <w:szCs w:val="16"/>
          <w:color w:val="auto"/>
        </w:rPr>
        <w:t>(matter to be deleted is stricken)</w:t>
      </w:r>
    </w:p>
    <w:p>
      <w:pPr>
        <w:spacing w:after="0" w:line="221" w:lineRule="exact"/>
        <w:rPr>
          <w:sz w:val="20"/>
          <w:szCs w:val="20"/>
          <w:color w:val="auto"/>
        </w:rPr>
      </w:pPr>
    </w:p>
    <w:p>
      <w:pPr>
        <w:ind w:left="220" w:right="20" w:firstLine="330"/>
        <w:spacing w:after="0" w:line="260" w:lineRule="auto"/>
        <w:rPr>
          <w:sz w:val="20"/>
          <w:szCs w:val="20"/>
          <w:color w:val="auto"/>
        </w:rPr>
      </w:pPr>
      <w:r>
        <w:rPr>
          <w:rFonts w:ascii="Arial" w:cs="Arial" w:eastAsia="Arial" w:hAnsi="Arial"/>
          <w:sz w:val="16"/>
          <w:szCs w:val="16"/>
          <w:color w:val="auto"/>
        </w:rPr>
        <w:t>SIXTEENTH: No action required to be taken or which may be taken at any annual or special meeting of stockholders of the corporation may be taken without a meeting, and the power of stockholders to consent in writing, without a meeting, to the taking of any action is specifically denied.</w:t>
      </w:r>
    </w:p>
    <w:p>
      <w:pPr>
        <w:spacing w:after="0" w:line="168" w:lineRule="exact"/>
        <w:rPr>
          <w:sz w:val="20"/>
          <w:szCs w:val="20"/>
          <w:color w:val="auto"/>
        </w:rPr>
      </w:pPr>
    </w:p>
    <w:p>
      <w:pPr>
        <w:ind w:left="220" w:right="40" w:firstLine="330"/>
        <w:spacing w:after="0" w:line="249" w:lineRule="auto"/>
        <w:rPr>
          <w:sz w:val="20"/>
          <w:szCs w:val="20"/>
          <w:color w:val="auto"/>
        </w:rPr>
      </w:pPr>
      <w:r>
        <w:rPr>
          <w:rFonts w:ascii="Arial" w:cs="Arial" w:eastAsia="Arial" w:hAnsi="Arial"/>
          <w:sz w:val="16"/>
          <w:szCs w:val="16"/>
          <w:color w:val="auto"/>
          <w:strike w:val="1"/>
        </w:rPr>
        <w:t>Notwithstanding any other provisions of this Certificate of Incorporation or the By-laws of the corporation to the contrary (and notwithstanding the fact that a lesser percentage may be specified by law, this Certificate of Incorporation or the By-laws of the corporation), any amendment, alternation, change or repeal of this Article Sixteenth of this Certificate of Incorporation shall require the affirmative vote of the holders of at least 80% of the then outstanding Voting Shares; provided, however, that such 80% vote of the then outstanding vote shall not required for, any amendment, alteration, change or repeal recommended to the stockholders by the majority vote of the Board of Directors and at the time such amendment, alteration, change or repeal is under consideration there is, to the knowledge of the Board of Directors, neither an Interested Stockholder nor a Substantial Stockholder.</w:t>
      </w:r>
    </w:p>
    <w:p>
      <w:pPr>
        <w:spacing w:after="0" w:line="136"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B-1</w:t>
      </w:r>
    </w:p>
    <w:p>
      <w:pPr>
        <w:sectPr>
          <w:pgSz w:w="11900" w:h="16838" w:orient="portrait"/>
          <w:cols w:equalWidth="0" w:num="1">
            <w:col w:w="11220"/>
          </w:cols>
          <w:pgMar w:left="240" w:top="459" w:right="439" w:bottom="1440" w:gutter="0" w:footer="0" w:header="0"/>
        </w:sectPr>
      </w:pPr>
    </w:p>
    <w:bookmarkStart w:id="90" w:name="page91"/>
    <w:bookmarkEnd w:id="9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DOVER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-627380</wp:posOffset>
            </wp:positionV>
            <wp:extent cx="1533525" cy="50546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533525" cy="505460"/>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3005 HIGHLAND PARKWAY</w:t>
      </w:r>
    </w:p>
    <w:p>
      <w:pPr>
        <w:spacing w:after="0" w:line="20"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DOWNERS GROVE, IL 60515</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VOTE BY INTERNET - </w:t>
      </w:r>
      <w:r>
        <w:rPr>
          <w:rFonts w:ascii="Arial" w:cs="Arial" w:eastAsia="Arial" w:hAnsi="Arial"/>
          <w:sz w:val="14"/>
          <w:szCs w:val="14"/>
          <w:b w:val="1"/>
          <w:bCs w:val="1"/>
          <w:u w:val="single" w:color="auto"/>
          <w:color w:val="auto"/>
        </w:rPr>
        <w:t>www.proxyvote.com</w:t>
      </w:r>
    </w:p>
    <w:p>
      <w:pPr>
        <w:spacing w:after="0" w:line="3" w:lineRule="exact"/>
        <w:rPr>
          <w:sz w:val="20"/>
          <w:szCs w:val="20"/>
          <w:color w:val="auto"/>
        </w:rPr>
      </w:pPr>
    </w:p>
    <w:p>
      <w:pPr>
        <w:ind w:right="20"/>
        <w:spacing w:after="0" w:line="248" w:lineRule="auto"/>
        <w:rPr>
          <w:sz w:val="20"/>
          <w:szCs w:val="20"/>
          <w:color w:val="auto"/>
        </w:rPr>
      </w:pPr>
      <w:r>
        <w:rPr>
          <w:rFonts w:ascii="Arial" w:cs="Arial" w:eastAsia="Arial" w:hAnsi="Arial"/>
          <w:sz w:val="13"/>
          <w:szCs w:val="13"/>
          <w:color w:val="auto"/>
        </w:rPr>
        <w:t>Use the Internet to transmit your voting instructions and for electronic delivery of information up until 11:59 p.m. Eastern Time the day before the meeting date. Have your proxy card in hand when you access the website and follow the instructions to obtain your records and to create an electronic voting instruction form.</w:t>
      </w:r>
    </w:p>
    <w:p>
      <w:pPr>
        <w:spacing w:after="0"/>
        <w:rPr>
          <w:sz w:val="20"/>
          <w:szCs w:val="20"/>
          <w:color w:val="auto"/>
        </w:rPr>
      </w:pPr>
      <w:r>
        <w:rPr>
          <w:rFonts w:ascii="Arial" w:cs="Arial" w:eastAsia="Arial" w:hAnsi="Arial"/>
          <w:sz w:val="14"/>
          <w:szCs w:val="14"/>
          <w:b w:val="1"/>
          <w:bCs w:val="1"/>
          <w:color w:val="auto"/>
        </w:rPr>
        <w:t>ELECTRONIC DELIVERY OF FUTURE PROXY MATERIALS</w:t>
      </w:r>
    </w:p>
    <w:p>
      <w:pPr>
        <w:spacing w:after="0" w:line="17" w:lineRule="exact"/>
        <w:rPr>
          <w:sz w:val="20"/>
          <w:szCs w:val="20"/>
          <w:color w:val="auto"/>
        </w:rPr>
      </w:pPr>
    </w:p>
    <w:p>
      <w:pPr>
        <w:ind w:right="20"/>
        <w:spacing w:after="0" w:line="246" w:lineRule="auto"/>
        <w:rPr>
          <w:sz w:val="20"/>
          <w:szCs w:val="20"/>
          <w:color w:val="auto"/>
        </w:rPr>
      </w:pPr>
      <w:r>
        <w:rPr>
          <w:rFonts w:ascii="Arial" w:cs="Arial" w:eastAsia="Arial" w:hAnsi="Arial"/>
          <w:sz w:val="13"/>
          <w:szCs w:val="13"/>
          <w:color w:val="auto"/>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rPr>
          <w:sz w:val="20"/>
          <w:szCs w:val="20"/>
          <w:color w:val="auto"/>
        </w:rPr>
      </w:pPr>
      <w:r>
        <w:rPr>
          <w:rFonts w:ascii="Arial" w:cs="Arial" w:eastAsia="Arial" w:hAnsi="Arial"/>
          <w:sz w:val="14"/>
          <w:szCs w:val="14"/>
          <w:b w:val="1"/>
          <w:bCs w:val="1"/>
          <w:color w:val="auto"/>
        </w:rPr>
        <w:t>VOTE BY PHONE - 1-800-690-6903</w:t>
      </w:r>
    </w:p>
    <w:p>
      <w:pPr>
        <w:spacing w:after="0" w:line="17" w:lineRule="exact"/>
        <w:rPr>
          <w:sz w:val="20"/>
          <w:szCs w:val="20"/>
          <w:color w:val="auto"/>
        </w:rPr>
      </w:pPr>
    </w:p>
    <w:p>
      <w:pPr>
        <w:ind w:right="140"/>
        <w:spacing w:after="0" w:line="232" w:lineRule="auto"/>
        <w:rPr>
          <w:sz w:val="20"/>
          <w:szCs w:val="20"/>
          <w:color w:val="auto"/>
        </w:rPr>
      </w:pPr>
      <w:r>
        <w:rPr>
          <w:rFonts w:ascii="Arial" w:cs="Arial" w:eastAsia="Arial" w:hAnsi="Arial"/>
          <w:sz w:val="14"/>
          <w:szCs w:val="14"/>
          <w:color w:val="auto"/>
        </w:rPr>
        <w:t>Use any touch-tone telephone to transmit your voting instructions up until 11:59 p.m. Eastern Time the day before the meeting date. Have your proxy card in hand when you call and then follow the instructions.</w:t>
      </w:r>
    </w:p>
    <w:p>
      <w:pPr>
        <w:spacing w:after="0" w:line="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MAIL</w:t>
      </w:r>
    </w:p>
    <w:p>
      <w:pPr>
        <w:spacing w:after="0" w:line="17" w:lineRule="exact"/>
        <w:rPr>
          <w:sz w:val="20"/>
          <w:szCs w:val="20"/>
          <w:color w:val="auto"/>
        </w:rPr>
      </w:pPr>
    </w:p>
    <w:p>
      <w:pPr>
        <w:jc w:val="both"/>
        <w:ind w:right="100"/>
        <w:spacing w:after="0" w:line="232" w:lineRule="auto"/>
        <w:rPr>
          <w:sz w:val="20"/>
          <w:szCs w:val="20"/>
          <w:color w:val="auto"/>
        </w:rPr>
      </w:pPr>
      <w:r>
        <w:rPr>
          <w:rFonts w:ascii="Arial" w:cs="Arial" w:eastAsia="Arial" w:hAnsi="Arial"/>
          <w:sz w:val="14"/>
          <w:szCs w:val="14"/>
          <w:color w:val="auto"/>
        </w:rPr>
        <w:t>Mark, sign and date your proxy card and return it in the postage-paid envelope we have provided or return it to Vote Processing, c/o Broadridge, 51 Mercedes Way, Edgewood, NY 11717.</w:t>
      </w:r>
    </w:p>
    <w:p>
      <w:pPr>
        <w:spacing w:after="0" w:line="20" w:lineRule="exact"/>
        <w:rPr>
          <w:sz w:val="20"/>
          <w:szCs w:val="20"/>
          <w:color w:val="auto"/>
        </w:rPr>
      </w:pPr>
    </w:p>
    <w:p>
      <w:pPr>
        <w:sectPr>
          <w:pgSz w:w="11900" w:h="16838" w:orient="portrait"/>
          <w:cols w:equalWidth="0" w:num="2">
            <w:col w:w="5560" w:space="720"/>
            <w:col w:w="5140"/>
          </w:cols>
          <w:pgMar w:left="240" w:top="459" w:right="239" w:bottom="1440" w:gutter="0" w:footer="0" w:header="0"/>
          <w:type w:val="continuous"/>
        </w:sectPr>
      </w:pPr>
    </w:p>
    <w:p>
      <w:pPr>
        <w:spacing w:after="0"/>
        <w:rPr>
          <w:sz w:val="20"/>
          <w:szCs w:val="20"/>
          <w:color w:val="auto"/>
        </w:rPr>
      </w:pPr>
      <w:r>
        <w:rPr>
          <w:rFonts w:ascii="Arial" w:cs="Arial" w:eastAsia="Arial" w:hAnsi="Arial"/>
          <w:sz w:val="14"/>
          <w:szCs w:val="14"/>
          <w:color w:val="auto"/>
        </w:rPr>
        <w:t>TO VOTE, MARK BLOCKS BELOW IN BLUE OR BLACK INK AS FOLLOWS:</w:t>
      </w:r>
    </w:p>
    <w:p>
      <w:pPr>
        <w:spacing w:after="0" w:line="28" w:lineRule="exact"/>
        <w:rPr>
          <w:sz w:val="20"/>
          <w:szCs w:val="20"/>
          <w:color w:val="auto"/>
        </w:rPr>
      </w:pPr>
    </w:p>
    <w:p>
      <w:pPr>
        <w:ind w:left="6420"/>
        <w:spacing w:after="0"/>
        <w:tabs>
          <w:tab w:leader="none" w:pos="8580" w:val="left"/>
        </w:tabs>
        <w:rPr>
          <w:sz w:val="20"/>
          <w:szCs w:val="20"/>
          <w:color w:val="auto"/>
        </w:rPr>
      </w:pPr>
      <w:r>
        <w:rPr>
          <w:rFonts w:ascii="Arial" w:cs="Arial" w:eastAsia="Arial" w:hAnsi="Arial"/>
          <w:sz w:val="14"/>
          <w:szCs w:val="14"/>
          <w:color w:val="auto"/>
        </w:rPr>
        <w:t>E39441-P05102-Z71999</w:t>
      </w:r>
      <w:r>
        <w:rPr>
          <w:sz w:val="20"/>
          <w:szCs w:val="20"/>
          <w:color w:val="auto"/>
        </w:rPr>
        <w:tab/>
      </w:r>
      <w:r>
        <w:rPr>
          <w:rFonts w:ascii="Arial" w:cs="Arial" w:eastAsia="Arial" w:hAnsi="Arial"/>
          <w:sz w:val="13"/>
          <w:szCs w:val="13"/>
          <w:color w:val="auto"/>
        </w:rPr>
        <w:t>KEEP THIS PORTION FOR YOUR RECORDS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 — — — — — — — — — — — — — — — — — — — — — — — — — — — — — — — — — — — — — — — — — —</w:t>
      </w:r>
    </w:p>
    <w:p>
      <w:pPr>
        <w:jc w:val="right"/>
        <w:spacing w:after="0" w:line="221" w:lineRule="auto"/>
        <w:rPr>
          <w:sz w:val="20"/>
          <w:szCs w:val="20"/>
          <w:color w:val="auto"/>
        </w:rPr>
      </w:pPr>
      <w:r>
        <w:rPr>
          <w:rFonts w:ascii="Arial" w:cs="Arial" w:eastAsia="Arial" w:hAnsi="Arial"/>
          <w:sz w:val="14"/>
          <w:szCs w:val="14"/>
          <w:color w:val="auto"/>
        </w:rPr>
        <w:t>DETACH AND RETURN THIS PORTION ONLY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wp:posOffset>
            </wp:positionV>
            <wp:extent cx="7263765" cy="394906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63765" cy="3949065"/>
                    </a:xfrm>
                    <a:prstGeom prst="rect">
                      <a:avLst/>
                    </a:prstGeom>
                    <a:noFill/>
                  </pic:spPr>
                </pic:pic>
              </a:graphicData>
            </a:graphic>
          </wp:anchor>
        </w:drawing>
      </w:r>
    </w:p>
    <w:p>
      <w:pPr>
        <w:spacing w:after="0" w:line="100"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DOVER CORPORATION</w:t>
      </w:r>
    </w:p>
    <w:p>
      <w:pPr>
        <w:spacing w:after="0" w:line="82" w:lineRule="exact"/>
        <w:rPr>
          <w:sz w:val="20"/>
          <w:szCs w:val="20"/>
          <w:color w:val="auto"/>
        </w:rPr>
      </w:pPr>
    </w:p>
    <w:p>
      <w:pPr>
        <w:ind w:left="300"/>
        <w:spacing w:after="0"/>
        <w:rPr>
          <w:sz w:val="20"/>
          <w:szCs w:val="20"/>
          <w:color w:val="auto"/>
        </w:rPr>
      </w:pPr>
      <w:r>
        <w:rPr>
          <w:rFonts w:ascii="Arial" w:cs="Arial" w:eastAsia="Arial" w:hAnsi="Arial"/>
          <w:sz w:val="14"/>
          <w:szCs w:val="14"/>
          <w:b w:val="1"/>
          <w:bCs w:val="1"/>
          <w:color w:val="auto"/>
        </w:rPr>
        <w:t xml:space="preserve">The Board of Directors recommends a vote </w:t>
      </w:r>
      <w:r>
        <w:rPr>
          <w:rFonts w:ascii="Arial" w:cs="Arial" w:eastAsia="Arial" w:hAnsi="Arial"/>
          <w:sz w:val="14"/>
          <w:szCs w:val="14"/>
          <w:b w:val="1"/>
          <w:bCs w:val="1"/>
          <w:u w:val="single" w:color="auto"/>
          <w:color w:val="auto"/>
        </w:rPr>
        <w:t>FOR</w:t>
      </w:r>
      <w:r>
        <w:rPr>
          <w:rFonts w:ascii="Arial" w:cs="Arial" w:eastAsia="Arial" w:hAnsi="Arial"/>
          <w:sz w:val="14"/>
          <w:szCs w:val="14"/>
          <w:b w:val="1"/>
          <w:bCs w:val="1"/>
          <w:color w:val="auto"/>
        </w:rPr>
        <w:t xml:space="preserve"> each</w:t>
      </w:r>
    </w:p>
    <w:p>
      <w:pPr>
        <w:spacing w:after="0" w:line="3" w:lineRule="exact"/>
        <w:rPr>
          <w:sz w:val="20"/>
          <w:szCs w:val="20"/>
          <w:color w:val="auto"/>
        </w:rPr>
      </w:pPr>
    </w:p>
    <w:p>
      <w:pPr>
        <w:ind w:left="300"/>
        <w:spacing w:after="0"/>
        <w:rPr>
          <w:sz w:val="20"/>
          <w:szCs w:val="20"/>
          <w:color w:val="auto"/>
        </w:rPr>
      </w:pPr>
      <w:r>
        <w:rPr>
          <w:rFonts w:ascii="Arial" w:cs="Arial" w:eastAsia="Arial" w:hAnsi="Arial"/>
          <w:sz w:val="14"/>
          <w:szCs w:val="14"/>
          <w:b w:val="1"/>
          <w:bCs w:val="1"/>
          <w:color w:val="auto"/>
        </w:rPr>
        <w:t>director under Item 1:</w:t>
      </w:r>
    </w:p>
    <w:p>
      <w:pPr>
        <w:sectPr>
          <w:pgSz w:w="11900" w:h="16838" w:orient="portrait"/>
          <w:cols w:equalWidth="0" w:num="1">
            <w:col w:w="11420"/>
          </w:cols>
          <w:pgMar w:left="240" w:top="459" w:right="239" w:bottom="1440" w:gutter="0" w:footer="0" w:header="0"/>
          <w:type w:val="continuous"/>
        </w:sectPr>
      </w:pPr>
    </w:p>
    <w:p>
      <w:pPr>
        <w:spacing w:after="0" w:line="56" w:lineRule="exact"/>
        <w:rPr>
          <w:sz w:val="20"/>
          <w:szCs w:val="20"/>
          <w:color w:val="auto"/>
        </w:rPr>
      </w:pPr>
    </w:p>
    <w:p>
      <w:pPr>
        <w:ind w:left="520" w:right="1500" w:hanging="215"/>
        <w:spacing w:after="0" w:line="463" w:lineRule="auto"/>
        <w:tabs>
          <w:tab w:leader="none" w:pos="520" w:val="left"/>
        </w:tabs>
        <w:numPr>
          <w:ilvl w:val="0"/>
          <w:numId w:val="80"/>
        </w:numPr>
        <w:rPr>
          <w:rFonts w:ascii="Arial" w:cs="Arial" w:eastAsia="Arial" w:hAnsi="Arial"/>
          <w:sz w:val="13"/>
          <w:szCs w:val="13"/>
          <w:color w:val="auto"/>
        </w:rPr>
      </w:pPr>
      <w:r>
        <w:rPr>
          <w:rFonts w:ascii="Arial" w:cs="Arial" w:eastAsia="Arial" w:hAnsi="Arial"/>
          <w:sz w:val="13"/>
          <w:szCs w:val="13"/>
          <w:color w:val="auto"/>
        </w:rPr>
        <w:t>Election of Directors 1a. P. T. Francis</w:t>
      </w:r>
    </w:p>
    <w:p>
      <w:pPr>
        <w:spacing w:after="0" w:line="97" w:lineRule="exact"/>
        <w:rPr>
          <w:rFonts w:ascii="Arial" w:cs="Arial" w:eastAsia="Arial" w:hAnsi="Arial"/>
          <w:sz w:val="13"/>
          <w:szCs w:val="13"/>
          <w:color w:val="auto"/>
        </w:rPr>
      </w:pPr>
    </w:p>
    <w:p>
      <w:pPr>
        <w:ind w:left="520"/>
        <w:spacing w:after="0"/>
        <w:rPr>
          <w:rFonts w:ascii="Arial" w:cs="Arial" w:eastAsia="Arial" w:hAnsi="Arial"/>
          <w:sz w:val="13"/>
          <w:szCs w:val="13"/>
          <w:color w:val="auto"/>
        </w:rPr>
      </w:pPr>
      <w:r>
        <w:rPr>
          <w:rFonts w:ascii="Arial" w:cs="Arial" w:eastAsia="Arial" w:hAnsi="Arial"/>
          <w:sz w:val="14"/>
          <w:szCs w:val="14"/>
          <w:color w:val="auto"/>
        </w:rPr>
        <w:t>1b.    K. C. Graham</w:t>
      </w:r>
    </w:p>
    <w:p>
      <w:pPr>
        <w:spacing w:after="0" w:line="284" w:lineRule="exact"/>
        <w:rPr>
          <w:rFonts w:ascii="Arial" w:cs="Arial" w:eastAsia="Arial" w:hAnsi="Arial"/>
          <w:sz w:val="13"/>
          <w:szCs w:val="13"/>
          <w:color w:val="auto"/>
        </w:rPr>
      </w:pPr>
    </w:p>
    <w:p>
      <w:pPr>
        <w:ind w:left="520"/>
        <w:spacing w:after="0"/>
        <w:rPr>
          <w:rFonts w:ascii="Arial" w:cs="Arial" w:eastAsia="Arial" w:hAnsi="Arial"/>
          <w:sz w:val="13"/>
          <w:szCs w:val="13"/>
          <w:color w:val="auto"/>
        </w:rPr>
      </w:pPr>
      <w:r>
        <w:rPr>
          <w:rFonts w:ascii="Arial" w:cs="Arial" w:eastAsia="Arial" w:hAnsi="Arial"/>
          <w:sz w:val="14"/>
          <w:szCs w:val="14"/>
          <w:color w:val="auto"/>
        </w:rPr>
        <w:t>1c.    M. F. Johnston</w:t>
      </w:r>
    </w:p>
    <w:p>
      <w:pPr>
        <w:spacing w:after="0" w:line="270" w:lineRule="exact"/>
        <w:rPr>
          <w:rFonts w:ascii="Arial" w:cs="Arial" w:eastAsia="Arial" w:hAnsi="Arial"/>
          <w:sz w:val="13"/>
          <w:szCs w:val="13"/>
          <w:color w:val="auto"/>
        </w:rPr>
      </w:pPr>
    </w:p>
    <w:p>
      <w:pPr>
        <w:ind w:left="520"/>
        <w:spacing w:after="0"/>
        <w:rPr>
          <w:rFonts w:ascii="Arial" w:cs="Arial" w:eastAsia="Arial" w:hAnsi="Arial"/>
          <w:sz w:val="13"/>
          <w:szCs w:val="13"/>
          <w:color w:val="auto"/>
        </w:rPr>
      </w:pPr>
      <w:r>
        <w:rPr>
          <w:rFonts w:ascii="Arial" w:cs="Arial" w:eastAsia="Arial" w:hAnsi="Arial"/>
          <w:sz w:val="14"/>
          <w:szCs w:val="14"/>
          <w:color w:val="auto"/>
        </w:rPr>
        <w:t>1d.    R. K. Lochridge</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For  Against  Abstain</w:t>
      </w:r>
    </w:p>
    <w:p>
      <w:pPr>
        <w:spacing w:after="0" w:line="42" w:lineRule="exact"/>
        <w:rPr>
          <w:sz w:val="20"/>
          <w:szCs w:val="20"/>
          <w:color w:val="auto"/>
        </w:rPr>
      </w:pPr>
    </w:p>
    <w:p>
      <w:pPr>
        <w:ind w:left="20"/>
        <w:spacing w:after="0" w:line="181" w:lineRule="exact"/>
        <w:tabs>
          <w:tab w:leader="none" w:pos="460" w:val="left"/>
          <w:tab w:leader="none" w:pos="1060" w:val="left"/>
        </w:tabs>
        <w:rPr>
          <w:sz w:val="20"/>
          <w:szCs w:val="20"/>
          <w:color w:val="auto"/>
        </w:rPr>
      </w:pPr>
      <w:r>
        <w:rPr>
          <w:rFonts w:ascii="MS PGothic" w:cs="MS PGothic" w:eastAsia="MS PGothic" w:hAnsi="MS PGothic"/>
          <w:sz w:val="18"/>
          <w:szCs w:val="18"/>
          <w:color w:val="auto"/>
        </w:rPr>
        <w:t>☐</w:t>
        <w:tab/>
        <w:t>☐</w:t>
      </w:r>
      <w:r>
        <w:rPr>
          <w:sz w:val="20"/>
          <w:szCs w:val="20"/>
          <w:color w:val="auto"/>
        </w:rPr>
        <w:tab/>
      </w:r>
      <w:r>
        <w:rPr>
          <w:rFonts w:ascii="MS PGothic" w:cs="MS PGothic" w:eastAsia="MS PGothic" w:hAnsi="MS PGothic"/>
          <w:sz w:val="16"/>
          <w:szCs w:val="16"/>
          <w:color w:val="auto"/>
        </w:rPr>
        <w:t>☐</w:t>
      </w:r>
    </w:p>
    <w:p>
      <w:pPr>
        <w:spacing w:after="0" w:line="225" w:lineRule="exact"/>
        <w:rPr>
          <w:sz w:val="20"/>
          <w:szCs w:val="20"/>
          <w:color w:val="auto"/>
        </w:rPr>
      </w:pPr>
    </w:p>
    <w:p>
      <w:pPr>
        <w:ind w:left="20"/>
        <w:spacing w:after="0" w:line="181" w:lineRule="exact"/>
        <w:tabs>
          <w:tab w:leader="none" w:pos="460" w:val="left"/>
          <w:tab w:leader="none" w:pos="1060" w:val="left"/>
        </w:tabs>
        <w:rPr>
          <w:sz w:val="20"/>
          <w:szCs w:val="20"/>
          <w:color w:val="auto"/>
        </w:rPr>
      </w:pPr>
      <w:r>
        <w:rPr>
          <w:rFonts w:ascii="MS PGothic" w:cs="MS PGothic" w:eastAsia="MS PGothic" w:hAnsi="MS PGothic"/>
          <w:sz w:val="18"/>
          <w:szCs w:val="18"/>
          <w:color w:val="auto"/>
        </w:rPr>
        <w:t>☐</w:t>
        <w:tab/>
        <w:t>☐</w:t>
      </w:r>
      <w:r>
        <w:rPr>
          <w:sz w:val="20"/>
          <w:szCs w:val="20"/>
          <w:color w:val="auto"/>
        </w:rPr>
        <w:tab/>
      </w:r>
      <w:r>
        <w:rPr>
          <w:rFonts w:ascii="MS PGothic" w:cs="MS PGothic" w:eastAsia="MS PGothic" w:hAnsi="MS PGothic"/>
          <w:sz w:val="16"/>
          <w:szCs w:val="16"/>
          <w:color w:val="auto"/>
        </w:rPr>
        <w:t>☐</w:t>
      </w:r>
    </w:p>
    <w:p>
      <w:pPr>
        <w:spacing w:after="0" w:line="279" w:lineRule="exact"/>
        <w:rPr>
          <w:sz w:val="20"/>
          <w:szCs w:val="20"/>
          <w:color w:val="auto"/>
        </w:rPr>
      </w:pPr>
    </w:p>
    <w:p>
      <w:pPr>
        <w:ind w:left="20"/>
        <w:spacing w:after="0" w:line="181" w:lineRule="exact"/>
        <w:tabs>
          <w:tab w:leader="none" w:pos="460" w:val="left"/>
          <w:tab w:leader="none" w:pos="1060" w:val="left"/>
        </w:tabs>
        <w:rPr>
          <w:sz w:val="20"/>
          <w:szCs w:val="20"/>
          <w:color w:val="auto"/>
        </w:rPr>
      </w:pPr>
      <w:r>
        <w:rPr>
          <w:rFonts w:ascii="MS PGothic" w:cs="MS PGothic" w:eastAsia="MS PGothic" w:hAnsi="MS PGothic"/>
          <w:sz w:val="18"/>
          <w:szCs w:val="18"/>
          <w:color w:val="auto"/>
        </w:rPr>
        <w:t>☐</w:t>
        <w:tab/>
        <w:t>☐</w:t>
      </w:r>
      <w:r>
        <w:rPr>
          <w:sz w:val="20"/>
          <w:szCs w:val="20"/>
          <w:color w:val="auto"/>
        </w:rPr>
        <w:tab/>
      </w:r>
      <w:r>
        <w:rPr>
          <w:rFonts w:ascii="MS PGothic" w:cs="MS PGothic" w:eastAsia="MS PGothic" w:hAnsi="MS PGothic"/>
          <w:sz w:val="16"/>
          <w:szCs w:val="16"/>
          <w:color w:val="auto"/>
        </w:rPr>
        <w:t>☐</w:t>
      </w:r>
    </w:p>
    <w:p>
      <w:pPr>
        <w:spacing w:after="0" w:line="238" w:lineRule="exact"/>
        <w:rPr>
          <w:sz w:val="20"/>
          <w:szCs w:val="20"/>
          <w:color w:val="auto"/>
        </w:rPr>
      </w:pPr>
    </w:p>
    <w:p>
      <w:pPr>
        <w:ind w:left="20"/>
        <w:spacing w:after="0" w:line="181" w:lineRule="exact"/>
        <w:tabs>
          <w:tab w:leader="none" w:pos="460" w:val="left"/>
          <w:tab w:leader="none" w:pos="1060" w:val="left"/>
        </w:tabs>
        <w:rPr>
          <w:sz w:val="20"/>
          <w:szCs w:val="20"/>
          <w:color w:val="auto"/>
        </w:rPr>
      </w:pPr>
      <w:r>
        <w:rPr>
          <w:rFonts w:ascii="MS PGothic" w:cs="MS PGothic" w:eastAsia="MS PGothic" w:hAnsi="MS PGothic"/>
          <w:sz w:val="18"/>
          <w:szCs w:val="18"/>
          <w:color w:val="auto"/>
        </w:rPr>
        <w:t>☐</w:t>
        <w:tab/>
        <w:t>☐</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ind w:left="6"/>
        <w:spacing w:after="0" w:line="258" w:lineRule="auto"/>
        <w:rPr>
          <w:sz w:val="20"/>
          <w:szCs w:val="20"/>
          <w:color w:val="auto"/>
        </w:rPr>
      </w:pPr>
      <w:r>
        <w:rPr>
          <w:rFonts w:ascii="Arial" w:cs="Arial" w:eastAsia="Arial" w:hAnsi="Arial"/>
          <w:sz w:val="14"/>
          <w:szCs w:val="14"/>
          <w:b w:val="1"/>
          <w:bCs w:val="1"/>
          <w:color w:val="auto"/>
        </w:rPr>
        <w:t xml:space="preserve">The Board of Directors recommends a vote </w:t>
      </w:r>
      <w:r>
        <w:rPr>
          <w:rFonts w:ascii="Arial" w:cs="Arial" w:eastAsia="Arial" w:hAnsi="Arial"/>
          <w:sz w:val="14"/>
          <w:szCs w:val="14"/>
          <w:b w:val="1"/>
          <w:bCs w:val="1"/>
          <w:u w:val="single" w:color="auto"/>
          <w:color w:val="auto"/>
        </w:rPr>
        <w:t>FOR</w:t>
      </w:r>
      <w:r>
        <w:rPr>
          <w:rFonts w:ascii="Arial" w:cs="Arial" w:eastAsia="Arial" w:hAnsi="Arial"/>
          <w:sz w:val="14"/>
          <w:szCs w:val="14"/>
          <w:b w:val="1"/>
          <w:bCs w:val="1"/>
          <w:color w:val="auto"/>
        </w:rPr>
        <w:t xml:space="preserve"> Items 2, 3, 4 and 5:</w:t>
      </w:r>
    </w:p>
    <w:p>
      <w:pPr>
        <w:spacing w:after="0" w:line="22" w:lineRule="exact"/>
        <w:rPr>
          <w:sz w:val="20"/>
          <w:szCs w:val="20"/>
          <w:color w:val="auto"/>
        </w:rPr>
      </w:pPr>
    </w:p>
    <w:p>
      <w:pPr>
        <w:ind w:left="306" w:right="80" w:hanging="306"/>
        <w:spacing w:after="0" w:line="237" w:lineRule="auto"/>
        <w:tabs>
          <w:tab w:leader="none" w:pos="306" w:val="left"/>
        </w:tabs>
        <w:numPr>
          <w:ilvl w:val="0"/>
          <w:numId w:val="81"/>
        </w:numPr>
        <w:rPr>
          <w:rFonts w:ascii="Arial" w:cs="Arial" w:eastAsia="Arial" w:hAnsi="Arial"/>
          <w:sz w:val="14"/>
          <w:szCs w:val="14"/>
          <w:color w:val="auto"/>
        </w:rPr>
      </w:pPr>
      <w:r>
        <w:rPr>
          <w:rFonts w:ascii="Arial" w:cs="Arial" w:eastAsia="Arial" w:hAnsi="Arial"/>
          <w:sz w:val="14"/>
          <w:szCs w:val="14"/>
          <w:color w:val="auto"/>
        </w:rPr>
        <w:t>To ratify the appointment of PricewaterhouseCoopers LLP as our independent registered public accounting firm for 2018.</w:t>
      </w:r>
    </w:p>
    <w:p>
      <w:pPr>
        <w:spacing w:after="0" w:line="49" w:lineRule="exact"/>
        <w:rPr>
          <w:rFonts w:ascii="Arial" w:cs="Arial" w:eastAsia="Arial" w:hAnsi="Arial"/>
          <w:sz w:val="14"/>
          <w:szCs w:val="14"/>
          <w:color w:val="auto"/>
        </w:rPr>
      </w:pPr>
    </w:p>
    <w:p>
      <w:pPr>
        <w:ind w:left="306" w:right="100" w:hanging="306"/>
        <w:spacing w:after="0" w:line="252" w:lineRule="auto"/>
        <w:tabs>
          <w:tab w:leader="none" w:pos="306" w:val="left"/>
        </w:tabs>
        <w:numPr>
          <w:ilvl w:val="0"/>
          <w:numId w:val="81"/>
        </w:numPr>
        <w:rPr>
          <w:rFonts w:ascii="Arial" w:cs="Arial" w:eastAsia="Arial" w:hAnsi="Arial"/>
          <w:sz w:val="14"/>
          <w:szCs w:val="14"/>
          <w:color w:val="auto"/>
        </w:rPr>
      </w:pPr>
      <w:r>
        <w:rPr>
          <w:rFonts w:ascii="Arial" w:cs="Arial" w:eastAsia="Arial" w:hAnsi="Arial"/>
          <w:sz w:val="14"/>
          <w:szCs w:val="14"/>
          <w:color w:val="auto"/>
        </w:rPr>
        <w:t>To approve, on an advisory basis, named executive officer compensation.</w:t>
      </w:r>
    </w:p>
    <w:p>
      <w:pPr>
        <w:spacing w:after="0" w:line="39" w:lineRule="exact"/>
        <w:rPr>
          <w:rFonts w:ascii="Arial" w:cs="Arial" w:eastAsia="Arial" w:hAnsi="Arial"/>
          <w:sz w:val="14"/>
          <w:szCs w:val="14"/>
          <w:color w:val="auto"/>
        </w:rPr>
      </w:pPr>
    </w:p>
    <w:p>
      <w:pPr>
        <w:ind w:left="306" w:right="60" w:hanging="306"/>
        <w:spacing w:after="0" w:line="237" w:lineRule="auto"/>
        <w:tabs>
          <w:tab w:leader="none" w:pos="306" w:val="left"/>
        </w:tabs>
        <w:numPr>
          <w:ilvl w:val="0"/>
          <w:numId w:val="81"/>
        </w:numPr>
        <w:rPr>
          <w:rFonts w:ascii="Arial" w:cs="Arial" w:eastAsia="Arial" w:hAnsi="Arial"/>
          <w:sz w:val="14"/>
          <w:szCs w:val="14"/>
          <w:color w:val="auto"/>
        </w:rPr>
      </w:pPr>
      <w:r>
        <w:rPr>
          <w:rFonts w:ascii="Arial" w:cs="Arial" w:eastAsia="Arial" w:hAnsi="Arial"/>
          <w:sz w:val="14"/>
          <w:szCs w:val="14"/>
          <w:color w:val="auto"/>
        </w:rPr>
        <w:t>To approve amendments to Article 15 of our Restated Certificate of Incorporation to eliminate the super-majority voting requirement.</w:t>
      </w:r>
    </w:p>
    <w:p>
      <w:pPr>
        <w:spacing w:after="0" w:line="20" w:lineRule="exact"/>
        <w:rPr>
          <w:sz w:val="20"/>
          <w:szCs w:val="20"/>
          <w:color w:val="auto"/>
        </w:rPr>
      </w:pPr>
      <w:r>
        <w:rPr>
          <w:sz w:val="20"/>
          <w:szCs w:val="20"/>
          <w:color w:val="auto"/>
        </w:rPr>
        <w:br w:type="column"/>
      </w:r>
    </w:p>
    <w:p>
      <w:pPr>
        <w:spacing w:after="0" w:line="343" w:lineRule="exact"/>
        <w:rPr>
          <w:sz w:val="20"/>
          <w:szCs w:val="20"/>
          <w:color w:val="auto"/>
        </w:rPr>
      </w:pPr>
    </w:p>
    <w:p>
      <w:pPr>
        <w:spacing w:after="0"/>
        <w:tabs>
          <w:tab w:leader="none" w:pos="360" w:val="left"/>
          <w:tab w:leader="none" w:pos="1000" w:val="left"/>
        </w:tabs>
        <w:rPr>
          <w:sz w:val="20"/>
          <w:szCs w:val="20"/>
          <w:color w:val="auto"/>
        </w:rPr>
      </w:pPr>
      <w:r>
        <w:rPr>
          <w:rFonts w:ascii="Arial" w:cs="Arial" w:eastAsia="Arial" w:hAnsi="Arial"/>
          <w:sz w:val="14"/>
          <w:szCs w:val="14"/>
          <w:b w:val="1"/>
          <w:bCs w:val="1"/>
          <w:color w:val="auto"/>
        </w:rPr>
        <w:t>For</w:t>
        <w:tab/>
        <w:t>Against</w:t>
      </w:r>
      <w:r>
        <w:rPr>
          <w:sz w:val="20"/>
          <w:szCs w:val="20"/>
          <w:color w:val="auto"/>
        </w:rPr>
        <w:tab/>
      </w:r>
      <w:r>
        <w:rPr>
          <w:rFonts w:ascii="Arial" w:cs="Arial" w:eastAsia="Arial" w:hAnsi="Arial"/>
          <w:sz w:val="13"/>
          <w:szCs w:val="13"/>
          <w:b w:val="1"/>
          <w:bCs w:val="1"/>
          <w:color w:val="auto"/>
        </w:rPr>
        <w:t>Abstain</w:t>
      </w:r>
    </w:p>
    <w:p>
      <w:pPr>
        <w:spacing w:after="0" w:line="31" w:lineRule="exact"/>
        <w:rPr>
          <w:sz w:val="20"/>
          <w:szCs w:val="20"/>
          <w:color w:val="auto"/>
        </w:rPr>
      </w:pPr>
    </w:p>
    <w:p>
      <w:pPr>
        <w:ind w:left="40"/>
        <w:spacing w:after="0" w:line="181" w:lineRule="exact"/>
        <w:tabs>
          <w:tab w:leader="none" w:pos="520" w:val="left"/>
          <w:tab w:leader="none" w:pos="1140" w:val="left"/>
        </w:tabs>
        <w:rPr>
          <w:sz w:val="20"/>
          <w:szCs w:val="20"/>
          <w:color w:val="auto"/>
        </w:rPr>
      </w:pPr>
      <w:r>
        <w:rPr>
          <w:rFonts w:ascii="MS PGothic" w:cs="MS PGothic" w:eastAsia="MS PGothic" w:hAnsi="MS PGothic"/>
          <w:sz w:val="18"/>
          <w:szCs w:val="18"/>
          <w:color w:val="auto"/>
        </w:rPr>
        <w:t>☐</w:t>
        <w:tab/>
        <w:t>☐</w:t>
      </w:r>
      <w:r>
        <w:rPr>
          <w:sz w:val="20"/>
          <w:szCs w:val="20"/>
          <w:color w:val="auto"/>
        </w:rPr>
        <w:tab/>
      </w:r>
      <w:r>
        <w:rPr>
          <w:rFonts w:ascii="MS PGothic" w:cs="MS PGothic" w:eastAsia="MS PGothic" w:hAnsi="MS PGothic"/>
          <w:sz w:val="18"/>
          <w:szCs w:val="18"/>
          <w:color w:val="auto"/>
        </w:rPr>
        <w:t>☐</w:t>
      </w:r>
    </w:p>
    <w:p>
      <w:pPr>
        <w:spacing w:after="0" w:line="346" w:lineRule="exact"/>
        <w:rPr>
          <w:sz w:val="20"/>
          <w:szCs w:val="20"/>
          <w:color w:val="auto"/>
        </w:rPr>
      </w:pPr>
    </w:p>
    <w:p>
      <w:pPr>
        <w:ind w:left="40"/>
        <w:spacing w:after="0" w:line="181" w:lineRule="exact"/>
        <w:tabs>
          <w:tab w:leader="none" w:pos="520" w:val="left"/>
          <w:tab w:leader="none" w:pos="1140" w:val="left"/>
        </w:tabs>
        <w:rPr>
          <w:sz w:val="20"/>
          <w:szCs w:val="20"/>
          <w:color w:val="auto"/>
        </w:rPr>
      </w:pPr>
      <w:r>
        <w:rPr>
          <w:rFonts w:ascii="MS PGothic" w:cs="MS PGothic" w:eastAsia="MS PGothic" w:hAnsi="MS PGothic"/>
          <w:sz w:val="18"/>
          <w:szCs w:val="18"/>
          <w:color w:val="auto"/>
        </w:rPr>
        <w:t>☐</w:t>
        <w:tab/>
        <w:t>☐</w:t>
      </w:r>
      <w:r>
        <w:rPr>
          <w:sz w:val="20"/>
          <w:szCs w:val="20"/>
          <w:color w:val="auto"/>
        </w:rPr>
        <w:tab/>
      </w:r>
      <w:r>
        <w:rPr>
          <w:rFonts w:ascii="MS PGothic" w:cs="MS PGothic" w:eastAsia="MS PGothic" w:hAnsi="MS PGothic"/>
          <w:sz w:val="18"/>
          <w:szCs w:val="18"/>
          <w:color w:val="auto"/>
        </w:rPr>
        <w:t>☐</w:t>
      </w:r>
    </w:p>
    <w:p>
      <w:pPr>
        <w:spacing w:after="0" w:line="198" w:lineRule="exact"/>
        <w:rPr>
          <w:sz w:val="20"/>
          <w:szCs w:val="20"/>
          <w:color w:val="auto"/>
        </w:rPr>
      </w:pPr>
    </w:p>
    <w:p>
      <w:pPr>
        <w:ind w:left="40"/>
        <w:spacing w:after="0" w:line="181" w:lineRule="exact"/>
        <w:tabs>
          <w:tab w:leader="none" w:pos="520" w:val="left"/>
          <w:tab w:leader="none" w:pos="1140" w:val="left"/>
        </w:tabs>
        <w:rPr>
          <w:sz w:val="20"/>
          <w:szCs w:val="20"/>
          <w:color w:val="auto"/>
        </w:rPr>
      </w:pPr>
      <w:r>
        <w:rPr>
          <w:rFonts w:ascii="MS PGothic" w:cs="MS PGothic" w:eastAsia="MS PGothic" w:hAnsi="MS PGothic"/>
          <w:sz w:val="18"/>
          <w:szCs w:val="18"/>
          <w:color w:val="auto"/>
        </w:rPr>
        <w:t>☐</w:t>
        <w:tab/>
        <w:t>☐</w:t>
      </w:r>
      <w:r>
        <w:rPr>
          <w:sz w:val="20"/>
          <w:szCs w:val="20"/>
          <w:color w:val="auto"/>
        </w:rPr>
        <w:tab/>
      </w:r>
      <w:r>
        <w:rPr>
          <w:rFonts w:ascii="MS PGothic" w:cs="MS PGothic" w:eastAsia="MS PGothic" w:hAnsi="MS PGothic"/>
          <w:sz w:val="18"/>
          <w:szCs w:val="18"/>
          <w:color w:val="auto"/>
        </w:rPr>
        <w:t>☐</w:t>
      </w:r>
    </w:p>
    <w:p>
      <w:pPr>
        <w:spacing w:after="0" w:line="346" w:lineRule="exact"/>
        <w:rPr>
          <w:sz w:val="20"/>
          <w:szCs w:val="20"/>
          <w:color w:val="auto"/>
        </w:rPr>
      </w:pPr>
    </w:p>
    <w:p>
      <w:pPr>
        <w:sectPr>
          <w:pgSz w:w="11900" w:h="16838" w:orient="portrait"/>
          <w:cols w:equalWidth="0" w:num="4">
            <w:col w:w="3220" w:space="720"/>
            <w:col w:w="1400" w:space="334"/>
            <w:col w:w="3746" w:space="120"/>
            <w:col w:w="1880"/>
          </w:cols>
          <w:pgMar w:left="240" w:top="459" w:right="239" w:bottom="1440" w:gutter="0" w:footer="0" w:header="0"/>
          <w:type w:val="continuous"/>
        </w:sectPr>
      </w:pPr>
    </w:p>
    <w:p>
      <w:pPr>
        <w:spacing w:after="0" w:line="16"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300" w:type="dxa"/>
            <w:vAlign w:val="bottom"/>
            <w:vMerge w:val="restart"/>
          </w:tcPr>
          <w:p>
            <w:pPr>
              <w:spacing w:after="0"/>
              <w:rPr>
                <w:sz w:val="20"/>
                <w:szCs w:val="20"/>
                <w:color w:val="auto"/>
              </w:rPr>
            </w:pPr>
            <w:r>
              <w:rPr>
                <w:rFonts w:ascii="Arial" w:cs="Arial" w:eastAsia="Arial" w:hAnsi="Arial"/>
                <w:sz w:val="14"/>
                <w:szCs w:val="14"/>
                <w:color w:val="auto"/>
              </w:rPr>
              <w:t>1e.</w:t>
            </w:r>
          </w:p>
        </w:tc>
        <w:tc>
          <w:tcPr>
            <w:tcW w:w="2060" w:type="dxa"/>
            <w:vAlign w:val="bottom"/>
            <w:vMerge w:val="restart"/>
          </w:tcPr>
          <w:p>
            <w:pPr>
              <w:ind w:left="120"/>
              <w:spacing w:after="0"/>
              <w:rPr>
                <w:sz w:val="20"/>
                <w:szCs w:val="20"/>
                <w:color w:val="auto"/>
              </w:rPr>
            </w:pPr>
            <w:r>
              <w:rPr>
                <w:rFonts w:ascii="Arial" w:cs="Arial" w:eastAsia="Arial" w:hAnsi="Arial"/>
                <w:sz w:val="14"/>
                <w:szCs w:val="14"/>
                <w:color w:val="auto"/>
              </w:rPr>
              <w:t>E. A. Spiegel</w:t>
            </w:r>
          </w:p>
        </w:tc>
        <w:tc>
          <w:tcPr>
            <w:tcW w:w="1400" w:type="dxa"/>
            <w:vAlign w:val="bottom"/>
            <w:vMerge w:val="restart"/>
          </w:tcPr>
          <w:p>
            <w:pPr>
              <w:ind w:left="1080"/>
              <w:spacing w:after="0" w:line="181" w:lineRule="exact"/>
              <w:rPr>
                <w:sz w:val="20"/>
                <w:szCs w:val="20"/>
                <w:color w:val="auto"/>
              </w:rPr>
            </w:pPr>
            <w:r>
              <w:rPr>
                <w:rFonts w:ascii="MS PGothic" w:cs="MS PGothic" w:eastAsia="MS PGothic" w:hAnsi="MS PGothic"/>
                <w:sz w:val="18"/>
                <w:szCs w:val="18"/>
                <w:color w:val="auto"/>
              </w:rPr>
              <w:t>☐</w:t>
            </w:r>
          </w:p>
        </w:tc>
        <w:tc>
          <w:tcPr>
            <w:tcW w:w="520" w:type="dxa"/>
            <w:vAlign w:val="bottom"/>
            <w:vMerge w:val="restart"/>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620" w:type="dxa"/>
            <w:vAlign w:val="bottom"/>
            <w:vMerge w:val="restart"/>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3940" w:type="dxa"/>
            <w:vAlign w:val="bottom"/>
          </w:tcPr>
          <w:p>
            <w:pPr>
              <w:ind w:left="260"/>
              <w:spacing w:after="0"/>
              <w:rPr>
                <w:sz w:val="20"/>
                <w:szCs w:val="20"/>
                <w:color w:val="auto"/>
              </w:rPr>
            </w:pPr>
            <w:r>
              <w:rPr>
                <w:rFonts w:ascii="Arial" w:cs="Arial" w:eastAsia="Arial" w:hAnsi="Arial"/>
                <w:sz w:val="14"/>
                <w:szCs w:val="14"/>
                <w:color w:val="auto"/>
              </w:rPr>
              <w:t>5.   To approve amendments to Article 16 of our Restated</w:t>
            </w:r>
          </w:p>
        </w:tc>
        <w:tc>
          <w:tcPr>
            <w:tcW w:w="0" w:type="dxa"/>
            <w:vAlign w:val="bottom"/>
          </w:tcPr>
          <w:p>
            <w:pPr>
              <w:spacing w:after="0"/>
              <w:rPr>
                <w:sz w:val="1"/>
                <w:szCs w:val="1"/>
                <w:color w:val="auto"/>
              </w:rPr>
            </w:pPr>
          </w:p>
        </w:tc>
      </w:tr>
      <w:tr>
        <w:trPr>
          <w:trHeight w:val="148"/>
        </w:trPr>
        <w:tc>
          <w:tcPr>
            <w:tcW w:w="300" w:type="dxa"/>
            <w:vAlign w:val="bottom"/>
            <w:vMerge w:val="continue"/>
          </w:tcPr>
          <w:p>
            <w:pPr>
              <w:spacing w:after="0"/>
              <w:rPr>
                <w:sz w:val="12"/>
                <w:szCs w:val="12"/>
                <w:color w:val="auto"/>
              </w:rPr>
            </w:pPr>
          </w:p>
        </w:tc>
        <w:tc>
          <w:tcPr>
            <w:tcW w:w="2060" w:type="dxa"/>
            <w:vAlign w:val="bottom"/>
            <w:vMerge w:val="continue"/>
          </w:tcPr>
          <w:p>
            <w:pPr>
              <w:spacing w:after="0"/>
              <w:rPr>
                <w:sz w:val="12"/>
                <w:szCs w:val="12"/>
                <w:color w:val="auto"/>
              </w:rPr>
            </w:pPr>
          </w:p>
        </w:tc>
        <w:tc>
          <w:tcPr>
            <w:tcW w:w="140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3940" w:type="dxa"/>
            <w:vAlign w:val="bottom"/>
          </w:tcPr>
          <w:p>
            <w:pPr>
              <w:ind w:left="560"/>
              <w:spacing w:after="0" w:line="149" w:lineRule="exact"/>
              <w:rPr>
                <w:sz w:val="20"/>
                <w:szCs w:val="20"/>
                <w:color w:val="auto"/>
              </w:rPr>
            </w:pPr>
            <w:r>
              <w:rPr>
                <w:rFonts w:ascii="Arial" w:cs="Arial" w:eastAsia="Arial" w:hAnsi="Arial"/>
                <w:sz w:val="14"/>
                <w:szCs w:val="14"/>
                <w:color w:val="auto"/>
                <w:w w:val="94"/>
              </w:rPr>
              <w:t>Certificate of Incorporation to eliminate the super-majority</w:t>
            </w:r>
          </w:p>
        </w:tc>
        <w:tc>
          <w:tcPr>
            <w:tcW w:w="0" w:type="dxa"/>
            <w:vAlign w:val="bottom"/>
          </w:tcPr>
          <w:p>
            <w:pPr>
              <w:spacing w:after="0"/>
              <w:rPr>
                <w:sz w:val="1"/>
                <w:szCs w:val="1"/>
                <w:color w:val="auto"/>
              </w:rPr>
            </w:pPr>
          </w:p>
        </w:tc>
      </w:tr>
      <w:tr>
        <w:trPr>
          <w:trHeight w:val="182"/>
        </w:trPr>
        <w:tc>
          <w:tcPr>
            <w:tcW w:w="30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940" w:type="dxa"/>
            <w:vAlign w:val="bottom"/>
          </w:tcPr>
          <w:p>
            <w:pPr>
              <w:ind w:left="560"/>
              <w:spacing w:after="0"/>
              <w:rPr>
                <w:sz w:val="20"/>
                <w:szCs w:val="20"/>
                <w:color w:val="auto"/>
              </w:rPr>
            </w:pPr>
            <w:r>
              <w:rPr>
                <w:rFonts w:ascii="Arial" w:cs="Arial" w:eastAsia="Arial" w:hAnsi="Arial"/>
                <w:sz w:val="14"/>
                <w:szCs w:val="14"/>
                <w:color w:val="auto"/>
              </w:rPr>
              <w:t>voting requirement.</w:t>
            </w:r>
          </w:p>
        </w:tc>
        <w:tc>
          <w:tcPr>
            <w:tcW w:w="0" w:type="dxa"/>
            <w:vAlign w:val="bottom"/>
          </w:tcPr>
          <w:p>
            <w:pPr>
              <w:spacing w:after="0"/>
              <w:rPr>
                <w:sz w:val="1"/>
                <w:szCs w:val="1"/>
                <w:color w:val="auto"/>
              </w:rPr>
            </w:pPr>
          </w:p>
        </w:tc>
      </w:tr>
      <w:tr>
        <w:trPr>
          <w:trHeight w:val="228"/>
        </w:trPr>
        <w:tc>
          <w:tcPr>
            <w:tcW w:w="300" w:type="dxa"/>
            <w:vAlign w:val="bottom"/>
          </w:tcPr>
          <w:p>
            <w:pPr>
              <w:spacing w:after="0"/>
              <w:rPr>
                <w:sz w:val="20"/>
                <w:szCs w:val="20"/>
                <w:color w:val="auto"/>
              </w:rPr>
            </w:pPr>
            <w:r>
              <w:rPr>
                <w:rFonts w:ascii="Arial" w:cs="Arial" w:eastAsia="Arial" w:hAnsi="Arial"/>
                <w:sz w:val="14"/>
                <w:szCs w:val="14"/>
                <w:color w:val="auto"/>
              </w:rPr>
              <w:t>1f.</w:t>
            </w:r>
          </w:p>
        </w:tc>
        <w:tc>
          <w:tcPr>
            <w:tcW w:w="2060" w:type="dxa"/>
            <w:vAlign w:val="bottom"/>
          </w:tcPr>
          <w:p>
            <w:pPr>
              <w:ind w:left="120"/>
              <w:spacing w:after="0"/>
              <w:rPr>
                <w:sz w:val="20"/>
                <w:szCs w:val="20"/>
                <w:color w:val="auto"/>
              </w:rPr>
            </w:pPr>
            <w:r>
              <w:rPr>
                <w:rFonts w:ascii="Arial" w:cs="Arial" w:eastAsia="Arial" w:hAnsi="Arial"/>
                <w:sz w:val="14"/>
                <w:szCs w:val="14"/>
                <w:color w:val="auto"/>
              </w:rPr>
              <w:t>R. J. Tobin</w:t>
            </w:r>
          </w:p>
        </w:tc>
        <w:tc>
          <w:tcPr>
            <w:tcW w:w="1400" w:type="dxa"/>
            <w:vAlign w:val="bottom"/>
          </w:tcPr>
          <w:p>
            <w:pPr>
              <w:ind w:left="1080"/>
              <w:spacing w:after="0" w:line="181" w:lineRule="exact"/>
              <w:rPr>
                <w:sz w:val="20"/>
                <w:szCs w:val="20"/>
                <w:color w:val="auto"/>
              </w:rPr>
            </w:pPr>
            <w:r>
              <w:rPr>
                <w:rFonts w:ascii="MS PGothic" w:cs="MS PGothic" w:eastAsia="MS PGothic" w:hAnsi="MS PGothic"/>
                <w:sz w:val="18"/>
                <w:szCs w:val="18"/>
                <w:color w:val="auto"/>
              </w:rPr>
              <w:t>☐</w:t>
            </w:r>
          </w:p>
        </w:tc>
        <w:tc>
          <w:tcPr>
            <w:tcW w:w="52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62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3940" w:type="dxa"/>
            <w:vAlign w:val="bottom"/>
          </w:tcPr>
          <w:p>
            <w:pPr>
              <w:ind w:left="260"/>
              <w:spacing w:after="0"/>
              <w:rPr>
                <w:sz w:val="20"/>
                <w:szCs w:val="20"/>
                <w:color w:val="auto"/>
              </w:rPr>
            </w:pPr>
            <w:r>
              <w:rPr>
                <w:rFonts w:ascii="Arial" w:cs="Arial" w:eastAsia="Arial" w:hAnsi="Arial"/>
                <w:sz w:val="14"/>
                <w:szCs w:val="14"/>
                <w:b w:val="1"/>
                <w:bCs w:val="1"/>
                <w:color w:val="auto"/>
                <w:w w:val="95"/>
              </w:rPr>
              <w:t xml:space="preserve">NOTE: </w:t>
            </w:r>
            <w:r>
              <w:rPr>
                <w:rFonts w:ascii="Arial" w:cs="Arial" w:eastAsia="Arial" w:hAnsi="Arial"/>
                <w:sz w:val="14"/>
                <w:szCs w:val="14"/>
                <w:color w:val="auto"/>
                <w:w w:val="95"/>
              </w:rPr>
              <w:t>Such other business as may properly come before the</w:t>
            </w:r>
          </w:p>
        </w:tc>
        <w:tc>
          <w:tcPr>
            <w:tcW w:w="0" w:type="dxa"/>
            <w:vAlign w:val="bottom"/>
          </w:tcPr>
          <w:p>
            <w:pPr>
              <w:spacing w:after="0"/>
              <w:rPr>
                <w:sz w:val="1"/>
                <w:szCs w:val="1"/>
                <w:color w:val="auto"/>
              </w:rPr>
            </w:pPr>
          </w:p>
        </w:tc>
      </w:tr>
      <w:tr>
        <w:trPr>
          <w:trHeight w:val="182"/>
        </w:trPr>
        <w:tc>
          <w:tcPr>
            <w:tcW w:w="30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940" w:type="dxa"/>
            <w:vAlign w:val="bottom"/>
          </w:tcPr>
          <w:p>
            <w:pPr>
              <w:ind w:left="260"/>
              <w:spacing w:after="0"/>
              <w:rPr>
                <w:sz w:val="20"/>
                <w:szCs w:val="20"/>
                <w:color w:val="auto"/>
              </w:rPr>
            </w:pPr>
            <w:r>
              <w:rPr>
                <w:rFonts w:ascii="Arial" w:cs="Arial" w:eastAsia="Arial" w:hAnsi="Arial"/>
                <w:sz w:val="14"/>
                <w:szCs w:val="14"/>
                <w:color w:val="auto"/>
              </w:rPr>
              <w:t>meeting or any adjournment thereof.</w:t>
            </w:r>
          </w:p>
        </w:tc>
        <w:tc>
          <w:tcPr>
            <w:tcW w:w="0" w:type="dxa"/>
            <w:vAlign w:val="bottom"/>
          </w:tcPr>
          <w:p>
            <w:pPr>
              <w:spacing w:after="0"/>
              <w:rPr>
                <w:sz w:val="1"/>
                <w:szCs w:val="1"/>
                <w:color w:val="auto"/>
              </w:rPr>
            </w:pPr>
          </w:p>
        </w:tc>
      </w:tr>
      <w:tr>
        <w:trPr>
          <w:trHeight w:val="324"/>
        </w:trPr>
        <w:tc>
          <w:tcPr>
            <w:tcW w:w="300" w:type="dxa"/>
            <w:vAlign w:val="bottom"/>
          </w:tcPr>
          <w:p>
            <w:pPr>
              <w:spacing w:after="0"/>
              <w:rPr>
                <w:sz w:val="20"/>
                <w:szCs w:val="20"/>
                <w:color w:val="auto"/>
              </w:rPr>
            </w:pPr>
            <w:r>
              <w:rPr>
                <w:rFonts w:ascii="Arial" w:cs="Arial" w:eastAsia="Arial" w:hAnsi="Arial"/>
                <w:sz w:val="14"/>
                <w:szCs w:val="14"/>
                <w:color w:val="auto"/>
              </w:rPr>
              <w:t>1g.</w:t>
            </w:r>
          </w:p>
        </w:tc>
        <w:tc>
          <w:tcPr>
            <w:tcW w:w="2060" w:type="dxa"/>
            <w:vAlign w:val="bottom"/>
          </w:tcPr>
          <w:p>
            <w:pPr>
              <w:ind w:left="120"/>
              <w:spacing w:after="0"/>
              <w:rPr>
                <w:sz w:val="20"/>
                <w:szCs w:val="20"/>
                <w:color w:val="auto"/>
              </w:rPr>
            </w:pPr>
            <w:r>
              <w:rPr>
                <w:rFonts w:ascii="Arial" w:cs="Arial" w:eastAsia="Arial" w:hAnsi="Arial"/>
                <w:sz w:val="14"/>
                <w:szCs w:val="14"/>
                <w:color w:val="auto"/>
              </w:rPr>
              <w:t>S. M. Todd</w:t>
            </w:r>
          </w:p>
        </w:tc>
        <w:tc>
          <w:tcPr>
            <w:tcW w:w="1400" w:type="dxa"/>
            <w:vAlign w:val="bottom"/>
          </w:tcPr>
          <w:p>
            <w:pPr>
              <w:ind w:left="1080"/>
              <w:spacing w:after="0" w:line="181" w:lineRule="exact"/>
              <w:rPr>
                <w:sz w:val="20"/>
                <w:szCs w:val="20"/>
                <w:color w:val="auto"/>
              </w:rPr>
            </w:pPr>
            <w:r>
              <w:rPr>
                <w:rFonts w:ascii="MS PGothic" w:cs="MS PGothic" w:eastAsia="MS PGothic" w:hAnsi="MS PGothic"/>
                <w:sz w:val="18"/>
                <w:szCs w:val="18"/>
                <w:color w:val="auto"/>
              </w:rPr>
              <w:t>☐</w:t>
            </w:r>
          </w:p>
        </w:tc>
        <w:tc>
          <w:tcPr>
            <w:tcW w:w="52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62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300" w:type="dxa"/>
            <w:vAlign w:val="bottom"/>
          </w:tcPr>
          <w:p>
            <w:pPr>
              <w:spacing w:after="0"/>
              <w:rPr>
                <w:sz w:val="20"/>
                <w:szCs w:val="20"/>
                <w:color w:val="auto"/>
              </w:rPr>
            </w:pPr>
            <w:r>
              <w:rPr>
                <w:rFonts w:ascii="Arial" w:cs="Arial" w:eastAsia="Arial" w:hAnsi="Arial"/>
                <w:sz w:val="14"/>
                <w:szCs w:val="14"/>
                <w:color w:val="auto"/>
              </w:rPr>
              <w:t>1h.</w:t>
            </w:r>
          </w:p>
        </w:tc>
        <w:tc>
          <w:tcPr>
            <w:tcW w:w="2060" w:type="dxa"/>
            <w:vAlign w:val="bottom"/>
          </w:tcPr>
          <w:p>
            <w:pPr>
              <w:ind w:left="160"/>
              <w:spacing w:after="0"/>
              <w:rPr>
                <w:sz w:val="20"/>
                <w:szCs w:val="20"/>
                <w:color w:val="auto"/>
              </w:rPr>
            </w:pPr>
            <w:r>
              <w:rPr>
                <w:rFonts w:ascii="Arial" w:cs="Arial" w:eastAsia="Arial" w:hAnsi="Arial"/>
                <w:sz w:val="14"/>
                <w:szCs w:val="14"/>
                <w:color w:val="auto"/>
              </w:rPr>
              <w:t>S. K. Wagner</w:t>
            </w:r>
          </w:p>
        </w:tc>
        <w:tc>
          <w:tcPr>
            <w:tcW w:w="1400" w:type="dxa"/>
            <w:vAlign w:val="bottom"/>
          </w:tcPr>
          <w:p>
            <w:pPr>
              <w:ind w:left="1080"/>
              <w:spacing w:after="0" w:line="181" w:lineRule="exact"/>
              <w:rPr>
                <w:sz w:val="20"/>
                <w:szCs w:val="20"/>
                <w:color w:val="auto"/>
              </w:rPr>
            </w:pPr>
            <w:r>
              <w:rPr>
                <w:rFonts w:ascii="MS PGothic" w:cs="MS PGothic" w:eastAsia="MS PGothic" w:hAnsi="MS PGothic"/>
                <w:sz w:val="18"/>
                <w:szCs w:val="18"/>
                <w:color w:val="auto"/>
              </w:rPr>
              <w:t>☐</w:t>
            </w:r>
          </w:p>
        </w:tc>
        <w:tc>
          <w:tcPr>
            <w:tcW w:w="52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62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300" w:type="dxa"/>
            <w:vAlign w:val="bottom"/>
          </w:tcPr>
          <w:p>
            <w:pPr>
              <w:spacing w:after="0"/>
              <w:rPr>
                <w:sz w:val="20"/>
                <w:szCs w:val="20"/>
                <w:color w:val="auto"/>
              </w:rPr>
            </w:pPr>
            <w:r>
              <w:rPr>
                <w:rFonts w:ascii="Arial" w:cs="Arial" w:eastAsia="Arial" w:hAnsi="Arial"/>
                <w:sz w:val="14"/>
                <w:szCs w:val="14"/>
                <w:color w:val="auto"/>
              </w:rPr>
              <w:t>1i.</w:t>
            </w:r>
          </w:p>
        </w:tc>
        <w:tc>
          <w:tcPr>
            <w:tcW w:w="2060" w:type="dxa"/>
            <w:vAlign w:val="bottom"/>
          </w:tcPr>
          <w:p>
            <w:pPr>
              <w:ind w:left="160"/>
              <w:spacing w:after="0"/>
              <w:rPr>
                <w:sz w:val="20"/>
                <w:szCs w:val="20"/>
                <w:color w:val="auto"/>
              </w:rPr>
            </w:pPr>
            <w:r>
              <w:rPr>
                <w:rFonts w:ascii="Arial" w:cs="Arial" w:eastAsia="Arial" w:hAnsi="Arial"/>
                <w:sz w:val="14"/>
                <w:szCs w:val="14"/>
                <w:color w:val="auto"/>
              </w:rPr>
              <w:t>K. E. Wandell</w:t>
            </w:r>
          </w:p>
        </w:tc>
        <w:tc>
          <w:tcPr>
            <w:tcW w:w="1400" w:type="dxa"/>
            <w:vAlign w:val="bottom"/>
          </w:tcPr>
          <w:p>
            <w:pPr>
              <w:ind w:left="1080"/>
              <w:spacing w:after="0" w:line="181" w:lineRule="exact"/>
              <w:rPr>
                <w:sz w:val="20"/>
                <w:szCs w:val="20"/>
                <w:color w:val="auto"/>
              </w:rPr>
            </w:pPr>
            <w:r>
              <w:rPr>
                <w:rFonts w:ascii="MS PGothic" w:cs="MS PGothic" w:eastAsia="MS PGothic" w:hAnsi="MS PGothic"/>
                <w:sz w:val="18"/>
                <w:szCs w:val="18"/>
                <w:color w:val="auto"/>
              </w:rPr>
              <w:t>☐</w:t>
            </w:r>
          </w:p>
        </w:tc>
        <w:tc>
          <w:tcPr>
            <w:tcW w:w="52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62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300" w:type="dxa"/>
            <w:vAlign w:val="bottom"/>
          </w:tcPr>
          <w:p>
            <w:pPr>
              <w:spacing w:after="0"/>
              <w:rPr>
                <w:sz w:val="20"/>
                <w:szCs w:val="20"/>
                <w:color w:val="auto"/>
              </w:rPr>
            </w:pPr>
            <w:r>
              <w:rPr>
                <w:rFonts w:ascii="Arial" w:cs="Arial" w:eastAsia="Arial" w:hAnsi="Arial"/>
                <w:sz w:val="14"/>
                <w:szCs w:val="14"/>
                <w:color w:val="auto"/>
              </w:rPr>
              <w:t>1j.</w:t>
            </w:r>
          </w:p>
        </w:tc>
        <w:tc>
          <w:tcPr>
            <w:tcW w:w="2060" w:type="dxa"/>
            <w:vAlign w:val="bottom"/>
          </w:tcPr>
          <w:p>
            <w:pPr>
              <w:ind w:left="120"/>
              <w:spacing w:after="0"/>
              <w:rPr>
                <w:sz w:val="20"/>
                <w:szCs w:val="20"/>
                <w:color w:val="auto"/>
              </w:rPr>
            </w:pPr>
            <w:r>
              <w:rPr>
                <w:rFonts w:ascii="Arial" w:cs="Arial" w:eastAsia="Arial" w:hAnsi="Arial"/>
                <w:sz w:val="14"/>
                <w:szCs w:val="14"/>
                <w:color w:val="auto"/>
              </w:rPr>
              <w:t>M. A. Winston</w:t>
            </w:r>
          </w:p>
        </w:tc>
        <w:tc>
          <w:tcPr>
            <w:tcW w:w="1400" w:type="dxa"/>
            <w:vAlign w:val="bottom"/>
          </w:tcPr>
          <w:p>
            <w:pPr>
              <w:ind w:left="1080"/>
              <w:spacing w:after="0" w:line="181" w:lineRule="exact"/>
              <w:rPr>
                <w:sz w:val="20"/>
                <w:szCs w:val="20"/>
                <w:color w:val="auto"/>
              </w:rPr>
            </w:pPr>
            <w:r>
              <w:rPr>
                <w:rFonts w:ascii="MS PGothic" w:cs="MS PGothic" w:eastAsia="MS PGothic" w:hAnsi="MS PGothic"/>
                <w:sz w:val="18"/>
                <w:szCs w:val="18"/>
                <w:color w:val="auto"/>
              </w:rPr>
              <w:t>☐</w:t>
            </w:r>
          </w:p>
        </w:tc>
        <w:tc>
          <w:tcPr>
            <w:tcW w:w="52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62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300"/>
        <w:spacing w:after="0" w:line="232" w:lineRule="auto"/>
        <w:rPr>
          <w:sz w:val="20"/>
          <w:szCs w:val="20"/>
          <w:color w:val="auto"/>
        </w:rPr>
      </w:pPr>
      <w:r>
        <w:rPr>
          <w:rFonts w:ascii="Arial" w:cs="Arial" w:eastAsia="Arial" w:hAnsi="Arial"/>
          <w:sz w:val="14"/>
          <w:szCs w:val="14"/>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20" w:lineRule="exact"/>
        <w:rPr>
          <w:sz w:val="20"/>
          <w:szCs w:val="20"/>
          <w:color w:val="auto"/>
        </w:rPr>
      </w:pPr>
      <w:r>
        <w:rPr>
          <w:sz w:val="20"/>
          <w:szCs w:val="20"/>
          <w:color w:val="auto"/>
        </w:rPr>
        <w:br w:type="column"/>
      </w:r>
    </w:p>
    <w:p>
      <w:pPr>
        <w:spacing w:after="0" w:line="161" w:lineRule="exact"/>
        <w:tabs>
          <w:tab w:leader="none" w:pos="480" w:val="left"/>
          <w:tab w:leader="none" w:pos="1100" w:val="left"/>
        </w:tabs>
        <w:rPr>
          <w:sz w:val="20"/>
          <w:szCs w:val="20"/>
          <w:color w:val="auto"/>
        </w:rPr>
      </w:pPr>
      <w:r>
        <w:rPr>
          <w:rFonts w:ascii="MS PGothic" w:cs="MS PGothic" w:eastAsia="MS PGothic" w:hAnsi="MS PGothic"/>
          <w:sz w:val="18"/>
          <w:szCs w:val="18"/>
          <w:color w:val="auto"/>
        </w:rPr>
        <w:t>☐</w:t>
        <w:tab/>
        <w:t>☐</w:t>
      </w:r>
      <w:r>
        <w:rPr>
          <w:sz w:val="20"/>
          <w:szCs w:val="20"/>
          <w:color w:val="auto"/>
        </w:rPr>
        <w:tab/>
      </w:r>
      <w:r>
        <w:rPr>
          <w:rFonts w:ascii="MS PGothic" w:cs="MS PGothic" w:eastAsia="MS PGothic" w:hAnsi="MS PGothic"/>
          <w:sz w:val="18"/>
          <w:szCs w:val="18"/>
          <w:color w:val="auto"/>
        </w:rPr>
        <w:t>☐</w:t>
      </w:r>
    </w:p>
    <w:p>
      <w:pPr>
        <w:spacing w:after="0" w:line="2766" w:lineRule="exact"/>
        <w:rPr>
          <w:sz w:val="20"/>
          <w:szCs w:val="20"/>
          <w:color w:val="auto"/>
        </w:rPr>
      </w:pPr>
    </w:p>
    <w:p>
      <w:pPr>
        <w:sectPr>
          <w:pgSz w:w="11900" w:h="16838" w:orient="portrait"/>
          <w:cols w:equalWidth="0" w:num="2">
            <w:col w:w="9360" w:space="220"/>
            <w:col w:w="1840"/>
          </w:cols>
          <w:pgMar w:left="240" w:top="459" w:right="239" w:bottom="1440" w:gutter="0" w:footer="0" w:header="0"/>
          <w:type w:val="continuous"/>
        </w:sectPr>
      </w:pPr>
    </w:p>
    <w:p>
      <w:pPr>
        <w:spacing w:after="0" w:line="373" w:lineRule="exact"/>
        <w:rPr>
          <w:sz w:val="20"/>
          <w:szCs w:val="20"/>
          <w:color w:val="auto"/>
        </w:rPr>
      </w:pPr>
    </w:p>
    <w:p>
      <w:pPr>
        <w:ind w:left="300"/>
        <w:spacing w:after="0"/>
        <w:tabs>
          <w:tab w:leader="none" w:pos="3380" w:val="left"/>
          <w:tab w:leader="none" w:pos="5660" w:val="left"/>
          <w:tab w:leader="none" w:pos="8980" w:val="left"/>
        </w:tabs>
        <w:rPr>
          <w:sz w:val="20"/>
          <w:szCs w:val="20"/>
          <w:color w:val="auto"/>
        </w:rPr>
      </w:pPr>
      <w:r>
        <w:rPr>
          <w:rFonts w:ascii="Arial" w:cs="Arial" w:eastAsia="Arial" w:hAnsi="Arial"/>
          <w:sz w:val="14"/>
          <w:szCs w:val="14"/>
          <w:color w:val="auto"/>
        </w:rPr>
        <w:t>Signature [PLEASE SIGN WITHIN BOX]</w:t>
      </w:r>
      <w:r>
        <w:rPr>
          <w:sz w:val="20"/>
          <w:szCs w:val="20"/>
          <w:color w:val="auto"/>
        </w:rPr>
        <w:tab/>
      </w: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Signature (Joint Owners)</w:t>
      </w:r>
      <w:r>
        <w:rPr>
          <w:sz w:val="20"/>
          <w:szCs w:val="20"/>
          <w:color w:val="auto"/>
        </w:rPr>
        <w:tab/>
      </w:r>
      <w:r>
        <w:rPr>
          <w:rFonts w:ascii="Arial" w:cs="Arial" w:eastAsia="Arial" w:hAnsi="Arial"/>
          <w:sz w:val="13"/>
          <w:szCs w:val="13"/>
          <w:color w:val="auto"/>
        </w:rPr>
        <w:t>Date</w:t>
      </w:r>
    </w:p>
    <w:p>
      <w:pPr>
        <w:sectPr>
          <w:pgSz w:w="11900" w:h="16838" w:orient="portrait"/>
          <w:cols w:equalWidth="0" w:num="1">
            <w:col w:w="11420"/>
          </w:cols>
          <w:pgMar w:left="240" w:top="459" w:right="239" w:bottom="1440" w:gutter="0" w:footer="0" w:header="0"/>
          <w:type w:val="continuous"/>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 ENCOURAGE YOU TO TAKE ADVANTAGE OF INTERNET OR TELEPHONE VOTING,</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BOTH ARE AVAILABLE 24 HOURS A DAY, 7 DAYS A WEEK.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Internet and telephone voting are available through 11:59 PM Eastern Time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day before the annual meeting date.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Your Internet or telephone vote authorizes the named proxies to vote these shares in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same manner as if you marked, signed and returned your proxy card.</w:t>
      </w:r>
    </w:p>
    <w:p>
      <w:pPr>
        <w:spacing w:after="0" w:line="232" w:lineRule="exact"/>
        <w:rPr>
          <w:sz w:val="20"/>
          <w:szCs w:val="20"/>
          <w:color w:val="auto"/>
        </w:rPr>
      </w:pPr>
    </w:p>
    <w:tbl>
      <w:tblPr>
        <w:tblLayout w:type="fixed"/>
        <w:tblInd w:w="1050" w:type="dxa"/>
        <w:tblCellMar>
          <w:top w:w="0" w:type="dxa"/>
          <w:left w:w="0" w:type="dxa"/>
          <w:bottom w:w="0" w:type="dxa"/>
          <w:right w:w="0" w:type="dxa"/>
        </w:tblCellMar>
      </w:tblPr>
      <w:tr>
        <w:trPr>
          <w:trHeight w:val="296"/>
        </w:trPr>
        <w:tc>
          <w:tcPr>
            <w:tcW w:w="800" w:type="dxa"/>
            <w:vAlign w:val="bottom"/>
            <w:tcBorders>
              <w:top w:val="single" w:sz="8" w:color="auto"/>
              <w:left w:val="single" w:sz="8" w:color="auto"/>
            </w:tcBorders>
          </w:tcPr>
          <w:p>
            <w:pPr>
              <w:spacing w:after="0"/>
              <w:rPr>
                <w:sz w:val="24"/>
                <w:szCs w:val="24"/>
                <w:color w:val="auto"/>
              </w:rPr>
            </w:pPr>
          </w:p>
        </w:tc>
        <w:tc>
          <w:tcPr>
            <w:tcW w:w="2640" w:type="dxa"/>
            <w:vAlign w:val="bottom"/>
            <w:tcBorders>
              <w:top w:val="single" w:sz="8" w:color="auto"/>
              <w:right w:val="single" w:sz="8" w:color="auto"/>
            </w:tcBorders>
            <w:gridSpan w:val="2"/>
          </w:tcPr>
          <w:p>
            <w:pPr>
              <w:jc w:val="center"/>
              <w:ind w:right="700"/>
              <w:spacing w:after="0"/>
              <w:rPr>
                <w:sz w:val="20"/>
                <w:szCs w:val="20"/>
                <w:color w:val="auto"/>
              </w:rPr>
            </w:pPr>
            <w:r>
              <w:rPr>
                <w:rFonts w:ascii="Arial" w:cs="Arial" w:eastAsia="Arial" w:hAnsi="Arial"/>
                <w:sz w:val="18"/>
                <w:szCs w:val="18"/>
                <w:b w:val="1"/>
                <w:bCs w:val="1"/>
                <w:color w:val="auto"/>
              </w:rPr>
              <w:t>INTERNET</w:t>
            </w:r>
          </w:p>
        </w:tc>
        <w:tc>
          <w:tcPr>
            <w:tcW w:w="2380" w:type="dxa"/>
            <w:vAlign w:val="bottom"/>
            <w:tcBorders>
              <w:right w:val="single" w:sz="8" w:color="auto"/>
            </w:tcBorders>
          </w:tcPr>
          <w:p>
            <w:pPr>
              <w:ind w:left="1100"/>
              <w:spacing w:after="0"/>
              <w:rPr>
                <w:sz w:val="20"/>
                <w:szCs w:val="20"/>
                <w:color w:val="auto"/>
              </w:rPr>
            </w:pPr>
            <w:r>
              <w:rPr>
                <w:rFonts w:ascii="Arial" w:cs="Arial" w:eastAsia="Arial" w:hAnsi="Arial"/>
                <w:sz w:val="18"/>
                <w:szCs w:val="18"/>
                <w:b w:val="1"/>
                <w:bCs w:val="1"/>
                <w:color w:val="auto"/>
              </w:rPr>
              <w:t>OR</w:t>
            </w:r>
          </w:p>
        </w:tc>
        <w:tc>
          <w:tcPr>
            <w:tcW w:w="3440" w:type="dxa"/>
            <w:vAlign w:val="bottom"/>
            <w:tcBorders>
              <w:top w:val="single" w:sz="8" w:color="auto"/>
              <w:right w:val="single" w:sz="8" w:color="auto"/>
            </w:tcBorders>
          </w:tcPr>
          <w:p>
            <w:pPr>
              <w:jc w:val="center"/>
              <w:ind w:left="30"/>
              <w:spacing w:after="0"/>
              <w:rPr>
                <w:sz w:val="20"/>
                <w:szCs w:val="20"/>
                <w:color w:val="auto"/>
              </w:rPr>
            </w:pPr>
            <w:r>
              <w:rPr>
                <w:rFonts w:ascii="Arial" w:cs="Arial" w:eastAsia="Arial" w:hAnsi="Arial"/>
                <w:sz w:val="18"/>
                <w:szCs w:val="18"/>
                <w:b w:val="1"/>
                <w:bCs w:val="1"/>
                <w:color w:val="auto"/>
              </w:rPr>
              <w:t>TELEPHONE</w:t>
            </w:r>
          </w:p>
        </w:tc>
      </w:tr>
      <w:tr>
        <w:trPr>
          <w:trHeight w:val="190"/>
        </w:trPr>
        <w:tc>
          <w:tcPr>
            <w:tcW w:w="800" w:type="dxa"/>
            <w:vAlign w:val="bottom"/>
            <w:tcBorders>
              <w:left w:val="single" w:sz="8" w:color="auto"/>
            </w:tcBorders>
          </w:tcPr>
          <w:p>
            <w:pPr>
              <w:spacing w:after="0"/>
              <w:rPr>
                <w:sz w:val="16"/>
                <w:szCs w:val="16"/>
                <w:color w:val="auto"/>
              </w:rPr>
            </w:pPr>
          </w:p>
        </w:tc>
        <w:tc>
          <w:tcPr>
            <w:tcW w:w="194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8"/>
                <w:szCs w:val="18"/>
                <w:color w:val="auto"/>
                <w:w w:val="94"/>
              </w:rPr>
              <w:t>http://www.proxyvote.com</w:t>
            </w:r>
          </w:p>
        </w:tc>
        <w:tc>
          <w:tcPr>
            <w:tcW w:w="700" w:type="dxa"/>
            <w:vAlign w:val="bottom"/>
            <w:tcBorders>
              <w:right w:val="single" w:sz="8" w:color="auto"/>
            </w:tcBorders>
          </w:tcPr>
          <w:p>
            <w:pPr>
              <w:spacing w:after="0"/>
              <w:rPr>
                <w:sz w:val="16"/>
                <w:szCs w:val="16"/>
                <w:color w:val="auto"/>
              </w:rPr>
            </w:pPr>
          </w:p>
        </w:tc>
        <w:tc>
          <w:tcPr>
            <w:tcW w:w="2380" w:type="dxa"/>
            <w:vAlign w:val="bottom"/>
            <w:tcBorders>
              <w:right w:val="single" w:sz="8" w:color="auto"/>
            </w:tcBorders>
          </w:tcPr>
          <w:p>
            <w:pPr>
              <w:spacing w:after="0"/>
              <w:rPr>
                <w:sz w:val="16"/>
                <w:szCs w:val="16"/>
                <w:color w:val="auto"/>
              </w:rPr>
            </w:pPr>
          </w:p>
        </w:tc>
        <w:tc>
          <w:tcPr>
            <w:tcW w:w="3440" w:type="dxa"/>
            <w:vAlign w:val="bottom"/>
            <w:tcBorders>
              <w:right w:val="single" w:sz="8" w:color="auto"/>
            </w:tcBorders>
          </w:tcPr>
          <w:p>
            <w:pPr>
              <w:jc w:val="center"/>
              <w:ind w:left="30"/>
              <w:spacing w:after="0" w:line="189" w:lineRule="exact"/>
              <w:rPr>
                <w:sz w:val="20"/>
                <w:szCs w:val="20"/>
                <w:color w:val="auto"/>
              </w:rPr>
            </w:pPr>
            <w:r>
              <w:rPr>
                <w:rFonts w:ascii="Arial" w:cs="Arial" w:eastAsia="Arial" w:hAnsi="Arial"/>
                <w:sz w:val="18"/>
                <w:szCs w:val="18"/>
                <w:color w:val="auto"/>
                <w:w w:val="90"/>
              </w:rPr>
              <w:t>1-800-690-6903</w:t>
            </w:r>
          </w:p>
        </w:tc>
      </w:tr>
      <w:tr>
        <w:trPr>
          <w:trHeight w:val="222"/>
        </w:trPr>
        <w:tc>
          <w:tcPr>
            <w:tcW w:w="34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1"/>
              </w:rPr>
              <w:t>Use the Internet to vote your proxy.</w:t>
            </w:r>
          </w:p>
        </w:tc>
        <w:tc>
          <w:tcPr>
            <w:tcW w:w="2380" w:type="dxa"/>
            <w:vAlign w:val="bottom"/>
            <w:tcBorders>
              <w:right w:val="single" w:sz="8" w:color="auto"/>
            </w:tcBorders>
          </w:tcPr>
          <w:p>
            <w:pPr>
              <w:spacing w:after="0"/>
              <w:rPr>
                <w:sz w:val="19"/>
                <w:szCs w:val="19"/>
                <w:color w:val="auto"/>
              </w:rPr>
            </w:pPr>
          </w:p>
        </w:tc>
        <w:tc>
          <w:tcPr>
            <w:tcW w:w="3440" w:type="dxa"/>
            <w:vAlign w:val="bottom"/>
            <w:tcBorders>
              <w:right w:val="single" w:sz="8" w:color="auto"/>
            </w:tcBorders>
          </w:tcPr>
          <w:p>
            <w:pPr>
              <w:jc w:val="center"/>
              <w:ind w:left="30"/>
              <w:spacing w:after="0"/>
              <w:rPr>
                <w:sz w:val="20"/>
                <w:szCs w:val="20"/>
                <w:color w:val="auto"/>
              </w:rPr>
            </w:pPr>
            <w:r>
              <w:rPr>
                <w:rFonts w:ascii="Arial" w:cs="Arial" w:eastAsia="Arial" w:hAnsi="Arial"/>
                <w:sz w:val="18"/>
                <w:szCs w:val="18"/>
                <w:color w:val="auto"/>
                <w:w w:val="89"/>
              </w:rPr>
              <w:t>Use any touch-tone telephone to</w:t>
            </w:r>
          </w:p>
        </w:tc>
      </w:tr>
      <w:tr>
        <w:trPr>
          <w:trHeight w:val="216"/>
        </w:trPr>
        <w:tc>
          <w:tcPr>
            <w:tcW w:w="3440" w:type="dxa"/>
            <w:vAlign w:val="bottom"/>
            <w:tcBorders>
              <w:left w:val="single" w:sz="8" w:color="auto"/>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1"/>
              </w:rPr>
              <w:t>Have your proxy card in hand when</w:t>
            </w:r>
          </w:p>
        </w:tc>
        <w:tc>
          <w:tcPr>
            <w:tcW w:w="2380" w:type="dxa"/>
            <w:vAlign w:val="bottom"/>
            <w:tcBorders>
              <w:right w:val="single" w:sz="8" w:color="auto"/>
            </w:tcBorders>
          </w:tcPr>
          <w:p>
            <w:pPr>
              <w:spacing w:after="0"/>
              <w:rPr>
                <w:sz w:val="18"/>
                <w:szCs w:val="18"/>
                <w:color w:val="auto"/>
              </w:rPr>
            </w:pPr>
          </w:p>
        </w:tc>
        <w:tc>
          <w:tcPr>
            <w:tcW w:w="3440" w:type="dxa"/>
            <w:vAlign w:val="bottom"/>
            <w:tcBorders>
              <w:right w:val="single" w:sz="8" w:color="auto"/>
            </w:tcBorders>
          </w:tcPr>
          <w:p>
            <w:pPr>
              <w:jc w:val="center"/>
              <w:ind w:left="30"/>
              <w:spacing w:after="0"/>
              <w:rPr>
                <w:sz w:val="20"/>
                <w:szCs w:val="20"/>
                <w:color w:val="auto"/>
              </w:rPr>
            </w:pPr>
            <w:r>
              <w:rPr>
                <w:rFonts w:ascii="Arial" w:cs="Arial" w:eastAsia="Arial" w:hAnsi="Arial"/>
                <w:sz w:val="18"/>
                <w:szCs w:val="18"/>
                <w:color w:val="auto"/>
                <w:w w:val="92"/>
              </w:rPr>
              <w:t>vote your proxy. Have your proxy</w:t>
            </w:r>
          </w:p>
        </w:tc>
      </w:tr>
      <w:tr>
        <w:trPr>
          <w:trHeight w:val="230"/>
        </w:trPr>
        <w:tc>
          <w:tcPr>
            <w:tcW w:w="800" w:type="dxa"/>
            <w:vAlign w:val="bottom"/>
            <w:tcBorders>
              <w:left w:val="single" w:sz="8" w:color="auto"/>
            </w:tcBorders>
          </w:tcPr>
          <w:p>
            <w:pPr>
              <w:spacing w:after="0"/>
              <w:rPr>
                <w:sz w:val="20"/>
                <w:szCs w:val="20"/>
                <w:color w:val="auto"/>
              </w:rPr>
            </w:pPr>
          </w:p>
        </w:tc>
        <w:tc>
          <w:tcPr>
            <w:tcW w:w="2640" w:type="dxa"/>
            <w:vAlign w:val="bottom"/>
            <w:tcBorders>
              <w:right w:val="single" w:sz="8" w:color="auto"/>
            </w:tcBorders>
            <w:gridSpan w:val="2"/>
          </w:tcPr>
          <w:p>
            <w:pPr>
              <w:jc w:val="center"/>
              <w:ind w:right="720"/>
              <w:spacing w:after="0"/>
              <w:rPr>
                <w:sz w:val="20"/>
                <w:szCs w:val="20"/>
                <w:color w:val="auto"/>
              </w:rPr>
            </w:pPr>
            <w:r>
              <w:rPr>
                <w:rFonts w:ascii="Arial" w:cs="Arial" w:eastAsia="Arial" w:hAnsi="Arial"/>
                <w:sz w:val="18"/>
                <w:szCs w:val="18"/>
                <w:color w:val="auto"/>
                <w:w w:val="87"/>
              </w:rPr>
              <w:t>you access the website.</w:t>
            </w:r>
          </w:p>
        </w:tc>
        <w:tc>
          <w:tcPr>
            <w:tcW w:w="2380" w:type="dxa"/>
            <w:vAlign w:val="bottom"/>
            <w:tcBorders>
              <w:right w:val="single" w:sz="8" w:color="auto"/>
            </w:tcBorders>
          </w:tcPr>
          <w:p>
            <w:pPr>
              <w:spacing w:after="0"/>
              <w:rPr>
                <w:sz w:val="20"/>
                <w:szCs w:val="20"/>
                <w:color w:val="auto"/>
              </w:rPr>
            </w:pPr>
          </w:p>
        </w:tc>
        <w:tc>
          <w:tcPr>
            <w:tcW w:w="3440" w:type="dxa"/>
            <w:vAlign w:val="bottom"/>
            <w:tcBorders>
              <w:right w:val="single" w:sz="8" w:color="auto"/>
            </w:tcBorders>
          </w:tcPr>
          <w:p>
            <w:pPr>
              <w:jc w:val="center"/>
              <w:ind w:left="10"/>
              <w:spacing w:after="0"/>
              <w:rPr>
                <w:sz w:val="20"/>
                <w:szCs w:val="20"/>
                <w:color w:val="auto"/>
              </w:rPr>
            </w:pPr>
            <w:r>
              <w:rPr>
                <w:rFonts w:ascii="Arial" w:cs="Arial" w:eastAsia="Arial" w:hAnsi="Arial"/>
                <w:sz w:val="18"/>
                <w:szCs w:val="18"/>
                <w:color w:val="auto"/>
                <w:w w:val="90"/>
              </w:rPr>
              <w:t>card in hand when you call.</w:t>
            </w:r>
          </w:p>
        </w:tc>
      </w:tr>
      <w:tr>
        <w:trPr>
          <w:trHeight w:val="54"/>
        </w:trPr>
        <w:tc>
          <w:tcPr>
            <w:tcW w:w="800" w:type="dxa"/>
            <w:vAlign w:val="bottom"/>
            <w:tcBorders>
              <w:left w:val="single" w:sz="8" w:color="auto"/>
              <w:bottom w:val="single" w:sz="8" w:color="auto"/>
            </w:tcBorders>
          </w:tcPr>
          <w:p>
            <w:pPr>
              <w:spacing w:after="0"/>
              <w:rPr>
                <w:sz w:val="4"/>
                <w:szCs w:val="4"/>
                <w:color w:val="auto"/>
              </w:rPr>
            </w:pPr>
          </w:p>
        </w:tc>
        <w:tc>
          <w:tcPr>
            <w:tcW w:w="1940" w:type="dxa"/>
            <w:vAlign w:val="bottom"/>
            <w:tcBorders>
              <w:bottom w:val="single" w:sz="8" w:color="auto"/>
            </w:tcBorders>
          </w:tcPr>
          <w:p>
            <w:pPr>
              <w:spacing w:after="0"/>
              <w:rPr>
                <w:sz w:val="4"/>
                <w:szCs w:val="4"/>
                <w:color w:val="auto"/>
              </w:rPr>
            </w:pPr>
          </w:p>
        </w:tc>
        <w:tc>
          <w:tcPr>
            <w:tcW w:w="700" w:type="dxa"/>
            <w:vAlign w:val="bottom"/>
            <w:tcBorders>
              <w:bottom w:val="single" w:sz="8" w:color="auto"/>
              <w:right w:val="single" w:sz="8" w:color="auto"/>
            </w:tcBorders>
          </w:tcPr>
          <w:p>
            <w:pPr>
              <w:spacing w:after="0"/>
              <w:rPr>
                <w:sz w:val="4"/>
                <w:szCs w:val="4"/>
                <w:color w:val="auto"/>
              </w:rPr>
            </w:pPr>
          </w:p>
        </w:tc>
        <w:tc>
          <w:tcPr>
            <w:tcW w:w="2380" w:type="dxa"/>
            <w:vAlign w:val="bottom"/>
            <w:tcBorders>
              <w:right w:val="single" w:sz="8" w:color="auto"/>
            </w:tcBorders>
          </w:tcPr>
          <w:p>
            <w:pPr>
              <w:spacing w:after="0"/>
              <w:rPr>
                <w:sz w:val="4"/>
                <w:szCs w:val="4"/>
                <w:color w:val="auto"/>
              </w:rPr>
            </w:pPr>
          </w:p>
        </w:tc>
        <w:tc>
          <w:tcPr>
            <w:tcW w:w="3440" w:type="dxa"/>
            <w:vAlign w:val="bottom"/>
            <w:tcBorders>
              <w:bottom w:val="single" w:sz="8" w:color="auto"/>
              <w:right w:val="single" w:sz="8" w:color="auto"/>
            </w:tcBorders>
          </w:tcPr>
          <w:p>
            <w:pPr>
              <w:spacing w:after="0"/>
              <w:rPr>
                <w:sz w:val="4"/>
                <w:szCs w:val="4"/>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If you vote your proxy by Internet or telephone, you do NOT need to mail back your proxy card.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vote by mail, sign and date your proxy card and return it in the enclosed postage-paid envelope.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878840</wp:posOffset>
            </wp:positionH>
            <wp:positionV relativeFrom="paragraph">
              <wp:posOffset>271145</wp:posOffset>
            </wp:positionV>
            <wp:extent cx="5507990" cy="4025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507990" cy="40259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Meeting:</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The Notice and Proxy Statement and Annual Report are available at </w:t>
      </w:r>
      <w:r>
        <w:rPr>
          <w:rFonts w:ascii="Arial" w:cs="Arial" w:eastAsia="Arial" w:hAnsi="Arial"/>
          <w:sz w:val="18"/>
          <w:szCs w:val="18"/>
          <w:u w:val="single" w:color="auto"/>
          <w:color w:val="auto"/>
        </w:rPr>
        <w:t>www.proxyvote.com</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 — — — — — — — — — — — — — — — — — — — — — — — — — — — — — — — — — — — — — — — — — —</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E39442-P05102-Z71999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wp:posOffset>
            </wp:positionV>
            <wp:extent cx="7242175" cy="339598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42175" cy="339598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SOLICITED BY BOARD OF DIRECTORS FOR ANNUAL MEETING</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MAY 4, 2018</w:t>
      </w:r>
    </w:p>
    <w:p>
      <w:pPr>
        <w:spacing w:after="0" w:line="210" w:lineRule="exact"/>
        <w:rPr>
          <w:sz w:val="20"/>
          <w:szCs w:val="20"/>
          <w:color w:val="auto"/>
        </w:rPr>
      </w:pPr>
    </w:p>
    <w:p>
      <w:pPr>
        <w:ind w:left="260" w:right="400"/>
        <w:spacing w:after="0" w:line="296" w:lineRule="auto"/>
        <w:rPr>
          <w:sz w:val="20"/>
          <w:szCs w:val="20"/>
          <w:color w:val="auto"/>
        </w:rPr>
      </w:pPr>
      <w:r>
        <w:rPr>
          <w:rFonts w:ascii="Arial" w:cs="Arial" w:eastAsia="Arial" w:hAnsi="Arial"/>
          <w:sz w:val="16"/>
          <w:szCs w:val="16"/>
          <w:color w:val="auto"/>
        </w:rPr>
        <w:t>The undersigned hereby appoints Brad M. Cerepak and Ivonne M. Cabrera, and each of them, as the undersigned’s proxy or proxies, each with full power of substitution, to vote all shares of Common Stock of Dover Corporation which the undersigned is entitled to vote at the Annual Meeting of Shareholders to be held in Oak Brook, IL on May 4, 2018 at 9:00 A.M., local time, and any adjournments thereof, as fully as the undersigned could if personally present, upon the proposals set forth on the reverse side hereof, revoking any proxy or proxies heretofore given. For participants in the Company’s Retirement Savings Plan, this proxy will govern the voting of stock held for the account of the undersigned in the Plan.</w:t>
      </w:r>
    </w:p>
    <w:p>
      <w:pPr>
        <w:spacing w:after="0" w:line="160" w:lineRule="exact"/>
        <w:rPr>
          <w:sz w:val="20"/>
          <w:szCs w:val="20"/>
          <w:color w:val="auto"/>
        </w:rPr>
      </w:pPr>
    </w:p>
    <w:p>
      <w:pPr>
        <w:ind w:left="260" w:right="320"/>
        <w:spacing w:after="0" w:line="259" w:lineRule="auto"/>
        <w:rPr>
          <w:sz w:val="20"/>
          <w:szCs w:val="20"/>
          <w:color w:val="auto"/>
        </w:rPr>
      </w:pPr>
      <w:r>
        <w:rPr>
          <w:rFonts w:ascii="Arial" w:cs="Arial" w:eastAsia="Arial" w:hAnsi="Arial"/>
          <w:sz w:val="18"/>
          <w:szCs w:val="18"/>
          <w:color w:val="auto"/>
        </w:rPr>
        <w:t>IMPORTANT - You have the option of voting these shares by returning the enclosed proxy card, voting via Internet or by using a toll-free telephone number above and on the reverse side. On the reverse side of this proxy card are instructions on how to vote via the Internet or by telephone. If you vote by either of these methods, your vote will be recorded as if you mailed in your proxy card. If you vote by returning this proxy card, you must sign and date this proxy on the reverse side.</w:t>
      </w:r>
    </w:p>
    <w:p>
      <w:pPr>
        <w:spacing w:after="0" w:line="182" w:lineRule="exact"/>
        <w:rPr>
          <w:sz w:val="20"/>
          <w:szCs w:val="20"/>
          <w:color w:val="auto"/>
        </w:rPr>
      </w:pPr>
    </w:p>
    <w:p>
      <w:pPr>
        <w:ind w:left="260" w:right="580"/>
        <w:spacing w:after="0" w:line="266" w:lineRule="auto"/>
        <w:rPr>
          <w:sz w:val="20"/>
          <w:szCs w:val="20"/>
          <w:color w:val="auto"/>
        </w:rPr>
      </w:pPr>
      <w:r>
        <w:rPr>
          <w:rFonts w:ascii="Arial" w:cs="Arial" w:eastAsia="Arial" w:hAnsi="Arial"/>
          <w:sz w:val="18"/>
          <w:szCs w:val="18"/>
          <w:b w:val="1"/>
          <w:bCs w:val="1"/>
          <w:color w:val="auto"/>
        </w:rPr>
        <w:t>THIS PROXY WILL BE VOTED IN ACCORDANCE WITH THE SPECIFICATIONS MADE ON THE REVERSE SIDE, BUT IF NO CHOICES ARE INDICATED, THIS PROXY WILL BE VOTED FOR ALL NOMINEES LISTED ON THE REVERSE SIDE, AND FOR PROPOSALS 2, 3, 4 AND 5.</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 and to be signed on reverse side</w:t>
      </w:r>
    </w:p>
    <w:sectPr>
      <w:pgSz w:w="11900" w:h="16838" w:orient="portrait"/>
      <w:cols w:equalWidth="0" w:num="1">
        <w:col w:w="11420"/>
      </w:cols>
      <w:pgMar w:left="240" w:top="45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3EA438"/>
    <w:multiLevelType w:val="hybridMultilevel"/>
    <w:lvl w:ilvl="0">
      <w:lvlJc w:val="left"/>
      <w:lvlText w:val="☐"/>
      <w:numFmt w:val="bullet"/>
      <w:start w:val="1"/>
    </w:lvl>
  </w:abstractNum>
  <w:abstractNum w:abstractNumId="1">
    <w:nsid w:val="3855585C"/>
    <w:multiLevelType w:val="hybridMultilevel"/>
    <w:lvl w:ilvl="0">
      <w:lvlJc w:val="left"/>
      <w:lvlText w:val="☒"/>
      <w:numFmt w:val="bullet"/>
      <w:start w:val="1"/>
    </w:lvl>
  </w:abstractNum>
  <w:abstractNum w:abstractNumId="2">
    <w:nsid w:val="70A64E2A"/>
    <w:multiLevelType w:val="hybridMultilevel"/>
    <w:lvl w:ilvl="0">
      <w:lvlJc w:val="left"/>
      <w:lvlText w:val="☐"/>
      <w:numFmt w:val="bullet"/>
      <w:start w:val="1"/>
    </w:lvl>
  </w:abstractNum>
  <w:abstractNum w:abstractNumId="3">
    <w:nsid w:val="6A2342EC"/>
    <w:multiLevelType w:val="hybridMultilevel"/>
    <w:lvl w:ilvl="0">
      <w:lvlJc w:val="left"/>
      <w:lvlText w:val="☒"/>
      <w:numFmt w:val="bullet"/>
      <w:start w:val="1"/>
    </w:lvl>
  </w:abstractNum>
  <w:abstractNum w:abstractNumId="4">
    <w:nsid w:val="2A487CB0"/>
    <w:multiLevelType w:val="hybridMultilevel"/>
    <w:lvl w:ilvl="0">
      <w:lvlJc w:val="left"/>
      <w:lvlText w:val="☐"/>
      <w:numFmt w:val="bullet"/>
      <w:start w:val="1"/>
    </w:lvl>
    <w:lvl w:ilvl="1">
      <w:lvlJc w:val="left"/>
      <w:lvlText w:val="(%2)"/>
      <w:numFmt w:val="decimal"/>
      <w:start w:val="1"/>
    </w:lvl>
  </w:abstractNum>
  <w:abstractNum w:abstractNumId="5">
    <w:nsid w:val="1D4ED43B"/>
    <w:multiLevelType w:val="hybridMultilevel"/>
    <w:lvl w:ilvl="0">
      <w:lvlJc w:val="left"/>
      <w:lvlText w:val="%1."/>
      <w:numFmt w:val="decimal"/>
      <w:start w:val="1"/>
    </w:lvl>
  </w:abstractNum>
  <w:abstractNum w:abstractNumId="6">
    <w:nsid w:val="725A06FB"/>
    <w:multiLevelType w:val="hybridMultilevel"/>
    <w:lvl w:ilvl="0">
      <w:lvlJc w:val="left"/>
      <w:lvlText w:val="•"/>
      <w:numFmt w:val="bullet"/>
      <w:start w:val="1"/>
    </w:lvl>
  </w:abstractNum>
  <w:abstractNum w:abstractNumId="7">
    <w:nsid w:val="2CD89A32"/>
    <w:multiLevelType w:val="hybridMultilevel"/>
    <w:lvl w:ilvl="0">
      <w:lvlJc w:val="left"/>
      <w:lvlText w:val="✓"/>
      <w:numFmt w:val="bullet"/>
      <w:start w:val="1"/>
    </w:lvl>
  </w:abstractNum>
  <w:abstractNum w:abstractNumId="8">
    <w:nsid w:val="57E4CCAF"/>
    <w:multiLevelType w:val="hybridMultilevel"/>
    <w:lvl w:ilvl="0">
      <w:lvlJc w:val="left"/>
      <w:lvlText w:val="•"/>
      <w:numFmt w:val="bullet"/>
      <w:start w:val="1"/>
    </w:lvl>
  </w:abstractNum>
  <w:abstractNum w:abstractNumId="9">
    <w:nsid w:val="7A6D8D3C"/>
    <w:multiLevelType w:val="hybridMultilevel"/>
    <w:lvl w:ilvl="0">
      <w:lvlJc w:val="left"/>
      <w:lvlText w:val="✓"/>
      <w:numFmt w:val="bullet"/>
      <w:start w:val="1"/>
    </w:lvl>
  </w:abstractNum>
  <w:abstractNum w:abstractNumId="10">
    <w:nsid w:val="4B588F54"/>
    <w:multiLevelType w:val="hybridMultilevel"/>
    <w:lvl w:ilvl="0">
      <w:lvlJc w:val="left"/>
      <w:lvlText w:val="•"/>
      <w:numFmt w:val="bullet"/>
      <w:start w:val="1"/>
    </w:lvl>
  </w:abstractNum>
  <w:abstractNum w:abstractNumId="11">
    <w:nsid w:val="542289EC"/>
    <w:multiLevelType w:val="hybridMultilevel"/>
    <w:lvl w:ilvl="0">
      <w:lvlJc w:val="left"/>
      <w:lvlText w:val="•"/>
      <w:numFmt w:val="bullet"/>
      <w:start w:val="1"/>
    </w:lvl>
  </w:abstractNum>
  <w:abstractNum w:abstractNumId="12">
    <w:nsid w:val="6DE91B18"/>
    <w:multiLevelType w:val="hybridMultilevel"/>
    <w:lvl w:ilvl="0">
      <w:lvlJc w:val="left"/>
      <w:lvlText w:val="•"/>
      <w:numFmt w:val="bullet"/>
      <w:start w:val="1"/>
    </w:lvl>
  </w:abstractNum>
  <w:abstractNum w:abstractNumId="13">
    <w:nsid w:val="38437FDB"/>
    <w:multiLevelType w:val="hybridMultilevel"/>
    <w:lvl w:ilvl="0">
      <w:lvlJc w:val="left"/>
      <w:lvlText w:val="•"/>
      <w:numFmt w:val="bullet"/>
      <w:start w:val="1"/>
    </w:lvl>
  </w:abstractNum>
  <w:abstractNum w:abstractNumId="14">
    <w:nsid w:val="7644A45C"/>
    <w:multiLevelType w:val="hybridMultilevel"/>
    <w:lvl w:ilvl="0">
      <w:lvlJc w:val="left"/>
      <w:lvlText w:val="•"/>
      <w:numFmt w:val="bullet"/>
      <w:start w:val="1"/>
    </w:lvl>
  </w:abstractNum>
  <w:abstractNum w:abstractNumId="15">
    <w:nsid w:val="32FFF902"/>
    <w:multiLevelType w:val="hybridMultilevel"/>
    <w:lvl w:ilvl="0">
      <w:lvlJc w:val="left"/>
      <w:lvlText w:val="•"/>
      <w:numFmt w:val="bullet"/>
      <w:start w:val="1"/>
    </w:lvl>
  </w:abstractNum>
  <w:abstractNum w:abstractNumId="16">
    <w:nsid w:val="684A481A"/>
    <w:multiLevelType w:val="hybridMultilevel"/>
    <w:lvl w:ilvl="0">
      <w:lvlJc w:val="left"/>
      <w:lvlText w:val="•"/>
      <w:numFmt w:val="bullet"/>
      <w:start w:val="1"/>
    </w:lvl>
  </w:abstractNum>
  <w:abstractNum w:abstractNumId="17">
    <w:nsid w:val="579478FE"/>
    <w:multiLevelType w:val="hybridMultilevel"/>
    <w:lvl w:ilvl="0">
      <w:lvlJc w:val="left"/>
      <w:lvlText w:val="•"/>
      <w:numFmt w:val="bullet"/>
      <w:start w:val="1"/>
    </w:lvl>
  </w:abstractNum>
  <w:abstractNum w:abstractNumId="18">
    <w:nsid w:val="749ABB43"/>
    <w:multiLevelType w:val="hybridMultilevel"/>
    <w:lvl w:ilvl="0">
      <w:lvlJc w:val="left"/>
      <w:lvlText w:val="•"/>
      <w:numFmt w:val="bullet"/>
      <w:start w:val="1"/>
    </w:lvl>
  </w:abstractNum>
  <w:abstractNum w:abstractNumId="19">
    <w:nsid w:val="3DC240FB"/>
    <w:multiLevelType w:val="hybridMultilevel"/>
    <w:lvl w:ilvl="0">
      <w:lvlJc w:val="left"/>
      <w:lvlText w:val="•"/>
      <w:numFmt w:val="bullet"/>
      <w:start w:val="1"/>
    </w:lvl>
  </w:abstractNum>
  <w:abstractNum w:abstractNumId="20">
    <w:nsid w:val="1BA026FA"/>
    <w:multiLevelType w:val="hybridMultilevel"/>
    <w:lvl w:ilvl="0">
      <w:lvlJc w:val="left"/>
      <w:lvlText w:val="•"/>
      <w:numFmt w:val="bullet"/>
      <w:start w:val="1"/>
    </w:lvl>
  </w:abstractNum>
  <w:abstractNum w:abstractNumId="21">
    <w:nsid w:val="79A1DEAA"/>
    <w:multiLevelType w:val="hybridMultilevel"/>
    <w:lvl w:ilvl="0">
      <w:lvlJc w:val="left"/>
      <w:lvlText w:val="*"/>
      <w:numFmt w:val="bullet"/>
      <w:start w:val="1"/>
    </w:lvl>
  </w:abstractNum>
  <w:abstractNum w:abstractNumId="22">
    <w:nsid w:val="75C6C33A"/>
    <w:multiLevelType w:val="hybridMultilevel"/>
    <w:lvl w:ilvl="0">
      <w:lvlJc w:val="left"/>
      <w:lvlText w:val="**"/>
      <w:numFmt w:val="bullet"/>
      <w:start w:val="1"/>
    </w:lvl>
  </w:abstractNum>
  <w:abstractNum w:abstractNumId="23">
    <w:nsid w:val="12E685FB"/>
    <w:multiLevelType w:val="hybridMultilevel"/>
    <w:lvl w:ilvl="0">
      <w:lvlJc w:val="left"/>
      <w:lvlText w:val="•"/>
      <w:numFmt w:val="bullet"/>
      <w:start w:val="1"/>
    </w:lvl>
  </w:abstractNum>
  <w:abstractNum w:abstractNumId="24">
    <w:nsid w:val="70C6A529"/>
    <w:multiLevelType w:val="hybridMultilevel"/>
    <w:lvl w:ilvl="0">
      <w:lvlJc w:val="left"/>
      <w:lvlText w:val="•"/>
      <w:numFmt w:val="bullet"/>
      <w:start w:val="1"/>
    </w:lvl>
  </w:abstractNum>
  <w:abstractNum w:abstractNumId="25">
    <w:nsid w:val="520EEDD1"/>
    <w:multiLevelType w:val="hybridMultilevel"/>
    <w:lvl w:ilvl="0">
      <w:lvlJc w:val="left"/>
      <w:lvlText w:val="(%1)"/>
      <w:numFmt w:val="decimal"/>
      <w:start w:val="1"/>
    </w:lvl>
  </w:abstractNum>
  <w:abstractNum w:abstractNumId="26">
    <w:nsid w:val="374A3FE6"/>
    <w:multiLevelType w:val="hybridMultilevel"/>
    <w:lvl w:ilvl="0">
      <w:lvlJc w:val="left"/>
      <w:lvlText w:val="(%1)"/>
      <w:numFmt w:val="decimal"/>
      <w:start w:val="2"/>
    </w:lvl>
  </w:abstractNum>
  <w:abstractNum w:abstractNumId="27">
    <w:nsid w:val="4F4EF005"/>
    <w:multiLevelType w:val="hybridMultilevel"/>
    <w:lvl w:ilvl="0">
      <w:lvlJc w:val="left"/>
      <w:lvlText w:val="•"/>
      <w:numFmt w:val="bullet"/>
      <w:start w:val="1"/>
    </w:lvl>
  </w:abstractNum>
  <w:abstractNum w:abstractNumId="28">
    <w:nsid w:val="23F9C13C"/>
    <w:multiLevelType w:val="hybridMultilevel"/>
    <w:lvl w:ilvl="0">
      <w:lvlJc w:val="left"/>
      <w:lvlText w:val="•"/>
      <w:numFmt w:val="bullet"/>
      <w:start w:val="1"/>
    </w:lvl>
  </w:abstractNum>
  <w:abstractNum w:abstractNumId="29">
    <w:nsid w:val="649BB77C"/>
    <w:multiLevelType w:val="hybridMultilevel"/>
    <w:lvl w:ilvl="0">
      <w:lvlJc w:val="left"/>
      <w:lvlText w:val="(%1)"/>
      <w:numFmt w:val="decimal"/>
      <w:start w:val="1"/>
    </w:lvl>
  </w:abstractNum>
  <w:abstractNum w:abstractNumId="30">
    <w:nsid w:val="275AC794"/>
    <w:multiLevelType w:val="hybridMultilevel"/>
    <w:lvl w:ilvl="0">
      <w:lvlJc w:val="left"/>
      <w:lvlText w:val="✓"/>
      <w:numFmt w:val="bullet"/>
      <w:start w:val="1"/>
    </w:lvl>
  </w:abstractNum>
  <w:abstractNum w:abstractNumId="31">
    <w:nsid w:val="39386575"/>
    <w:multiLevelType w:val="hybridMultilevel"/>
    <w:lvl w:ilvl="0">
      <w:lvlJc w:val="left"/>
      <w:lvlText w:val="✗"/>
      <w:numFmt w:val="bullet"/>
      <w:start w:val="1"/>
    </w:lvl>
  </w:abstractNum>
  <w:abstractNum w:abstractNumId="32">
    <w:nsid w:val="1CF10FD8"/>
    <w:multiLevelType w:val="hybridMultilevel"/>
    <w:lvl w:ilvl="0">
      <w:lvlJc w:val="left"/>
      <w:lvlText w:val="•"/>
      <w:numFmt w:val="bullet"/>
      <w:start w:val="1"/>
    </w:lvl>
  </w:abstractNum>
  <w:abstractNum w:abstractNumId="33">
    <w:nsid w:val="180115BE"/>
    <w:multiLevelType w:val="hybridMultilevel"/>
    <w:lvl w:ilvl="0">
      <w:lvlJc w:val="left"/>
      <w:lvlText w:val="•"/>
      <w:numFmt w:val="bullet"/>
      <w:start w:val="1"/>
    </w:lvl>
  </w:abstractNum>
  <w:abstractNum w:abstractNumId="34">
    <w:nsid w:val="235BA861"/>
    <w:multiLevelType w:val="hybridMultilevel"/>
    <w:lvl w:ilvl="0">
      <w:lvlJc w:val="left"/>
      <w:lvlText w:val="•"/>
      <w:numFmt w:val="bullet"/>
      <w:start w:val="1"/>
    </w:lvl>
  </w:abstractNum>
  <w:abstractNum w:abstractNumId="35">
    <w:nsid w:val="47398C89"/>
    <w:multiLevelType w:val="hybridMultilevel"/>
    <w:lvl w:ilvl="0">
      <w:lvlJc w:val="left"/>
      <w:lvlText w:val="•"/>
      <w:numFmt w:val="bullet"/>
      <w:start w:val="1"/>
    </w:lvl>
  </w:abstractNum>
  <w:abstractNum w:abstractNumId="36">
    <w:nsid w:val="354FE9F9"/>
    <w:multiLevelType w:val="hybridMultilevel"/>
    <w:lvl w:ilvl="0">
      <w:lvlJc w:val="left"/>
      <w:lvlText w:val="•"/>
      <w:numFmt w:val="bullet"/>
      <w:start w:val="1"/>
    </w:lvl>
  </w:abstractNum>
  <w:abstractNum w:abstractNumId="37">
    <w:nsid w:val="15B5AF5C"/>
    <w:multiLevelType w:val="hybridMultilevel"/>
    <w:lvl w:ilvl="0">
      <w:lvlJc w:val="left"/>
      <w:lvlText w:val="•"/>
      <w:numFmt w:val="bullet"/>
      <w:start w:val="1"/>
    </w:lvl>
  </w:abstractNum>
  <w:abstractNum w:abstractNumId="38">
    <w:nsid w:val="741226BB"/>
    <w:multiLevelType w:val="hybridMultilevel"/>
    <w:lvl w:ilvl="0">
      <w:lvlJc w:val="left"/>
      <w:lvlText w:val="•"/>
      <w:numFmt w:val="bullet"/>
      <w:start w:val="1"/>
    </w:lvl>
  </w:abstractNum>
  <w:abstractNum w:abstractNumId="39">
    <w:nsid w:val="D34B6A8"/>
    <w:multiLevelType w:val="hybridMultilevel"/>
    <w:lvl w:ilvl="0">
      <w:lvlJc w:val="left"/>
      <w:lvlText w:val="(%1)"/>
      <w:numFmt w:val="decimal"/>
      <w:start w:val="1"/>
    </w:lvl>
  </w:abstractNum>
  <w:abstractNum w:abstractNumId="40">
    <w:nsid w:val="10233C99"/>
    <w:multiLevelType w:val="hybridMultilevel"/>
    <w:lvl w:ilvl="0">
      <w:lvlJc w:val="left"/>
      <w:lvlText w:val="(%1)"/>
      <w:numFmt w:val="decimal"/>
      <w:start w:val="1"/>
    </w:lvl>
  </w:abstractNum>
  <w:abstractNum w:abstractNumId="41">
    <w:nsid w:val="3F6AB60F"/>
    <w:multiLevelType w:val="hybridMultilevel"/>
    <w:lvl w:ilvl="0">
      <w:lvlJc w:val="left"/>
      <w:lvlText w:val="•"/>
      <w:numFmt w:val="bullet"/>
      <w:start w:val="1"/>
    </w:lvl>
  </w:abstractNum>
  <w:abstractNum w:abstractNumId="42">
    <w:nsid w:val="61574095"/>
    <w:multiLevelType w:val="hybridMultilevel"/>
    <w:lvl w:ilvl="0">
      <w:lvlJc w:val="left"/>
      <w:lvlText w:val="•"/>
      <w:numFmt w:val="bullet"/>
      <w:start w:val="1"/>
    </w:lvl>
  </w:abstractNum>
  <w:abstractNum w:abstractNumId="43">
    <w:nsid w:val="7E0C57B1"/>
    <w:multiLevelType w:val="hybridMultilevel"/>
    <w:lvl w:ilvl="0">
      <w:lvlJc w:val="left"/>
      <w:lvlText w:val="(%1)"/>
      <w:numFmt w:val="decimal"/>
      <w:start w:val="1"/>
    </w:lvl>
  </w:abstractNum>
  <w:abstractNum w:abstractNumId="44">
    <w:nsid w:val="77AE35EB"/>
    <w:multiLevelType w:val="hybridMultilevel"/>
    <w:lvl w:ilvl="0">
      <w:lvlJc w:val="left"/>
      <w:lvlText w:val="(%1)"/>
      <w:numFmt w:val="decimal"/>
      <w:start w:val="1"/>
    </w:lvl>
  </w:abstractNum>
  <w:abstractNum w:abstractNumId="45">
    <w:nsid w:val="579BE4F1"/>
    <w:multiLevelType w:val="hybridMultilevel"/>
    <w:lvl w:ilvl="0">
      <w:lvlJc w:val="left"/>
      <w:lvlText w:val="(%1)"/>
      <w:numFmt w:val="decimal"/>
      <w:start w:val="3"/>
    </w:lvl>
  </w:abstractNum>
  <w:abstractNum w:abstractNumId="46">
    <w:nsid w:val="310C50B3"/>
    <w:multiLevelType w:val="hybridMultilevel"/>
    <w:lvl w:ilvl="0">
      <w:lvlJc w:val="left"/>
      <w:lvlText w:val="(%1)"/>
      <w:numFmt w:val="decimal"/>
      <w:start w:val="1"/>
    </w:lvl>
  </w:abstractNum>
  <w:abstractNum w:abstractNumId="47">
    <w:nsid w:val="5FF87E05"/>
    <w:multiLevelType w:val="hybridMultilevel"/>
    <w:lvl w:ilvl="0">
      <w:lvlJc w:val="left"/>
      <w:lvlText w:val="(%1)"/>
      <w:numFmt w:val="decimal"/>
      <w:start w:val="1"/>
    </w:lvl>
  </w:abstractNum>
  <w:abstractNum w:abstractNumId="48">
    <w:nsid w:val="2F305DEF"/>
    <w:multiLevelType w:val="hybridMultilevel"/>
    <w:lvl w:ilvl="0">
      <w:lvlJc w:val="left"/>
      <w:lvlText w:val="(%1)"/>
      <w:numFmt w:val="decimal"/>
      <w:start w:val="15"/>
    </w:lvl>
  </w:abstractNum>
  <w:abstractNum w:abstractNumId="49">
    <w:nsid w:val="25A70BF7"/>
    <w:multiLevelType w:val="hybridMultilevel"/>
    <w:lvl w:ilvl="0">
      <w:lvlJc w:val="left"/>
      <w:lvlText w:val="(%1)"/>
      <w:numFmt w:val="decimal"/>
      <w:start w:val="1"/>
    </w:lvl>
  </w:abstractNum>
  <w:abstractNum w:abstractNumId="50">
    <w:nsid w:val="1DBABF00"/>
    <w:multiLevelType w:val="hybridMultilevel"/>
    <w:lvl w:ilvl="0">
      <w:lvlJc w:val="left"/>
      <w:lvlText w:val="(%1)"/>
      <w:numFmt w:val="decimal"/>
      <w:start w:val="1"/>
    </w:lvl>
  </w:abstractNum>
  <w:abstractNum w:abstractNumId="51">
    <w:nsid w:val="4AD084E9"/>
    <w:multiLevelType w:val="hybridMultilevel"/>
    <w:lvl w:ilvl="0">
      <w:lvlJc w:val="left"/>
      <w:lvlText w:val="(%1)"/>
      <w:numFmt w:val="decimal"/>
      <w:start w:val="1"/>
    </w:lvl>
  </w:abstractNum>
  <w:abstractNum w:abstractNumId="52">
    <w:nsid w:val="1F48EAA1"/>
    <w:multiLevelType w:val="hybridMultilevel"/>
    <w:lvl w:ilvl="0">
      <w:lvlJc w:val="left"/>
      <w:lvlText w:val="•"/>
      <w:numFmt w:val="bullet"/>
      <w:start w:val="1"/>
    </w:lvl>
  </w:abstractNum>
  <w:abstractNum w:abstractNumId="53">
    <w:nsid w:val="1381823A"/>
    <w:multiLevelType w:val="hybridMultilevel"/>
    <w:lvl w:ilvl="0">
      <w:lvlJc w:val="left"/>
      <w:lvlText w:val="(%1)"/>
      <w:numFmt w:val="decimal"/>
      <w:start w:val="1"/>
    </w:lvl>
  </w:abstractNum>
  <w:abstractNum w:abstractNumId="54">
    <w:nsid w:val="5DB70AE5"/>
    <w:multiLevelType w:val="hybridMultilevel"/>
    <w:lvl w:ilvl="0">
      <w:lvlJc w:val="left"/>
      <w:lvlText w:val="(%1)"/>
      <w:numFmt w:val="decimal"/>
      <w:start w:val="4"/>
    </w:lvl>
  </w:abstractNum>
  <w:abstractNum w:abstractNumId="55">
    <w:nsid w:val="100F8FCA"/>
    <w:multiLevelType w:val="hybridMultilevel"/>
    <w:lvl w:ilvl="0">
      <w:lvlJc w:val="left"/>
      <w:lvlText w:val="•"/>
      <w:numFmt w:val="bullet"/>
      <w:start w:val="1"/>
    </w:lvl>
  </w:abstractNum>
  <w:abstractNum w:abstractNumId="56">
    <w:nsid w:val="6590700B"/>
    <w:multiLevelType w:val="hybridMultilevel"/>
    <w:lvl w:ilvl="0">
      <w:lvlJc w:val="left"/>
      <w:lvlText w:val="•"/>
      <w:numFmt w:val="bullet"/>
      <w:start w:val="1"/>
    </w:lvl>
  </w:abstractNum>
  <w:abstractNum w:abstractNumId="57">
    <w:nsid w:val="15014ACB"/>
    <w:multiLevelType w:val="hybridMultilevel"/>
    <w:lvl w:ilvl="0">
      <w:lvlJc w:val="left"/>
      <w:lvlText w:val="(%1)"/>
      <w:numFmt w:val="decimal"/>
      <w:start w:val="1"/>
    </w:lvl>
  </w:abstractNum>
  <w:abstractNum w:abstractNumId="58">
    <w:nsid w:val="5F5E7FD0"/>
    <w:multiLevelType w:val="hybridMultilevel"/>
    <w:lvl w:ilvl="0">
      <w:lvlJc w:val="left"/>
      <w:lvlText w:val="•"/>
      <w:numFmt w:val="bullet"/>
      <w:start w:val="1"/>
    </w:lvl>
  </w:abstractNum>
  <w:abstractNum w:abstractNumId="59">
    <w:nsid w:val="98A3148"/>
    <w:multiLevelType w:val="hybridMultilevel"/>
    <w:lvl w:ilvl="0">
      <w:lvlJc w:val="left"/>
      <w:lvlText w:val="(%1)"/>
      <w:numFmt w:val="decimal"/>
      <w:start w:val="1"/>
    </w:lvl>
  </w:abstractNum>
  <w:abstractNum w:abstractNumId="60">
    <w:nsid w:val="799D0247"/>
    <w:multiLevelType w:val="hybridMultilevel"/>
    <w:lvl w:ilvl="0">
      <w:lvlJc w:val="left"/>
      <w:lvlText w:val="•"/>
      <w:numFmt w:val="bullet"/>
      <w:start w:val="1"/>
    </w:lvl>
  </w:abstractNum>
  <w:abstractNum w:abstractNumId="61">
    <w:nsid w:val="6B94764"/>
    <w:multiLevelType w:val="hybridMultilevel"/>
    <w:lvl w:ilvl="0">
      <w:lvlJc w:val="left"/>
      <w:lvlText w:val="•"/>
      <w:numFmt w:val="bullet"/>
      <w:start w:val="1"/>
    </w:lvl>
    <w:lvl w:ilvl="1">
      <w:lvlJc w:val="left"/>
      <w:lvlText w:val="✓"/>
      <w:numFmt w:val="bullet"/>
      <w:start w:val="1"/>
    </w:lvl>
  </w:abstractNum>
  <w:abstractNum w:abstractNumId="62">
    <w:nsid w:val="42C296BD"/>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63">
    <w:nsid w:val="168E121F"/>
    <w:multiLevelType w:val="hybridMultilevel"/>
    <w:lvl w:ilvl="0">
      <w:lvlJc w:val="left"/>
      <w:lvlText w:val="•"/>
      <w:numFmt w:val="bullet"/>
      <w:start w:val="1"/>
    </w:lvl>
  </w:abstractNum>
  <w:abstractNum w:abstractNumId="64">
    <w:nsid w:val="1EBA5D23"/>
    <w:multiLevelType w:val="hybridMultilevel"/>
    <w:lvl w:ilvl="0">
      <w:lvlJc w:val="left"/>
      <w:lvlText w:val="*"/>
      <w:numFmt w:val="bullet"/>
      <w:start w:val="1"/>
    </w:lvl>
  </w:abstractNum>
  <w:abstractNum w:abstractNumId="65">
    <w:nsid w:val="661E3F1E"/>
    <w:multiLevelType w:val="hybridMultilevel"/>
    <w:lvl w:ilvl="0">
      <w:lvlJc w:val="left"/>
      <w:lvlText w:val="(%1)"/>
      <w:numFmt w:val="decimal"/>
      <w:start w:val="1"/>
    </w:lvl>
  </w:abstractNum>
  <w:abstractNum w:abstractNumId="66">
    <w:nsid w:val="5DC79EA8"/>
    <w:multiLevelType w:val="hybridMultilevel"/>
    <w:lvl w:ilvl="0">
      <w:lvlJc w:val="left"/>
      <w:lvlText w:val="(%1)"/>
      <w:numFmt w:val="decimal"/>
      <w:start w:val="19"/>
    </w:lvl>
  </w:abstractNum>
  <w:abstractNum w:abstractNumId="67">
    <w:nsid w:val="540A471C"/>
    <w:multiLevelType w:val="hybridMultilevel"/>
    <w:lvl w:ilvl="0">
      <w:lvlJc w:val="left"/>
      <w:lvlText w:val="•"/>
      <w:numFmt w:val="bullet"/>
      <w:start w:val="1"/>
    </w:lvl>
  </w:abstractNum>
  <w:abstractNum w:abstractNumId="68">
    <w:nsid w:val="7BD3EE7B"/>
    <w:multiLevelType w:val="hybridMultilevel"/>
    <w:lvl w:ilvl="0">
      <w:lvlJc w:val="left"/>
      <w:lvlText w:val="(%1)"/>
      <w:numFmt w:val="decimal"/>
      <w:start w:val="2"/>
    </w:lvl>
  </w:abstractNum>
  <w:abstractNum w:abstractNumId="69">
    <w:nsid w:val="51D9C564"/>
    <w:multiLevelType w:val="hybridMultilevel"/>
    <w:lvl w:ilvl="0">
      <w:lvlJc w:val="left"/>
      <w:lvlText w:val="(%1)"/>
      <w:numFmt w:val="upperLetter"/>
      <w:start w:val="2"/>
    </w:lvl>
  </w:abstractNum>
  <w:abstractNum w:abstractNumId="70">
    <w:nsid w:val="613EFDC5"/>
    <w:multiLevelType w:val="hybridMultilevel"/>
    <w:lvl w:ilvl="0">
      <w:lvlJc w:val="left"/>
      <w:lvlText w:val="(%1)"/>
      <w:numFmt w:val="decimal"/>
      <w:start w:val="2"/>
    </w:lvl>
  </w:abstractNum>
  <w:abstractNum w:abstractNumId="71">
    <w:nsid w:val="BF72B14"/>
    <w:multiLevelType w:val="hybridMultilevel"/>
    <w:lvl w:ilvl="0">
      <w:lvlJc w:val="left"/>
      <w:lvlText w:val="(%1)"/>
      <w:numFmt w:val="lowerLetter"/>
      <w:start w:val="2"/>
    </w:lvl>
  </w:abstractNum>
  <w:abstractNum w:abstractNumId="72">
    <w:nsid w:val="11447B73"/>
    <w:multiLevelType w:val="hybridMultilevel"/>
    <w:lvl w:ilvl="0">
      <w:lvlJc w:val="left"/>
      <w:lvlText w:val="(%1)"/>
      <w:numFmt w:val="lowerLetter"/>
      <w:start w:val="4"/>
    </w:lvl>
  </w:abstractNum>
  <w:abstractNum w:abstractNumId="73">
    <w:nsid w:val="42963E5A"/>
    <w:multiLevelType w:val="hybridMultilevel"/>
    <w:lvl w:ilvl="0">
      <w:lvlJc w:val="left"/>
      <w:lvlText w:val="(%1)"/>
      <w:numFmt w:val="decimal"/>
      <w:start w:val="3"/>
    </w:lvl>
  </w:abstractNum>
  <w:abstractNum w:abstractNumId="74">
    <w:nsid w:val="A0382C5"/>
    <w:multiLevelType w:val="hybridMultilevel"/>
    <w:lvl w:ilvl="0">
      <w:lvlJc w:val="left"/>
      <w:lvlText w:val="(%1)"/>
      <w:numFmt w:val="decimal"/>
      <w:start w:val="1"/>
    </w:lvl>
  </w:abstractNum>
  <w:abstractNum w:abstractNumId="75">
    <w:nsid w:val="8F2B15E"/>
    <w:multiLevelType w:val="hybridMultilevel"/>
    <w:lvl w:ilvl="0">
      <w:lvlJc w:val="left"/>
      <w:lvlText w:val="(%1)"/>
      <w:numFmt w:val="lowerLetter"/>
      <w:start w:val="1"/>
    </w:lvl>
  </w:abstractNum>
  <w:abstractNum w:abstractNumId="76">
    <w:nsid w:val="1A32234B"/>
    <w:multiLevelType w:val="hybridMultilevel"/>
    <w:lvl w:ilvl="0">
      <w:lvlJc w:val="left"/>
      <w:lvlText w:val="(%1)"/>
      <w:numFmt w:val="decimal"/>
      <w:start w:val="2"/>
    </w:lvl>
  </w:abstractNum>
  <w:abstractNum w:abstractNumId="77">
    <w:nsid w:val="3B0FD379"/>
    <w:multiLevelType w:val="hybridMultilevel"/>
    <w:lvl w:ilvl="0">
      <w:lvlJc w:val="left"/>
      <w:lvlText w:val="(%1)"/>
      <w:numFmt w:val="upperLetter"/>
      <w:start w:val="4"/>
    </w:lvl>
  </w:abstractNum>
  <w:abstractNum w:abstractNumId="78">
    <w:nsid w:val="68EB2F63"/>
    <w:multiLevelType w:val="hybridMultilevel"/>
    <w:lvl w:ilvl="0">
      <w:lvlJc w:val="left"/>
      <w:lvlText w:val="(%1)"/>
      <w:numFmt w:val="upperLetter"/>
      <w:start w:val="5"/>
    </w:lvl>
  </w:abstractNum>
  <w:abstractNum w:abstractNumId="79">
    <w:nsid w:val="4962813B"/>
    <w:multiLevelType w:val="hybridMultilevel"/>
    <w:lvl w:ilvl="0">
      <w:lvlJc w:val="left"/>
      <w:lvlText w:val="%1."/>
      <w:numFmt w:val="decimal"/>
      <w:start w:val="1"/>
    </w:lvl>
  </w:abstractNum>
  <w:abstractNum w:abstractNumId="80">
    <w:nsid w:val="60B6DF70"/>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jpe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2019-12-05T04:50:24Z</dcterms:created>
  <dcterms:modified xsi:type="dcterms:W3CDTF">2019-12-05T04:50:24Z</dcterms:modified>
</cp:coreProperties>
</file>