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160" w:right="16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400685</wp:posOffset>
            </wp:positionV>
            <wp:extent cx="289750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750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1560" w:type="dxa"/>
        <w:tblCellMar>
          <w:top w:w="0" w:type="dxa"/>
          <w:left w:w="0" w:type="dxa"/>
          <w:bottom w:w="0" w:type="dxa"/>
          <w:right w:w="0" w:type="dxa"/>
        </w:tblCellMar>
      </w:tblPr>
      <w:tr>
        <w:trPr>
          <w:trHeight w:val="214"/>
        </w:trPr>
        <w:tc>
          <w:tcPr>
            <w:tcW w:w="620" w:type="dxa"/>
            <w:vAlign w:val="bottom"/>
          </w:tcPr>
          <w:p>
            <w:pPr>
              <w:spacing w:after="0"/>
              <w:rPr>
                <w:sz w:val="18"/>
                <w:szCs w:val="18"/>
                <w:color w:val="auto"/>
              </w:rPr>
            </w:pPr>
          </w:p>
        </w:tc>
        <w:tc>
          <w:tcPr>
            <w:tcW w:w="3460" w:type="dxa"/>
            <w:vAlign w:val="bottom"/>
            <w:gridSpan w:val="2"/>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53-0257888</w:t>
            </w:r>
          </w:p>
        </w:tc>
        <w:tc>
          <w:tcPr>
            <w:tcW w:w="20" w:type="dxa"/>
            <w:vAlign w:val="bottom"/>
          </w:tcPr>
          <w:p>
            <w:pPr>
              <w:spacing w:after="0"/>
              <w:rPr>
                <w:sz w:val="18"/>
                <w:szCs w:val="18"/>
                <w:color w:val="auto"/>
              </w:rPr>
            </w:pPr>
          </w:p>
        </w:tc>
      </w:tr>
      <w:tr>
        <w:trPr>
          <w:trHeight w:val="190"/>
        </w:trPr>
        <w:tc>
          <w:tcPr>
            <w:tcW w:w="4080" w:type="dxa"/>
            <w:vAlign w:val="bottom"/>
            <w:gridSpan w:val="3"/>
          </w:tcPr>
          <w:p>
            <w:pPr>
              <w:jc w:val="center"/>
              <w:ind w:right="155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3740" w:type="dxa"/>
            <w:vAlign w:val="bottom"/>
            <w:gridSpan w:val="3"/>
          </w:tcPr>
          <w:p>
            <w:pPr>
              <w:jc w:val="center"/>
              <w:ind w:left="1577"/>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4080" w:type="dxa"/>
            <w:vAlign w:val="bottom"/>
            <w:gridSpan w:val="3"/>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3005 Highland Parkway</w:t>
            </w:r>
          </w:p>
        </w:tc>
        <w:tc>
          <w:tcPr>
            <w:tcW w:w="1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4080" w:type="dxa"/>
            <w:vAlign w:val="bottom"/>
            <w:gridSpan w:val="3"/>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Downers Grove, IL</w:t>
            </w:r>
          </w:p>
        </w:tc>
        <w:tc>
          <w:tcPr>
            <w:tcW w:w="37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b w:val="1"/>
                <w:bCs w:val="1"/>
                <w:color w:val="auto"/>
              </w:rPr>
              <w:t>60515</w:t>
            </w:r>
          </w:p>
        </w:tc>
        <w:tc>
          <w:tcPr>
            <w:tcW w:w="20" w:type="dxa"/>
            <w:vAlign w:val="bottom"/>
          </w:tcPr>
          <w:p>
            <w:pPr>
              <w:spacing w:after="0"/>
              <w:rPr>
                <w:sz w:val="19"/>
                <w:szCs w:val="19"/>
                <w:color w:val="auto"/>
              </w:rPr>
            </w:pPr>
          </w:p>
        </w:tc>
      </w:tr>
      <w:tr>
        <w:trPr>
          <w:trHeight w:val="190"/>
        </w:trPr>
        <w:tc>
          <w:tcPr>
            <w:tcW w:w="4080" w:type="dxa"/>
            <w:vAlign w:val="bottom"/>
            <w:gridSpan w:val="3"/>
          </w:tcPr>
          <w:p>
            <w:pPr>
              <w:jc w:val="center"/>
              <w:ind w:right="157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80" w:type="dxa"/>
            <w:vAlign w:val="bottom"/>
          </w:tcPr>
          <w:p>
            <w:pPr>
              <w:spacing w:after="0"/>
              <w:rPr>
                <w:sz w:val="16"/>
                <w:szCs w:val="16"/>
                <w:color w:val="auto"/>
              </w:rPr>
            </w:pPr>
          </w:p>
        </w:tc>
        <w:tc>
          <w:tcPr>
            <w:tcW w:w="2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620" w:type="dxa"/>
            <w:vAlign w:val="bottom"/>
          </w:tcPr>
          <w:p>
            <w:pPr>
              <w:spacing w:after="0"/>
              <w:rPr>
                <w:sz w:val="24"/>
                <w:szCs w:val="24"/>
                <w:color w:val="auto"/>
              </w:rPr>
            </w:pPr>
          </w:p>
        </w:tc>
        <w:tc>
          <w:tcPr>
            <w:tcW w:w="7200" w:type="dxa"/>
            <w:vAlign w:val="bottom"/>
            <w:gridSpan w:val="5"/>
          </w:tcPr>
          <w:p>
            <w:pPr>
              <w:ind w:left="92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620" w:type="dxa"/>
            <w:vAlign w:val="bottom"/>
          </w:tcPr>
          <w:p>
            <w:pPr>
              <w:spacing w:after="0"/>
              <w:rPr>
                <w:sz w:val="24"/>
                <w:szCs w:val="24"/>
                <w:color w:val="auto"/>
              </w:rPr>
            </w:pPr>
          </w:p>
        </w:tc>
        <w:tc>
          <w:tcPr>
            <w:tcW w:w="3460" w:type="dxa"/>
            <w:vAlign w:val="bottom"/>
            <w:gridSpan w:val="2"/>
          </w:tcPr>
          <w:p>
            <w:pPr>
              <w:jc w:val="center"/>
              <w:ind w:right="217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40" w:type="dxa"/>
            <w:vAlign w:val="bottom"/>
            <w:gridSpan w:val="3"/>
          </w:tcPr>
          <w:p>
            <w:pPr>
              <w:jc w:val="center"/>
              <w:ind w:left="1577"/>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6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2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c>
          <w:tcPr>
            <w:tcW w:w="20" w:type="dxa"/>
            <w:vAlign w:val="bottom"/>
          </w:tcPr>
          <w:p>
            <w:pPr>
              <w:spacing w:after="0"/>
              <w:rPr>
                <w:sz w:val="15"/>
                <w:szCs w:val="15"/>
                <w:color w:val="auto"/>
              </w:rPr>
            </w:pPr>
          </w:p>
        </w:tc>
      </w:tr>
      <w:tr>
        <w:trPr>
          <w:trHeight w:val="232"/>
        </w:trPr>
        <w:tc>
          <w:tcPr>
            <w:tcW w:w="18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4.350% Notes due</w:t>
            </w:r>
          </w:p>
        </w:tc>
        <w:tc>
          <w:tcPr>
            <w:tcW w:w="2260" w:type="dxa"/>
            <w:vAlign w:val="bottom"/>
          </w:tcPr>
          <w:p>
            <w:pPr>
              <w:jc w:val="right"/>
              <w:ind w:right="1870"/>
              <w:spacing w:after="0"/>
              <w:rPr>
                <w:sz w:val="20"/>
                <w:szCs w:val="20"/>
                <w:color w:val="auto"/>
              </w:rPr>
            </w:pPr>
            <w:r>
              <w:rPr>
                <w:rFonts w:ascii="Times New Roman" w:cs="Times New Roman" w:eastAsia="Times New Roman" w:hAnsi="Times New Roman"/>
                <w:sz w:val="18"/>
                <w:szCs w:val="18"/>
                <w:b w:val="1"/>
                <w:bCs w:val="1"/>
                <w:color w:val="auto"/>
                <w:w w:val="77"/>
              </w:rPr>
              <w:t>2030</w:t>
            </w:r>
          </w:p>
        </w:tc>
        <w:tc>
          <w:tcPr>
            <w:tcW w:w="3740" w:type="dxa"/>
            <w:vAlign w:val="bottom"/>
            <w:gridSpan w:val="3"/>
          </w:tcPr>
          <w:p>
            <w:pPr>
              <w:jc w:val="center"/>
              <w:ind w:left="1577"/>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217170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spacing w:after="0" w:line="240"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Arial Unicode MS" w:cs="Arial Unicode MS" w:eastAsia="Arial Unicode MS" w:hAnsi="Arial Unicode MS"/>
          <w:sz w:val="18"/>
          <w:szCs w:val="18"/>
          <w:color w:val="auto"/>
        </w:rPr>
        <w:t>☒</w:t>
      </w:r>
    </w:p>
    <w:p>
      <w:pPr>
        <w:spacing w:after="0" w:line="170" w:lineRule="exact"/>
        <w:rPr>
          <w:sz w:val="24"/>
          <w:szCs w:val="24"/>
          <w:color w:val="auto"/>
        </w:rPr>
      </w:pPr>
    </w:p>
    <w:p>
      <w:pPr>
        <w:spacing w:after="0" w:line="240"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Arial Unicode MS" w:cs="Arial Unicode MS" w:eastAsia="Arial Unicode MS" w:hAnsi="Arial Unicode MS"/>
          <w:sz w:val="18"/>
          <w:szCs w:val="18"/>
          <w:color w:val="auto"/>
        </w:rPr>
        <w:t>☐</w:t>
      </w:r>
    </w:p>
    <w:p>
      <w:pPr>
        <w:spacing w:after="0" w:line="129"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If this form relates to the registration of a class of securities concurrently with a Regulation A o</w:t>
      </w:r>
      <w:r>
        <w:rPr>
          <w:rFonts w:ascii="Arial Unicode MS" w:cs="Arial Unicode MS" w:eastAsia="Arial Unicode MS" w:hAnsi="Arial Unicode MS"/>
          <w:sz w:val="18"/>
          <w:szCs w:val="18"/>
          <w:color w:val="auto"/>
        </w:rPr>
        <w:t>ﬀ</w:t>
      </w:r>
      <w:r>
        <w:rPr>
          <w:rFonts w:ascii="Times New Roman" w:cs="Times New Roman" w:eastAsia="Times New Roman" w:hAnsi="Times New Roman"/>
          <w:sz w:val="18"/>
          <w:szCs w:val="18"/>
          <w:color w:val="auto"/>
        </w:rPr>
        <w:t xml:space="preserve">ering, check the following box.  </w:t>
      </w:r>
      <w:r>
        <w:rPr>
          <w:rFonts w:ascii="Arial Unicode MS" w:cs="Arial Unicode MS" w:eastAsia="Arial Unicode MS" w:hAnsi="Arial Unicode MS"/>
          <w:sz w:val="18"/>
          <w:szCs w:val="18"/>
          <w:color w:val="auto"/>
        </w:rPr>
        <w:t>☐</w:t>
      </w:r>
    </w:p>
    <w:p>
      <w:pPr>
        <w:spacing w:after="0" w:line="22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file number to which this form relates: 333-293679</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208280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280"/>
          </w:cols>
          <w:pgMar w:left="440" w:top="376" w:right="117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descriptions of the general terms and provisions of the 4.350% Notes due 2030 of Dover Corporation (the “Registrant”), to be registered hereby, contained under the heading “Description of Debt Securities” in the Registrant’s Registration Statement on Form S-3ASR (No. 333-293679) (the “Registration Statement”) and under the heading “Description of Notes” in the Registrant’s Prospectus Supplement, dated October 26, 2026, to the Prospectus contained in the Registration Statement and filed pursuant to Rule 424(b) of the Securities Act of 1933, as amended, are incorporated by reference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420" w:type="dxa"/>
            <w:vAlign w:val="bottom"/>
          </w:tcPr>
          <w:p>
            <w:pPr>
              <w:spacing w:after="0"/>
              <w:rPr>
                <w:sz w:val="14"/>
                <w:szCs w:val="14"/>
                <w:color w:val="auto"/>
              </w:rPr>
            </w:pPr>
          </w:p>
        </w:tc>
        <w:tc>
          <w:tcPr>
            <w:tcW w:w="1012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Indenture, dated as of February 8, 2001, between the Company and Bank One Trust Company, N.A., as trustee, filed as Exhibit 4.1 to the</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Company’s Current Report on Form 8-K filed February 13, 2001 (SEC File No. 001-04018), is incorporated by reference.</w:t>
              </w:r>
            </w:hyperlink>
          </w:p>
        </w:tc>
        <w:tc>
          <w:tcPr>
            <w:tcW w:w="200" w:type="dxa"/>
            <w:vAlign w:val="bottom"/>
            <w:gridSpan w:val="5"/>
          </w:tcPr>
          <w:p>
            <w:pPr>
              <w:spacing w:after="0"/>
              <w:rPr>
                <w:sz w:val="17"/>
                <w:szCs w:val="17"/>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98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First Supplemental Indenture, dated as of October 13, 2005, among the Company, J.P. Morgan Trust Company, National Association, as</w:t>
              </w:r>
            </w:hyperlink>
          </w:p>
        </w:tc>
        <w:tc>
          <w:tcPr>
            <w:tcW w:w="280" w:type="dxa"/>
            <w:vAlign w:val="bottom"/>
            <w:gridSpan w:val="7"/>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original trustee, and The Bank of New York, as trustee, filed as Exhibit 4.1 to the Company’s Current Report on Form 8-K filed October 18,</w:t>
              </w:r>
            </w:hyperlink>
          </w:p>
        </w:tc>
        <w:tc>
          <w:tcPr>
            <w:tcW w:w="20" w:type="dxa"/>
            <w:vAlign w:val="bottom"/>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2005 (SEC File No. 001-04018), is incorporated by reference.</w:t>
              </w:r>
            </w:hyperlink>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Second Supplemental Indenture, dated as of March 14, 2008, between the Company and The Bank of New York, as trustee, filed as Exhibit</w:t>
              </w:r>
            </w:hyperlink>
          </w:p>
        </w:tc>
        <w:tc>
          <w:tcPr>
            <w:tcW w:w="20" w:type="dxa"/>
            <w:vAlign w:val="bottom"/>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March 14, 2008 (SEC File No. 001-04018), is incorporated by reference.</w:t>
              </w:r>
            </w:hyperlink>
          </w:p>
        </w:tc>
        <w:tc>
          <w:tcPr>
            <w:tcW w:w="740" w:type="dxa"/>
            <w:vAlign w:val="bottom"/>
            <w:gridSpan w:val="13"/>
          </w:tcPr>
          <w:p>
            <w:pPr>
              <w:spacing w:after="0"/>
              <w:rPr>
                <w:sz w:val="17"/>
                <w:szCs w:val="17"/>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012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Third Supplemental Indenture, dated as of February 22, 2011, between the Company and The Bank of New York Mellon, as trustee, filed as</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Exhibit 4.1 to the Company’s Current Report on Form 8-K filed February 22, 2011 (SEC File No. 001-04018), is incorporated by reference.</w:t>
              </w:r>
            </w:hyperlink>
          </w:p>
        </w:tc>
        <w:tc>
          <w:tcPr>
            <w:tcW w:w="40" w:type="dxa"/>
            <w:vAlign w:val="bottom"/>
            <w:gridSpan w:val="2"/>
          </w:tcPr>
          <w:p>
            <w:pPr>
              <w:spacing w:after="0"/>
              <w:rPr>
                <w:sz w:val="17"/>
                <w:szCs w:val="17"/>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Sixth Supplemental Indenture, dated as of November 9, 2016, among the Company, The Bank of New York Mellon, as trustee and The</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Bank of New York Mellon, London Branch, as paying agent, filed as Exhibit 4.1 to the Company’s Current Report on Form 8-K filed</w:t>
              </w:r>
            </w:hyperlink>
          </w:p>
        </w:tc>
        <w:tc>
          <w:tcPr>
            <w:tcW w:w="140" w:type="dxa"/>
            <w:vAlign w:val="bottom"/>
            <w:tcBorders>
              <w:top w:val="single" w:sz="8" w:color="0000EE"/>
            </w:tcBorders>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November 9, 2016 (SEC File No. 001-04018), is incorporated by reference.</w:t>
              </w:r>
            </w:hyperlink>
          </w:p>
        </w:tc>
        <w:tc>
          <w:tcPr>
            <w:tcW w:w="4640" w:type="dxa"/>
            <w:vAlign w:val="bottom"/>
            <w:gridSpan w:val="16"/>
          </w:tcPr>
          <w:p>
            <w:pPr>
              <w:spacing w:after="0"/>
              <w:rPr>
                <w:sz w:val="17"/>
                <w:szCs w:val="17"/>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Seventh Supplemental Indenture, dated as of November 4, 2019, among the Company, The Bank of New York Mellon, as trustee and The</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Bank of New York Mellon, London Branch, as paying agent, filed as Exhibit 4.1 to the Company’s Current Report on Form 8-K filed</w:t>
              </w:r>
            </w:hyperlink>
          </w:p>
        </w:tc>
        <w:tc>
          <w:tcPr>
            <w:tcW w:w="340" w:type="dxa"/>
            <w:vAlign w:val="bottom"/>
            <w:tcBorders>
              <w:top w:val="single" w:sz="8" w:color="0000EE"/>
            </w:tcBorders>
            <w:gridSpan w:val="6"/>
          </w:tcPr>
          <w:p>
            <w:pPr>
              <w:spacing w:after="0"/>
              <w:rPr>
                <w:sz w:val="17"/>
                <w:szCs w:val="17"/>
                <w:color w:val="auto"/>
              </w:rPr>
            </w:pPr>
          </w:p>
        </w:tc>
        <w:tc>
          <w:tcPr>
            <w:tcW w:w="160" w:type="dxa"/>
            <w:vAlign w:val="bottom"/>
            <w:gridSpan w:val="4"/>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November 4, 2019 (SEC File No. 001-04018), is incorporated by reference.</w:t>
              </w:r>
            </w:hyperlink>
          </w:p>
        </w:tc>
        <w:tc>
          <w:tcPr>
            <w:tcW w:w="4640" w:type="dxa"/>
            <w:vAlign w:val="bottom"/>
            <w:gridSpan w:val="16"/>
          </w:tcPr>
          <w:p>
            <w:pPr>
              <w:spacing w:after="0"/>
              <w:rPr>
                <w:sz w:val="17"/>
                <w:szCs w:val="17"/>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Pr>
          <w:p>
            <w:pPr>
              <w:spacing w:after="0"/>
              <w:rPr>
                <w:sz w:val="24"/>
                <w:szCs w:val="24"/>
                <w:color w:val="auto"/>
              </w:rPr>
            </w:pPr>
          </w:p>
        </w:tc>
        <w:tc>
          <w:tcPr>
            <w:tcW w:w="100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Eighth Supplemental Indenture, dated as of November 4, 2019, between the Company and The Bank of New York Mellon, as trustee, filed</w:t>
              </w:r>
            </w:hyperlink>
          </w:p>
        </w:tc>
        <w:tc>
          <w:tcPr>
            <w:tcW w:w="80" w:type="dxa"/>
            <w:vAlign w:val="bottom"/>
            <w:gridSpan w:val="3"/>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as Exhibit 4.3 to the Company’s Current Report on Form 8-K filed November 4, 2019 (SEC File No. 001-04018), is incorporated by</w:t>
              </w:r>
            </w:hyperlink>
          </w:p>
        </w:tc>
        <w:tc>
          <w:tcPr>
            <w:tcW w:w="580" w:type="dxa"/>
            <w:vAlign w:val="bottom"/>
            <w:gridSpan w:val="11"/>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reference.</w:t>
              </w:r>
            </w:hyperlink>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Ninth Supplemental Indenture, dated as of November 12, 2025, among the Company, The Bank of New York Mellon, as trustee and The</w:t>
              </w:r>
            </w:hyperlink>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Bank of New York Mellon, London Branch, as paying agent, filed as Exhibit 4.1 to the Company’s Current Report on Form 8-K filed</w:t>
              </w:r>
            </w:hyperlink>
          </w:p>
        </w:tc>
        <w:tc>
          <w:tcPr>
            <w:tcW w:w="260" w:type="dxa"/>
            <w:vAlign w:val="bottom"/>
            <w:tcBorders>
              <w:top w:val="single" w:sz="8" w:color="0000EE"/>
            </w:tcBorders>
            <w:gridSpan w:val="4"/>
          </w:tcPr>
          <w:p>
            <w:pPr>
              <w:spacing w:after="0"/>
              <w:rPr>
                <w:sz w:val="17"/>
                <w:szCs w:val="17"/>
                <w:color w:val="auto"/>
              </w:rPr>
            </w:pPr>
          </w:p>
        </w:tc>
        <w:tc>
          <w:tcPr>
            <w:tcW w:w="240" w:type="dxa"/>
            <w:vAlign w:val="bottom"/>
            <w:gridSpan w:val="6"/>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22"/>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November 12, 2025 (SEC File No. 001-04018), is incorporated by reference.</w:t>
              </w:r>
            </w:hyperlink>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24"/>
                <w:szCs w:val="24"/>
                <w:color w:val="auto"/>
              </w:rPr>
            </w:pPr>
          </w:p>
        </w:tc>
        <w:tc>
          <w:tcPr>
            <w:tcW w:w="98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Tenth Supplemental Indenture, dated as of November 2, 2026, among the Company, The Bank of New York Mellon, as trustee and The</w:t>
              </w:r>
            </w:hyperlink>
          </w:p>
        </w:tc>
        <w:tc>
          <w:tcPr>
            <w:tcW w:w="320" w:type="dxa"/>
            <w:vAlign w:val="bottom"/>
            <w:gridSpan w:val="8"/>
          </w:tcPr>
          <w:p>
            <w:pPr>
              <w:spacing w:after="0"/>
              <w:rPr>
                <w:sz w:val="24"/>
                <w:szCs w:val="24"/>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Bank of New York Mellon, London Branch, as paying agent, filed as Exhibit 4.1 to the Company’s Current Report on Form 8-K filed</w:t>
              </w:r>
            </w:hyperlink>
          </w:p>
        </w:tc>
        <w:tc>
          <w:tcPr>
            <w:tcW w:w="500" w:type="dxa"/>
            <w:vAlign w:val="bottom"/>
            <w:gridSpan w:val="10"/>
          </w:tcPr>
          <w:p>
            <w:pPr>
              <w:spacing w:after="0"/>
              <w:rPr>
                <w:sz w:val="17"/>
                <w:szCs w:val="17"/>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November 2, 2026 (SEC File No. 001-04018), is incorporated by reference.</w:t>
              </w:r>
            </w:hyperlink>
          </w:p>
        </w:tc>
        <w:tc>
          <w:tcPr>
            <w:tcW w:w="4660" w:type="dxa"/>
            <w:vAlign w:val="bottom"/>
            <w:gridSpan w:val="17"/>
          </w:tcPr>
          <w:p>
            <w:pPr>
              <w:spacing w:after="0"/>
              <w:rPr>
                <w:sz w:val="17"/>
                <w:szCs w:val="17"/>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tcPr>
          <w:p>
            <w:pPr>
              <w:spacing w:after="0"/>
              <w:rPr>
                <w:sz w:val="24"/>
                <w:szCs w:val="24"/>
                <w:color w:val="auto"/>
              </w:rPr>
            </w:pPr>
          </w:p>
        </w:tc>
        <w:tc>
          <w:tcPr>
            <w:tcW w:w="10120" w:type="dxa"/>
            <w:vAlign w:val="bottom"/>
            <w:gridSpan w:val="2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Global Note representing the 4.350% Notes due 2030 (included as Exhibit A to Exhibit 4.9 and incorporated by reference).</w:t>
              </w:r>
            </w:hyperlink>
          </w:p>
        </w:tc>
      </w:tr>
      <w:tr>
        <w:trPr>
          <w:trHeight w:val="385"/>
        </w:trPr>
        <w:tc>
          <w:tcPr>
            <w:tcW w:w="42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5440" w:type="dxa"/>
            <w:vAlign w:val="bottom"/>
            <w:tcBorders>
              <w:top w:val="single" w:sz="8" w:color="0000EE"/>
            </w:tcBorders>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DOVER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Ivonne M. Cabrera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Ivonne M. Cabrera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19" Type="http://schemas.openxmlformats.org/officeDocument/2006/relationships/hyperlink" Target="http://www.sec.gov/Archives/edgar/data/29905/000095012301001183/y45340ex4-1.txt" TargetMode="External"/><Relationship Id="rId20" Type="http://schemas.openxmlformats.org/officeDocument/2006/relationships/hyperlink" Target="http://www.sec.gov/Archives/edgar/data/29905/000095012305012117/y13484aexv4w1.htm" TargetMode="External"/><Relationship Id="rId21" Type="http://schemas.openxmlformats.org/officeDocument/2006/relationships/hyperlink" Target="http://www.sec.gov/Archives/edgar/data/29905/000095012308002981/y51458a1exv4w1.htm" TargetMode="External"/><Relationship Id="rId22" Type="http://schemas.openxmlformats.org/officeDocument/2006/relationships/hyperlink" Target="http://www.sec.gov/Archives/edgar/data/29905/000095012311016229/y89741exv4w1.htm" TargetMode="External"/><Relationship Id="rId23" Type="http://schemas.openxmlformats.org/officeDocument/2006/relationships/hyperlink" Target="http://www.sec.gov/Archives/edgar/data/29905/000119312516763637/d200819dex41.htm" TargetMode="External"/><Relationship Id="rId24" Type="http://schemas.openxmlformats.org/officeDocument/2006/relationships/hyperlink" Target="http://www.sec.gov/Archives/edgar/data/29905/000119312519283338/d816977dex41.htm" TargetMode="External"/><Relationship Id="rId25" Type="http://schemas.openxmlformats.org/officeDocument/2006/relationships/hyperlink" Target="http://www.sec.gov/Archives/edgar/data/29905/000119312519283338/d816977dex43.htm" TargetMode="External"/><Relationship Id="rId26" Type="http://schemas.openxmlformats.org/officeDocument/2006/relationships/hyperlink" Target="http://www.sec.gov/Archives/edgar/data/29905/000119312525277534/d84051dex41.htm" TargetMode="External"/><Relationship Id="rId27" Type="http://schemas.openxmlformats.org/officeDocument/2006/relationships/hyperlink" Target="http://www.sec.gov/Archives/edgar/data/29905/000119312526442782/d25391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2026-11-02T15:04:31Z</dcterms:created>
  <dcterms:modified xsi:type="dcterms:W3CDTF">2026-11-02T15:04:31Z</dcterms:modified>
</cp:coreProperties>
</file>