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 w:lineRule="exact"/>
        <w:rPr>
          <w:sz w:val="24"/>
          <w:szCs w:val="24"/>
          <w:color w:val="auto"/>
        </w:rPr>
      </w:pPr>
    </w:p>
    <w:p>
      <w:pPr>
        <w:ind w:left="3740" w:right="2160" w:hanging="3732"/>
        <w:spacing w:after="0" w:line="392" w:lineRule="auto"/>
        <w:tabs>
          <w:tab w:leader="none" w:pos="20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OF 1934</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For the transition period from to</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Commission File Number: 1-4018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17145</wp:posOffset>
            </wp:positionV>
            <wp:extent cx="377317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317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40" w:type="dxa"/>
            <w:vAlign w:val="bottom"/>
            <w:gridSpan w:val="3"/>
          </w:tcPr>
          <w:p>
            <w:pPr>
              <w:jc w:val="center"/>
              <w:ind w:right="267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270"/>
        </w:trPr>
        <w:tc>
          <w:tcPr>
            <w:tcW w:w="1400" w:type="dxa"/>
            <w:vAlign w:val="bottom"/>
          </w:tcPr>
          <w:p>
            <w:pPr>
              <w:spacing w:after="0"/>
              <w:rPr>
                <w:sz w:val="23"/>
                <w:szCs w:val="23"/>
                <w:color w:val="auto"/>
              </w:rPr>
            </w:pPr>
          </w:p>
        </w:tc>
        <w:tc>
          <w:tcPr>
            <w:tcW w:w="3700" w:type="dxa"/>
            <w:vAlign w:val="bottom"/>
            <w:gridSpan w:val="2"/>
          </w:tcPr>
          <w:p>
            <w:pPr>
              <w:jc w:val="center"/>
              <w:ind w:right="610"/>
              <w:spacing w:after="0"/>
              <w:rPr>
                <w:sz w:val="20"/>
                <w:szCs w:val="20"/>
                <w:color w:val="auto"/>
              </w:rPr>
            </w:pPr>
            <w:r>
              <w:rPr>
                <w:rFonts w:ascii="Arial" w:cs="Arial" w:eastAsia="Arial" w:hAnsi="Arial"/>
                <w:sz w:val="18"/>
                <w:szCs w:val="18"/>
                <w:b w:val="1"/>
                <w:bCs w:val="1"/>
                <w:color w:val="auto"/>
                <w:w w:val="91"/>
              </w:rPr>
              <w:t>Delaware</w:t>
            </w:r>
          </w:p>
        </w:tc>
        <w:tc>
          <w:tcPr>
            <w:tcW w:w="6320" w:type="dxa"/>
            <w:vAlign w:val="bottom"/>
            <w:gridSpan w:val="2"/>
          </w:tcPr>
          <w:p>
            <w:pPr>
              <w:jc w:val="right"/>
              <w:ind w:right="2310"/>
              <w:spacing w:after="0"/>
              <w:rPr>
                <w:sz w:val="20"/>
                <w:szCs w:val="20"/>
                <w:color w:val="auto"/>
              </w:rPr>
            </w:pPr>
            <w:r>
              <w:rPr>
                <w:rFonts w:ascii="Arial" w:cs="Arial" w:eastAsia="Arial" w:hAnsi="Arial"/>
                <w:sz w:val="18"/>
                <w:szCs w:val="18"/>
                <w:b w:val="1"/>
                <w:bCs w:val="1"/>
                <w:color w:val="auto"/>
              </w:rPr>
              <w:t>53-0257888</w:t>
            </w:r>
          </w:p>
        </w:tc>
      </w:tr>
      <w:tr>
        <w:trPr>
          <w:trHeight w:val="270"/>
        </w:trPr>
        <w:tc>
          <w:tcPr>
            <w:tcW w:w="510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20" w:type="dxa"/>
            <w:vAlign w:val="bottom"/>
          </w:tcPr>
          <w:p>
            <w:pPr>
              <w:spacing w:after="0"/>
              <w:rPr>
                <w:sz w:val="23"/>
                <w:szCs w:val="23"/>
                <w:color w:val="auto"/>
              </w:rPr>
            </w:pPr>
          </w:p>
        </w:tc>
        <w:tc>
          <w:tcPr>
            <w:tcW w:w="5900" w:type="dxa"/>
            <w:vAlign w:val="bottom"/>
          </w:tcPr>
          <w:p>
            <w:pPr>
              <w:jc w:val="center"/>
              <w:ind w:left="110"/>
              <w:spacing w:after="0"/>
              <w:rPr>
                <w:sz w:val="20"/>
                <w:szCs w:val="20"/>
                <w:color w:val="auto"/>
              </w:rPr>
            </w:pPr>
            <w:r>
              <w:rPr>
                <w:rFonts w:ascii="Arial" w:cs="Arial" w:eastAsia="Arial" w:hAnsi="Arial"/>
                <w:sz w:val="18"/>
                <w:szCs w:val="18"/>
                <w:color w:val="auto"/>
                <w:w w:val="94"/>
              </w:rPr>
              <w:t>(I.R.S. Employer Identification No.)</w:t>
            </w:r>
          </w:p>
        </w:tc>
      </w:tr>
      <w:tr>
        <w:trPr>
          <w:trHeight w:val="540"/>
        </w:trPr>
        <w:tc>
          <w:tcPr>
            <w:tcW w:w="1400" w:type="dxa"/>
            <w:vAlign w:val="bottom"/>
          </w:tcPr>
          <w:p>
            <w:pPr>
              <w:spacing w:after="0"/>
              <w:rPr>
                <w:sz w:val="24"/>
                <w:szCs w:val="24"/>
                <w:color w:val="auto"/>
              </w:rPr>
            </w:pPr>
          </w:p>
        </w:tc>
        <w:tc>
          <w:tcPr>
            <w:tcW w:w="3700" w:type="dxa"/>
            <w:vAlign w:val="bottom"/>
            <w:gridSpan w:val="2"/>
          </w:tcPr>
          <w:p>
            <w:pPr>
              <w:jc w:val="center"/>
              <w:ind w:right="630"/>
              <w:spacing w:after="0"/>
              <w:rPr>
                <w:sz w:val="20"/>
                <w:szCs w:val="20"/>
                <w:color w:val="auto"/>
              </w:rPr>
            </w:pPr>
            <w:r>
              <w:rPr>
                <w:rFonts w:ascii="Arial" w:cs="Arial" w:eastAsia="Arial" w:hAnsi="Arial"/>
                <w:sz w:val="18"/>
                <w:szCs w:val="18"/>
                <w:b w:val="1"/>
                <w:bCs w:val="1"/>
                <w:color w:val="auto"/>
                <w:w w:val="92"/>
              </w:rPr>
              <w:t>3005 Highland Parkway</w:t>
            </w:r>
          </w:p>
        </w:tc>
        <w:tc>
          <w:tcPr>
            <w:tcW w:w="420" w:type="dxa"/>
            <w:vAlign w:val="bottom"/>
          </w:tcPr>
          <w:p>
            <w:pPr>
              <w:spacing w:after="0"/>
              <w:rPr>
                <w:sz w:val="24"/>
                <w:szCs w:val="24"/>
                <w:color w:val="auto"/>
              </w:rPr>
            </w:pPr>
          </w:p>
        </w:tc>
        <w:tc>
          <w:tcPr>
            <w:tcW w:w="5900" w:type="dxa"/>
            <w:vAlign w:val="bottom"/>
          </w:tcPr>
          <w:p>
            <w:pPr>
              <w:spacing w:after="0"/>
              <w:rPr>
                <w:sz w:val="24"/>
                <w:szCs w:val="24"/>
                <w:color w:val="auto"/>
              </w:rPr>
            </w:pPr>
          </w:p>
        </w:tc>
      </w:tr>
      <w:tr>
        <w:trPr>
          <w:trHeight w:val="270"/>
        </w:trPr>
        <w:tc>
          <w:tcPr>
            <w:tcW w:w="1400" w:type="dxa"/>
            <w:vAlign w:val="bottom"/>
          </w:tcPr>
          <w:p>
            <w:pPr>
              <w:spacing w:after="0"/>
              <w:rPr>
                <w:sz w:val="23"/>
                <w:szCs w:val="23"/>
                <w:color w:val="auto"/>
              </w:rPr>
            </w:pPr>
          </w:p>
        </w:tc>
        <w:tc>
          <w:tcPr>
            <w:tcW w:w="3700" w:type="dxa"/>
            <w:vAlign w:val="bottom"/>
            <w:gridSpan w:val="2"/>
          </w:tcPr>
          <w:p>
            <w:pPr>
              <w:jc w:val="center"/>
              <w:ind w:right="630"/>
              <w:spacing w:after="0"/>
              <w:rPr>
                <w:sz w:val="20"/>
                <w:szCs w:val="20"/>
                <w:color w:val="auto"/>
              </w:rPr>
            </w:pPr>
            <w:r>
              <w:rPr>
                <w:rFonts w:ascii="Arial" w:cs="Arial" w:eastAsia="Arial" w:hAnsi="Arial"/>
                <w:sz w:val="18"/>
                <w:szCs w:val="18"/>
                <w:b w:val="1"/>
                <w:bCs w:val="1"/>
                <w:color w:val="auto"/>
                <w:w w:val="90"/>
              </w:rPr>
              <w:t>Downers Grove, Illinois</w:t>
            </w:r>
          </w:p>
        </w:tc>
        <w:tc>
          <w:tcPr>
            <w:tcW w:w="6320" w:type="dxa"/>
            <w:vAlign w:val="bottom"/>
            <w:gridSpan w:val="2"/>
          </w:tcPr>
          <w:p>
            <w:pPr>
              <w:jc w:val="right"/>
              <w:ind w:right="2530"/>
              <w:spacing w:after="0"/>
              <w:rPr>
                <w:sz w:val="20"/>
                <w:szCs w:val="20"/>
                <w:color w:val="auto"/>
              </w:rPr>
            </w:pPr>
            <w:r>
              <w:rPr>
                <w:rFonts w:ascii="Arial" w:cs="Arial" w:eastAsia="Arial" w:hAnsi="Arial"/>
                <w:sz w:val="18"/>
                <w:szCs w:val="18"/>
                <w:b w:val="1"/>
                <w:bCs w:val="1"/>
                <w:color w:val="auto"/>
              </w:rPr>
              <w:t>60515</w:t>
            </w:r>
          </w:p>
        </w:tc>
      </w:tr>
      <w:tr>
        <w:trPr>
          <w:trHeight w:val="270"/>
        </w:trPr>
        <w:tc>
          <w:tcPr>
            <w:tcW w:w="1400" w:type="dxa"/>
            <w:vAlign w:val="bottom"/>
          </w:tcPr>
          <w:p>
            <w:pPr>
              <w:spacing w:after="0"/>
              <w:rPr>
                <w:sz w:val="23"/>
                <w:szCs w:val="23"/>
                <w:color w:val="auto"/>
              </w:rPr>
            </w:pPr>
          </w:p>
        </w:tc>
        <w:tc>
          <w:tcPr>
            <w:tcW w:w="3700" w:type="dxa"/>
            <w:vAlign w:val="bottom"/>
            <w:gridSpan w:val="2"/>
          </w:tcPr>
          <w:p>
            <w:pPr>
              <w:jc w:val="center"/>
              <w:ind w:right="610"/>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23"/>
                <w:szCs w:val="23"/>
                <w:color w:val="auto"/>
              </w:rPr>
            </w:pPr>
          </w:p>
        </w:tc>
        <w:tc>
          <w:tcPr>
            <w:tcW w:w="5900" w:type="dxa"/>
            <w:vAlign w:val="bottom"/>
          </w:tcPr>
          <w:p>
            <w:pPr>
              <w:jc w:val="center"/>
              <w:ind w:left="130"/>
              <w:spacing w:after="0"/>
              <w:rPr>
                <w:sz w:val="20"/>
                <w:szCs w:val="20"/>
                <w:color w:val="auto"/>
              </w:rPr>
            </w:pPr>
            <w:r>
              <w:rPr>
                <w:rFonts w:ascii="Arial" w:cs="Arial" w:eastAsia="Arial" w:hAnsi="Arial"/>
                <w:sz w:val="18"/>
                <w:szCs w:val="18"/>
                <w:color w:val="auto"/>
                <w:w w:val="94"/>
              </w:rPr>
              <w:t>(Zip Code)</w:t>
            </w:r>
          </w:p>
        </w:tc>
      </w:tr>
      <w:tr>
        <w:trPr>
          <w:trHeight w:val="337"/>
        </w:trPr>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320" w:type="dxa"/>
            <w:vAlign w:val="bottom"/>
            <w:gridSpan w:val="2"/>
          </w:tcPr>
          <w:p>
            <w:pPr>
              <w:jc w:val="center"/>
              <w:ind w:right="4990"/>
              <w:spacing w:after="0"/>
              <w:rPr>
                <w:sz w:val="20"/>
                <w:szCs w:val="20"/>
                <w:color w:val="auto"/>
              </w:rPr>
            </w:pPr>
            <w:r>
              <w:rPr>
                <w:rFonts w:ascii="Arial" w:cs="Arial" w:eastAsia="Arial" w:hAnsi="Arial"/>
                <w:sz w:val="18"/>
                <w:szCs w:val="18"/>
                <w:b w:val="1"/>
                <w:bCs w:val="1"/>
                <w:color w:val="auto"/>
                <w:w w:val="90"/>
              </w:rPr>
              <w:t>(630) 541-1540</w:t>
            </w:r>
          </w:p>
        </w:tc>
      </w:tr>
      <w:tr>
        <w:trPr>
          <w:trHeight w:val="230"/>
        </w:trPr>
        <w:tc>
          <w:tcPr>
            <w:tcW w:w="1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40" w:type="dxa"/>
            <w:vAlign w:val="bottom"/>
            <w:gridSpan w:val="3"/>
          </w:tcPr>
          <w:p>
            <w:pPr>
              <w:jc w:val="center"/>
              <w:ind w:right="269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324"/>
        </w:trPr>
        <w:tc>
          <w:tcPr>
            <w:tcW w:w="5100" w:type="dxa"/>
            <w:vAlign w:val="bottom"/>
            <w:gridSpan w:val="3"/>
          </w:tcPr>
          <w:p>
            <w:pPr>
              <w:jc w:val="right"/>
              <w:ind w:right="85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420" w:type="dxa"/>
            <w:vAlign w:val="bottom"/>
          </w:tcPr>
          <w:p>
            <w:pPr>
              <w:spacing w:after="0"/>
              <w:rPr>
                <w:sz w:val="24"/>
                <w:szCs w:val="24"/>
                <w:color w:val="auto"/>
              </w:rPr>
            </w:pPr>
          </w:p>
        </w:tc>
        <w:tc>
          <w:tcPr>
            <w:tcW w:w="5900" w:type="dxa"/>
            <w:vAlign w:val="bottom"/>
          </w:tcPr>
          <w:p>
            <w:pPr>
              <w:spacing w:after="0"/>
              <w:rPr>
                <w:sz w:val="24"/>
                <w:szCs w:val="24"/>
                <w:color w:val="auto"/>
              </w:rPr>
            </w:pPr>
          </w:p>
        </w:tc>
      </w:tr>
      <w:tr>
        <w:trPr>
          <w:trHeight w:val="27"/>
        </w:trPr>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r>
      <w:tr>
        <w:trPr>
          <w:trHeight w:val="237"/>
        </w:trPr>
        <w:tc>
          <w:tcPr>
            <w:tcW w:w="1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2"/>
              </w:rPr>
              <w:t>Title of each class</w:t>
            </w:r>
          </w:p>
        </w:tc>
        <w:tc>
          <w:tcPr>
            <w:tcW w:w="1380" w:type="dxa"/>
            <w:vAlign w:val="bottom"/>
            <w:tcBorders>
              <w:right w:val="single" w:sz="8" w:color="auto"/>
            </w:tcBorders>
          </w:tcPr>
          <w:p>
            <w:pPr>
              <w:spacing w:after="0"/>
              <w:rPr>
                <w:sz w:val="20"/>
                <w:szCs w:val="20"/>
                <w:color w:val="auto"/>
              </w:rPr>
            </w:pPr>
          </w:p>
        </w:tc>
        <w:tc>
          <w:tcPr>
            <w:tcW w:w="2320" w:type="dxa"/>
            <w:vAlign w:val="bottom"/>
          </w:tcPr>
          <w:p>
            <w:pPr>
              <w:jc w:val="right"/>
              <w:ind w:right="850"/>
              <w:spacing w:after="0"/>
              <w:rPr>
                <w:sz w:val="20"/>
                <w:szCs w:val="20"/>
                <w:color w:val="auto"/>
              </w:rPr>
            </w:pPr>
            <w:r>
              <w:rPr>
                <w:rFonts w:ascii="Arial" w:cs="Arial" w:eastAsia="Arial" w:hAnsi="Arial"/>
                <w:sz w:val="18"/>
                <w:szCs w:val="18"/>
                <w:color w:val="auto"/>
                <w:w w:val="92"/>
              </w:rPr>
              <w:t>Trading Symbol(s)</w:t>
            </w:r>
          </w:p>
        </w:tc>
        <w:tc>
          <w:tcPr>
            <w:tcW w:w="420" w:type="dxa"/>
            <w:vAlign w:val="bottom"/>
            <w:tcBorders>
              <w:right w:val="single" w:sz="8" w:color="auto"/>
            </w:tcBorders>
          </w:tcPr>
          <w:p>
            <w:pPr>
              <w:spacing w:after="0"/>
              <w:rPr>
                <w:sz w:val="20"/>
                <w:szCs w:val="20"/>
                <w:color w:val="auto"/>
              </w:rPr>
            </w:pPr>
          </w:p>
        </w:tc>
        <w:tc>
          <w:tcPr>
            <w:tcW w:w="5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140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1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1380" w:type="dxa"/>
            <w:vAlign w:val="bottom"/>
            <w:tcBorders>
              <w:right w:val="single" w:sz="8" w:color="auto"/>
            </w:tcBorders>
          </w:tcPr>
          <w:p>
            <w:pPr>
              <w:spacing w:after="0"/>
              <w:rPr>
                <w:sz w:val="20"/>
                <w:szCs w:val="20"/>
                <w:color w:val="auto"/>
              </w:rPr>
            </w:pPr>
          </w:p>
        </w:tc>
        <w:tc>
          <w:tcPr>
            <w:tcW w:w="2320" w:type="dxa"/>
            <w:vAlign w:val="bottom"/>
          </w:tcPr>
          <w:p>
            <w:pPr>
              <w:jc w:val="right"/>
              <w:ind w:right="1830"/>
              <w:spacing w:after="0"/>
              <w:rPr>
                <w:sz w:val="20"/>
                <w:szCs w:val="20"/>
                <w:color w:val="auto"/>
              </w:rPr>
            </w:pPr>
            <w:r>
              <w:rPr>
                <w:rFonts w:ascii="Arial" w:cs="Arial" w:eastAsia="Arial" w:hAnsi="Arial"/>
                <w:sz w:val="18"/>
                <w:szCs w:val="18"/>
                <w:color w:val="auto"/>
                <w:w w:val="97"/>
              </w:rPr>
              <w:t>DOV</w:t>
            </w:r>
          </w:p>
        </w:tc>
        <w:tc>
          <w:tcPr>
            <w:tcW w:w="420" w:type="dxa"/>
            <w:vAlign w:val="bottom"/>
            <w:tcBorders>
              <w:right w:val="single" w:sz="8" w:color="auto"/>
            </w:tcBorders>
          </w:tcPr>
          <w:p>
            <w:pPr>
              <w:spacing w:after="0"/>
              <w:rPr>
                <w:sz w:val="20"/>
                <w:szCs w:val="20"/>
                <w:color w:val="auto"/>
              </w:rPr>
            </w:pPr>
          </w:p>
        </w:tc>
        <w:tc>
          <w:tcPr>
            <w:tcW w:w="5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New York Stock Exchange</w:t>
            </w:r>
          </w:p>
        </w:tc>
      </w:tr>
      <w:tr>
        <w:trPr>
          <w:trHeight w:val="27"/>
        </w:trPr>
        <w:tc>
          <w:tcPr>
            <w:tcW w:w="140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2"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definitions of "large accelerated filer," "accelerated filer," "smaller reporting company," and "emerging growth company" in Rule 12-b-2 of the Exchange Act.</w:t>
      </w:r>
    </w:p>
    <w:tbl>
      <w:tblPr>
        <w:tblLayout w:type="fixed"/>
        <w:tblInd w:w="320" w:type="dxa"/>
        <w:tblCellMar>
          <w:top w:w="0" w:type="dxa"/>
          <w:left w:w="0" w:type="dxa"/>
          <w:bottom w:w="0" w:type="dxa"/>
          <w:right w:w="0" w:type="dxa"/>
        </w:tblCellMar>
      </w:tblPr>
      <w:tr>
        <w:trPr>
          <w:trHeight w:val="199"/>
        </w:trPr>
        <w:tc>
          <w:tcPr>
            <w:tcW w:w="2160" w:type="dxa"/>
            <w:vAlign w:val="bottom"/>
          </w:tcPr>
          <w:p>
            <w:pPr>
              <w:spacing w:after="0" w:line="200" w:lineRule="exact"/>
              <w:rPr>
                <w:sz w:val="20"/>
                <w:szCs w:val="20"/>
                <w:color w:val="auto"/>
              </w:rPr>
            </w:pPr>
            <w:r>
              <w:rPr>
                <w:rFonts w:ascii="Arial" w:cs="Arial" w:eastAsia="Arial" w:hAnsi="Arial"/>
                <w:sz w:val="18"/>
                <w:szCs w:val="18"/>
                <w:color w:val="auto"/>
              </w:rPr>
              <w:t>Large Accelerated Filer</w:t>
            </w:r>
          </w:p>
        </w:tc>
        <w:tc>
          <w:tcPr>
            <w:tcW w:w="28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49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5140" w:type="dxa"/>
            <w:vAlign w:val="bottom"/>
          </w:tcPr>
          <w:p>
            <w:pPr>
              <w:ind w:left="2280"/>
              <w:spacing w:after="0" w:line="195" w:lineRule="exact"/>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209"/>
        </w:trPr>
        <w:tc>
          <w:tcPr>
            <w:tcW w:w="2160" w:type="dxa"/>
            <w:vAlign w:val="bottom"/>
            <w:vMerge w:val="restart"/>
          </w:tcPr>
          <w:p>
            <w:pPr>
              <w:spacing w:after="0"/>
              <w:rPr>
                <w:sz w:val="20"/>
                <w:szCs w:val="20"/>
                <w:color w:val="auto"/>
              </w:rPr>
            </w:pPr>
            <w:r>
              <w:rPr>
                <w:rFonts w:ascii="Arial" w:cs="Arial" w:eastAsia="Arial" w:hAnsi="Arial"/>
                <w:sz w:val="18"/>
                <w:szCs w:val="18"/>
                <w:color w:val="auto"/>
              </w:rPr>
              <w:t>Non-Acelerated Filer</w:t>
            </w:r>
          </w:p>
        </w:tc>
        <w:tc>
          <w:tcPr>
            <w:tcW w:w="28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49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3"/>
        </w:trPr>
        <w:tc>
          <w:tcPr>
            <w:tcW w:w="2160" w:type="dxa"/>
            <w:vAlign w:val="bottom"/>
            <w:vMerge w:val="continue"/>
          </w:tcPr>
          <w:p>
            <w:pPr>
              <w:spacing w:after="0"/>
              <w:rPr>
                <w:sz w:val="15"/>
                <w:szCs w:val="15"/>
                <w:color w:val="auto"/>
              </w:rPr>
            </w:pPr>
          </w:p>
        </w:tc>
        <w:tc>
          <w:tcPr>
            <w:tcW w:w="2880" w:type="dxa"/>
            <w:vAlign w:val="bottom"/>
          </w:tcPr>
          <w:p>
            <w:pPr>
              <w:spacing w:after="0"/>
              <w:rPr>
                <w:sz w:val="15"/>
                <w:szCs w:val="15"/>
                <w:color w:val="auto"/>
              </w:rPr>
            </w:pPr>
          </w:p>
        </w:tc>
        <w:tc>
          <w:tcPr>
            <w:tcW w:w="5140" w:type="dxa"/>
            <w:vAlign w:val="bottom"/>
          </w:tcPr>
          <w:p>
            <w:pPr>
              <w:ind w:left="2280"/>
              <w:spacing w:after="0" w:line="182" w:lineRule="exact"/>
              <w:rPr>
                <w:sz w:val="20"/>
                <w:szCs w:val="20"/>
                <w:color w:val="auto"/>
              </w:rPr>
            </w:pPr>
            <w:r>
              <w:rPr>
                <w:rFonts w:ascii="Arial" w:cs="Arial" w:eastAsia="Arial" w:hAnsi="Arial"/>
                <w:sz w:val="18"/>
                <w:szCs w:val="18"/>
                <w:color w:val="auto"/>
              </w:rPr>
              <w:t>Smaller Reporting Company</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140" w:type="dxa"/>
            <w:vAlign w:val="bottom"/>
          </w:tcPr>
          <w:p>
            <w:pPr>
              <w:ind w:left="49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140" w:type="dxa"/>
            <w:vAlign w:val="bottom"/>
          </w:tcPr>
          <w:p>
            <w:pPr>
              <w:ind w:left="2280"/>
              <w:spacing w:after="0"/>
              <w:rPr>
                <w:sz w:val="20"/>
                <w:szCs w:val="20"/>
                <w:color w:val="auto"/>
              </w:rPr>
            </w:pPr>
            <w:r>
              <w:rPr>
                <w:rFonts w:ascii="Arial" w:cs="Arial" w:eastAsia="Arial" w:hAnsi="Arial"/>
                <w:sz w:val="18"/>
                <w:szCs w:val="18"/>
                <w:color w:val="auto"/>
              </w:rPr>
              <w:t>Emerging Growth Company</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212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by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outstanding of the Registrant’s common stock as of October 10, 2019 was 145,266,386.</w:t>
      </w:r>
    </w:p>
    <w:p>
      <w:pPr>
        <w:sectPr>
          <w:pgSz w:w="11900" w:h="16838" w:orient="portrait"/>
          <w:cols w:equalWidth="0" w:num="1">
            <w:col w:w="11420"/>
          </w:cols>
          <w:pgMar w:left="240" w:top="99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60" w:type="dxa"/>
            <w:vAlign w:val="bottom"/>
            <w:tcBorders>
              <w:bottom w:val="single" w:sz="8" w:color="0000FF"/>
            </w:tcBorders>
            <w:gridSpan w:val="11"/>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7540" w:type="dxa"/>
            <w:vAlign w:val="bottom"/>
            <w:gridSpan w:val="10"/>
          </w:tcPr>
          <w:p>
            <w:pPr>
              <w:spacing w:after="0"/>
              <w:rPr>
                <w:sz w:val="19"/>
                <w:szCs w:val="19"/>
                <w:color w:val="auto"/>
              </w:rPr>
            </w:pPr>
          </w:p>
        </w:tc>
        <w:tc>
          <w:tcPr>
            <w:tcW w:w="580" w:type="dxa"/>
            <w:vAlign w:val="bottom"/>
            <w:gridSpan w:val="3"/>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61"/>
        </w:trPr>
        <w:tc>
          <w:tcPr>
            <w:tcW w:w="520" w:type="dxa"/>
            <w:vAlign w:val="bottom"/>
            <w:vMerge w:val="restart"/>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440" w:type="dxa"/>
            <w:vAlign w:val="bottom"/>
            <w:gridSpan w:val="2"/>
            <w:vMerge w:val="restart"/>
          </w:tcPr>
          <w:p>
            <w:pPr>
              <w:spacing w:after="0"/>
              <w:rPr>
                <w:sz w:val="5"/>
                <w:szCs w:val="5"/>
                <w:color w:val="auto"/>
              </w:rPr>
            </w:pPr>
          </w:p>
        </w:tc>
        <w:tc>
          <w:tcPr>
            <w:tcW w:w="9840" w:type="dxa"/>
            <w:vAlign w:val="bottom"/>
            <w:gridSpan w:val="18"/>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2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9840" w:type="dxa"/>
            <w:vAlign w:val="bottom"/>
            <w:gridSpan w:val="18"/>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340" w:type="dxa"/>
            <w:vAlign w:val="bottom"/>
            <w:tcBorders>
              <w:bottom w:val="single" w:sz="8" w:color="0000FF"/>
            </w:tcBorders>
            <w:gridSpan w:val="15"/>
          </w:tcPr>
          <w:p>
            <w:pPr>
              <w:spacing w:after="0" w:line="196"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Earnings for the three and nine months ended September 30, 2019 and 2018</w:t>
              </w:r>
            </w:hyperlink>
          </w:p>
        </w:tc>
        <w:tc>
          <w:tcPr>
            <w:tcW w:w="900" w:type="dxa"/>
            <w:vAlign w:val="bottom"/>
            <w:vMerge w:val="restart"/>
          </w:tcPr>
          <w:p>
            <w:pPr>
              <w:spacing w:after="0"/>
              <w:rPr>
                <w:sz w:val="18"/>
                <w:szCs w:val="18"/>
                <w:color w:val="auto"/>
              </w:rPr>
            </w:pPr>
          </w:p>
        </w:tc>
        <w:tc>
          <w:tcPr>
            <w:tcW w:w="280" w:type="dxa"/>
            <w:vAlign w:val="bottom"/>
            <w:vMerge w:val="restart"/>
          </w:tcPr>
          <w:p>
            <w:pPr>
              <w:spacing w:after="0"/>
              <w:rPr>
                <w:sz w:val="18"/>
                <w:szCs w:val="18"/>
                <w:color w:val="auto"/>
              </w:rPr>
            </w:pPr>
          </w:p>
        </w:tc>
        <w:tc>
          <w:tcPr>
            <w:tcW w:w="320" w:type="dxa"/>
            <w:vAlign w:val="bottom"/>
            <w:vMerge w:val="restart"/>
          </w:tcPr>
          <w:p>
            <w:pPr>
              <w:spacing w:after="0"/>
              <w:rPr>
                <w:sz w:val="18"/>
                <w:szCs w:val="18"/>
                <w:color w:val="auto"/>
              </w:rPr>
            </w:pPr>
          </w:p>
        </w:tc>
        <w:tc>
          <w:tcPr>
            <w:tcW w:w="340" w:type="dxa"/>
            <w:vAlign w:val="bottom"/>
            <w:gridSpan w:val="2"/>
            <w:vMerge w:val="restart"/>
          </w:tcPr>
          <w:p>
            <w:pPr>
              <w:jc w:val="center"/>
              <w:ind w:left="17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Condensed Consolidated Statements of Comprehensive Earnings for the three and nine months ended September 30, 2019 and 2018</w:t>
              </w:r>
            </w:hyperlink>
          </w:p>
        </w:tc>
        <w:tc>
          <w:tcPr>
            <w:tcW w:w="340" w:type="dxa"/>
            <w:vAlign w:val="bottom"/>
            <w:gridSpan w:val="2"/>
          </w:tcPr>
          <w:p>
            <w:pPr>
              <w:jc w:val="center"/>
              <w:ind w:left="17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52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at September 30, 2019 and December 31, 2018</w:t>
              </w:r>
            </w:hyperlink>
          </w:p>
        </w:tc>
        <w:tc>
          <w:tcPr>
            <w:tcW w:w="320" w:type="dxa"/>
            <w:vAlign w:val="bottom"/>
          </w:tcPr>
          <w:p>
            <w:pPr>
              <w:spacing w:after="0"/>
              <w:rPr>
                <w:sz w:val="21"/>
                <w:szCs w:val="21"/>
                <w:color w:val="auto"/>
              </w:rPr>
            </w:pPr>
          </w:p>
        </w:tc>
        <w:tc>
          <w:tcPr>
            <w:tcW w:w="340" w:type="dxa"/>
            <w:vAlign w:val="bottom"/>
            <w:gridSpan w:val="2"/>
          </w:tcPr>
          <w:p>
            <w:pPr>
              <w:jc w:val="center"/>
              <w:ind w:left="17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40" w:type="dxa"/>
            <w:vAlign w:val="bottom"/>
            <w:gridSpan w:val="16"/>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Stockholders’ Equity for the three and nine months ended September 30, 2019 and 2018</w:t>
              </w:r>
            </w:hyperlink>
          </w:p>
        </w:tc>
        <w:tc>
          <w:tcPr>
            <w:tcW w:w="600" w:type="dxa"/>
            <w:vAlign w:val="bottom"/>
            <w:gridSpan w:val="2"/>
          </w:tcPr>
          <w:p>
            <w:pPr>
              <w:spacing w:after="0"/>
              <w:rPr>
                <w:sz w:val="21"/>
                <w:szCs w:val="21"/>
                <w:color w:val="auto"/>
              </w:rPr>
            </w:pPr>
          </w:p>
        </w:tc>
        <w:tc>
          <w:tcPr>
            <w:tcW w:w="340" w:type="dxa"/>
            <w:vAlign w:val="bottom"/>
            <w:gridSpan w:val="2"/>
          </w:tcPr>
          <w:p>
            <w:pPr>
              <w:jc w:val="center"/>
              <w:ind w:left="17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4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 xml:space="preserve">Condensed Consolidated Statements of Cash Flows for the nine months ended </w:t>
              </w:r>
            </w:hyperlink>
            <w:r>
              <w:rPr>
                <w:rFonts w:ascii="Arial" w:cs="Arial" w:eastAsia="Arial" w:hAnsi="Arial"/>
                <w:sz w:val="18"/>
                <w:szCs w:val="18"/>
                <w:color w:val="0000FF"/>
              </w:rPr>
              <w:t xml:space="preserve">September </w:t>
            </w:r>
            <w:hyperlink w:anchor="page7">
              <w:r>
                <w:rPr>
                  <w:rFonts w:ascii="Arial" w:cs="Arial" w:eastAsia="Arial" w:hAnsi="Arial"/>
                  <w:sz w:val="18"/>
                  <w:szCs w:val="18"/>
                  <w:color w:val="0000FF"/>
                </w:rPr>
                <w:t>30, 2019 and 2018</w:t>
              </w:r>
            </w:hyperlink>
          </w:p>
        </w:tc>
        <w:tc>
          <w:tcPr>
            <w:tcW w:w="600" w:type="dxa"/>
            <w:vAlign w:val="bottom"/>
            <w:gridSpan w:val="2"/>
          </w:tcPr>
          <w:p>
            <w:pPr>
              <w:spacing w:after="0"/>
              <w:rPr>
                <w:sz w:val="21"/>
                <w:szCs w:val="21"/>
                <w:color w:val="auto"/>
              </w:rPr>
            </w:pPr>
          </w:p>
        </w:tc>
        <w:tc>
          <w:tcPr>
            <w:tcW w:w="340" w:type="dxa"/>
            <w:vAlign w:val="bottom"/>
            <w:gridSpan w:val="2"/>
          </w:tcPr>
          <w:p>
            <w:pPr>
              <w:jc w:val="center"/>
              <w:ind w:left="17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0" w:type="dxa"/>
            <w:vAlign w:val="bottom"/>
            <w:gridSpan w:val="10"/>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Notes to Condensed Consolidated Financial Statements</w:t>
              </w:r>
            </w:hyperlink>
          </w:p>
        </w:tc>
        <w:tc>
          <w:tcPr>
            <w:tcW w:w="3840" w:type="dxa"/>
            <w:vAlign w:val="bottom"/>
            <w:gridSpan w:val="4"/>
          </w:tcPr>
          <w:p>
            <w:pPr>
              <w:spacing w:after="0"/>
              <w:rPr>
                <w:sz w:val="21"/>
                <w:szCs w:val="21"/>
                <w:color w:val="auto"/>
              </w:rPr>
            </w:pPr>
          </w:p>
        </w:tc>
        <w:tc>
          <w:tcPr>
            <w:tcW w:w="2000" w:type="dxa"/>
            <w:vAlign w:val="bottom"/>
            <w:gridSpan w:val="4"/>
          </w:tcPr>
          <w:p>
            <w:pPr>
              <w:spacing w:after="0"/>
              <w:rPr>
                <w:sz w:val="21"/>
                <w:szCs w:val="21"/>
                <w:color w:val="auto"/>
              </w:rPr>
            </w:pPr>
          </w:p>
        </w:tc>
        <w:tc>
          <w:tcPr>
            <w:tcW w:w="340" w:type="dxa"/>
            <w:vAlign w:val="bottom"/>
            <w:gridSpan w:val="2"/>
          </w:tcPr>
          <w:p>
            <w:pPr>
              <w:jc w:val="center"/>
              <w:ind w:left="17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Item 2.</w:t>
              </w:r>
            </w:hyperlink>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 Operations</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0000FF"/>
                <w:w w:val="90"/>
              </w:rPr>
              <w:t>Item 3.</w:t>
            </w:r>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Quantitative and Qualitative Disclosures About Market Risk</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2"/>
            <w:shd w:val="clear" w:color="auto" w:fill="0000FF"/>
          </w:tcPr>
          <w:p>
            <w:pPr>
              <w:spacing w:after="0" w:line="20" w:lineRule="exact"/>
              <w:rPr>
                <w:sz w:val="1"/>
                <w:szCs w:val="1"/>
                <w:color w:val="auto"/>
              </w:rPr>
            </w:pPr>
          </w:p>
        </w:tc>
        <w:tc>
          <w:tcPr>
            <w:tcW w:w="5480" w:type="dxa"/>
            <w:vAlign w:val="bottom"/>
            <w:tcBorders>
              <w:left w:val="single" w:sz="8" w:color="0000FF"/>
            </w:tcBorders>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4.</w:t>
              </w:r>
            </w:hyperlink>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960" w:type="dxa"/>
            <w:vAlign w:val="bottom"/>
            <w:tcBorders>
              <w:bottom w:val="single" w:sz="8" w:color="0000FF"/>
            </w:tcBorders>
            <w:gridSpan w:val="10"/>
          </w:tcPr>
          <w:p>
            <w:pPr>
              <w:spacing w:after="0"/>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PART II — OTHER INFORMATION</w:t>
              </w:r>
            </w:hyperlink>
          </w:p>
        </w:tc>
        <w:tc>
          <w:tcPr>
            <w:tcW w:w="7840" w:type="dxa"/>
            <w:vAlign w:val="bottom"/>
            <w:gridSpan w:val="11"/>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1.</w:t>
              </w:r>
            </w:hyperlink>
          </w:p>
        </w:tc>
        <w:tc>
          <w:tcPr>
            <w:tcW w:w="440" w:type="dxa"/>
            <w:vAlign w:val="bottom"/>
            <w:gridSpan w:val="2"/>
          </w:tcPr>
          <w:p>
            <w:pPr>
              <w:spacing w:after="0"/>
              <w:rPr>
                <w:sz w:val="21"/>
                <w:szCs w:val="21"/>
                <w:color w:val="auto"/>
              </w:rPr>
            </w:pPr>
          </w:p>
        </w:tc>
        <w:tc>
          <w:tcPr>
            <w:tcW w:w="9840" w:type="dxa"/>
            <w:vAlign w:val="bottom"/>
            <w:gridSpan w:val="1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Legal Proceedings</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gridSpan w:val="3"/>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1A.</w:t>
              </w:r>
            </w:hyperlink>
          </w:p>
        </w:tc>
        <w:tc>
          <w:tcPr>
            <w:tcW w:w="9840" w:type="dxa"/>
            <w:vAlign w:val="bottom"/>
            <w:gridSpan w:val="1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Risk Factors</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2.</w:t>
              </w:r>
            </w:hyperlink>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Unregistered Sales of Equity Securities and Use of Proceeds</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40" w:type="dxa"/>
            <w:vAlign w:val="bottom"/>
            <w:tcBorders>
              <w:left w:val="single" w:sz="8" w:color="0000FF"/>
            </w:tcBorders>
            <w:gridSpan w:val="2"/>
            <w:shd w:val="clear" w:color="auto" w:fill="0000FF"/>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3.</w:t>
              </w:r>
            </w:hyperlink>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Defaults Upon Senior Securities</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520" w:type="dxa"/>
            <w:vAlign w:val="bottom"/>
            <w:gridSpan w:val="9"/>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4.</w:t>
              </w:r>
            </w:hyperlink>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Mine Safety Disclosures</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60" w:type="dxa"/>
            <w:vAlign w:val="bottom"/>
            <w:gridSpan w:val="1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5.</w:t>
              </w:r>
            </w:hyperlink>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Other Information</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520" w:type="dxa"/>
            <w:vAlign w:val="bottom"/>
            <w:gridSpan w:val="13"/>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6.</w:t>
              </w:r>
            </w:hyperlink>
          </w:p>
        </w:tc>
        <w:tc>
          <w:tcPr>
            <w:tcW w:w="440" w:type="dxa"/>
            <w:vAlign w:val="bottom"/>
            <w:gridSpan w:val="2"/>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Exhibits</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40" w:type="dxa"/>
            <w:vAlign w:val="bottom"/>
            <w:gridSpan w:val="1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0" w:type="dxa"/>
            <w:vAlign w:val="bottom"/>
            <w:gridSpan w:val="21"/>
          </w:tcPr>
          <w:p>
            <w:pPr>
              <w:spacing w:after="0"/>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SIGNATURES</w:t>
              </w:r>
            </w:hyperlink>
          </w:p>
        </w:tc>
        <w:tc>
          <w:tcPr>
            <w:tcW w:w="580" w:type="dxa"/>
            <w:vAlign w:val="bottom"/>
            <w:gridSpan w:val="3"/>
          </w:tcPr>
          <w:p>
            <w:pPr>
              <w:jc w:val="cente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47</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60" w:top="1094"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10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September 30,</w:t>
            </w:r>
          </w:p>
        </w:tc>
        <w:tc>
          <w:tcPr>
            <w:tcW w:w="300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5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1,825,345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1,747,403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5,360,808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5,183,168</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Cost of goods and services</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1,151,857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1,100,883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3,391,185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3,268,583</w:t>
            </w:r>
          </w:p>
        </w:tc>
      </w:tr>
      <w:tr>
        <w:trPr>
          <w:trHeight w:val="27"/>
        </w:trPr>
        <w:tc>
          <w:tcPr>
            <w:tcW w:w="5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673,488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646,520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1,969,623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1,914,585</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390,775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426,445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1,195,875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1,290,246</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assets held for sale</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46,946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Operating earnings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282,713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220,075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726,802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624,339</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31,410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94,972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98,957</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(6,680)</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(6,641)</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Earnings before provision for income taxes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257,930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193,016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645,987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538,703</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51,924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35,711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136,191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105,533</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Earnings from continuing operations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206,006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157,305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509,796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433,170</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(4,472)</w:t>
            </w:r>
          </w:p>
        </w:tc>
      </w:tr>
      <w:tr>
        <w:trPr>
          <w:trHeight w:val="264"/>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Net earnings</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206,006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157,305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509,796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428,698</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5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Earnings per share from continuing operations: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2.87</w:t>
            </w:r>
          </w:p>
        </w:tc>
      </w:tr>
      <w:tr>
        <w:trPr>
          <w:trHeight w:val="243"/>
        </w:trPr>
        <w:tc>
          <w:tcPr>
            <w:tcW w:w="530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2.82</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per share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(0.03)</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Net earnings per share:</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2.84</w:t>
            </w:r>
          </w:p>
        </w:tc>
      </w:tr>
      <w:tr>
        <w:trPr>
          <w:trHeight w:val="243"/>
        </w:trPr>
        <w:tc>
          <w:tcPr>
            <w:tcW w:w="530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2.79</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145,372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147,344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145,276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151,177</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147,051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149,457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147,053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153,429</w:t>
            </w:r>
          </w:p>
        </w:tc>
      </w:tr>
      <w:tr>
        <w:trPr>
          <w:trHeight w:val="27"/>
        </w:trPr>
        <w:tc>
          <w:tcPr>
            <w:tcW w:w="5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660" w:type="dxa"/>
            <w:vAlign w:val="bottom"/>
            <w:gridSpan w:val="4"/>
          </w:tcPr>
          <w:p>
            <w:pPr>
              <w:ind w:left="40"/>
              <w:spacing w:after="0"/>
              <w:rPr>
                <w:sz w:val="20"/>
                <w:szCs w:val="20"/>
                <w:color w:val="auto"/>
              </w:rPr>
            </w:pPr>
            <w:r>
              <w:rPr>
                <w:rFonts w:ascii="Arial" w:cs="Arial" w:eastAsia="Arial" w:hAnsi="Arial"/>
                <w:sz w:val="18"/>
                <w:szCs w:val="18"/>
                <w:b w:val="1"/>
                <w:bCs w:val="1"/>
                <w:color w:val="auto"/>
              </w:rPr>
              <w:t>(Unaudited)</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95"/>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4"/>
                <w:szCs w:val="24"/>
                <w:color w:val="auto"/>
              </w:rPr>
            </w:pPr>
          </w:p>
        </w:tc>
        <w:tc>
          <w:tcPr>
            <w:tcW w:w="28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206,006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157,305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509,796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428,698</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 earnings, net of tax</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440"/>
              <w:spacing w:after="0"/>
              <w:rPr>
                <w:sz w:val="20"/>
                <w:szCs w:val="20"/>
                <w:color w:val="auto"/>
              </w:rPr>
            </w:pPr>
            <w:r>
              <w:rPr>
                <w:rFonts w:ascii="Arial" w:cs="Arial" w:eastAsia="Arial" w:hAnsi="Arial"/>
                <w:sz w:val="18"/>
                <w:szCs w:val="18"/>
                <w:color w:val="auto"/>
              </w:rPr>
              <w:t>Foreign currency translation losses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(50,865)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(41,143)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(26,418)</w:t>
            </w: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1"/>
              </w:rPr>
              <w:t>Reclassification of foreign currency translation losses to earnings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25,339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Total foreign currency translation adjustments</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(50,865)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(15,804)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(26,418)</w:t>
            </w:r>
          </w:p>
        </w:tc>
      </w:tr>
      <w:tr>
        <w:trPr>
          <w:trHeight w:val="27"/>
        </w:trPr>
        <w:tc>
          <w:tcPr>
            <w:tcW w:w="5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benefit plans:</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9"/>
        </w:trPr>
        <w:tc>
          <w:tcPr>
            <w:tcW w:w="5200" w:type="dxa"/>
            <w:vAlign w:val="bottom"/>
          </w:tcPr>
          <w:p>
            <w:pPr>
              <w:ind w:left="440"/>
              <w:spacing w:after="0"/>
              <w:rPr>
                <w:sz w:val="20"/>
                <w:szCs w:val="20"/>
                <w:color w:val="auto"/>
              </w:rPr>
            </w:pPr>
            <w:r>
              <w:rPr>
                <w:rFonts w:ascii="Arial" w:cs="Arial" w:eastAsia="Arial" w:hAnsi="Arial"/>
                <w:sz w:val="18"/>
                <w:szCs w:val="18"/>
                <w:color w:val="auto"/>
                <w:w w:val="93"/>
              </w:rPr>
              <w:t>Amortization of actuarial losses included in net periodic pension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00" w:type="dxa"/>
            <w:vAlign w:val="bottom"/>
          </w:tcPr>
          <w:p>
            <w:pPr>
              <w:ind w:left="44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3,409</w:t>
            </w: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prior service costs included in net periodic</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pension cost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2,699</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Total pension and other post-retirement benefit plans</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6,108</w:t>
            </w:r>
          </w:p>
        </w:tc>
      </w:tr>
      <w:tr>
        <w:trPr>
          <w:trHeight w:val="27"/>
        </w:trPr>
        <w:tc>
          <w:tcPr>
            <w:tcW w:w="5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fair value of cash flow hedges:</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200" w:type="dxa"/>
            <w:vAlign w:val="bottom"/>
          </w:tcPr>
          <w:p>
            <w:pPr>
              <w:ind w:left="440"/>
              <w:spacing w:after="0"/>
              <w:rPr>
                <w:sz w:val="20"/>
                <w:szCs w:val="20"/>
                <w:color w:val="auto"/>
              </w:rPr>
            </w:pPr>
            <w:r>
              <w:rPr>
                <w:rFonts w:ascii="Arial" w:cs="Arial" w:eastAsia="Arial" w:hAnsi="Arial"/>
                <w:sz w:val="18"/>
                <w:szCs w:val="18"/>
                <w:color w:val="auto"/>
              </w:rPr>
              <w:t>Unrealized net gains (losses) arising during period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2,019</w:t>
            </w: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losses (gains) reclassified into earnings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Total cash flow hedges</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1,672</w:t>
            </w:r>
          </w:p>
        </w:tc>
      </w:tr>
      <w:tr>
        <w:trPr>
          <w:trHeight w:val="27"/>
        </w:trPr>
        <w:tc>
          <w:tcPr>
            <w:tcW w:w="5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(49,077)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(18,638)</w:t>
            </w:r>
          </w:p>
        </w:tc>
      </w:tr>
      <w:tr>
        <w:trPr>
          <w:trHeight w:val="264"/>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Comprehensive earnings</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156,929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143,759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495,702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410,060</w:t>
            </w:r>
          </w:p>
        </w:tc>
      </w:tr>
      <w:tr>
        <w:trPr>
          <w:trHeight w:val="21"/>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2019</w:t>
            </w:r>
          </w:p>
        </w:tc>
        <w:tc>
          <w:tcPr>
            <w:tcW w:w="18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540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340,532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396,221</w:t>
            </w:r>
          </w:p>
        </w:tc>
      </w:tr>
      <w:tr>
        <w:trPr>
          <w:trHeight w:val="243"/>
        </w:trPr>
        <w:tc>
          <w:tcPr>
            <w:tcW w:w="7280" w:type="dxa"/>
            <w:vAlign w:val="bottom"/>
          </w:tcPr>
          <w:p>
            <w:pPr>
              <w:ind w:left="440"/>
              <w:spacing w:after="0"/>
              <w:rPr>
                <w:sz w:val="20"/>
                <w:szCs w:val="20"/>
                <w:color w:val="auto"/>
              </w:rPr>
            </w:pPr>
            <w:r>
              <w:rPr>
                <w:rFonts w:ascii="Arial" w:cs="Arial" w:eastAsia="Arial" w:hAnsi="Arial"/>
                <w:sz w:val="18"/>
                <w:szCs w:val="18"/>
                <w:color w:val="auto"/>
              </w:rPr>
              <w:t>Receivables, net of allowances of $32,340 and $28,469</w:t>
            </w:r>
          </w:p>
        </w:tc>
        <w:tc>
          <w:tcPr>
            <w:tcW w:w="18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1,269,150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1,231,859</w:t>
            </w:r>
          </w:p>
        </w:tc>
      </w:tr>
      <w:tr>
        <w:trPr>
          <w:trHeight w:val="27"/>
        </w:trPr>
        <w:tc>
          <w:tcPr>
            <w:tcW w:w="7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816,563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748,796</w:t>
            </w:r>
          </w:p>
        </w:tc>
      </w:tr>
      <w:tr>
        <w:trPr>
          <w:trHeight w:val="243"/>
        </w:trPr>
        <w:tc>
          <w:tcPr>
            <w:tcW w:w="7280" w:type="dxa"/>
            <w:vAlign w:val="bottom"/>
          </w:tcPr>
          <w:p>
            <w:pPr>
              <w:ind w:left="44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159,747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126,878</w:t>
            </w:r>
          </w:p>
        </w:tc>
      </w:tr>
      <w:tr>
        <w:trPr>
          <w:trHeight w:val="27"/>
        </w:trPr>
        <w:tc>
          <w:tcPr>
            <w:tcW w:w="7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72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2,585,992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2,503,754</w:t>
            </w: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1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820,582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806,497</w:t>
            </w:r>
          </w:p>
        </w:tc>
      </w:tr>
      <w:tr>
        <w:trPr>
          <w:trHeight w:val="27"/>
        </w:trPr>
        <w:tc>
          <w:tcPr>
            <w:tcW w:w="7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3,760,428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3,677,328</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18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1,080,130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1,134,256</w:t>
            </w:r>
          </w:p>
        </w:tc>
      </w:tr>
      <w:tr>
        <w:trPr>
          <w:trHeight w:val="27"/>
        </w:trPr>
        <w:tc>
          <w:tcPr>
            <w:tcW w:w="7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 and deferred charges</w:t>
            </w: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422,169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243,936</w:t>
            </w:r>
          </w:p>
        </w:tc>
      </w:tr>
      <w:tr>
        <w:trPr>
          <w:trHeight w:val="264"/>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8,669,301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8,365,771</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83"/>
        </w:trPr>
        <w:tc>
          <w:tcPr>
            <w:tcW w:w="7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243"/>
        </w:trPr>
        <w:tc>
          <w:tcPr>
            <w:tcW w:w="7280" w:type="dxa"/>
            <w:vAlign w:val="bottom"/>
          </w:tcPr>
          <w:p>
            <w:pPr>
              <w:ind w:left="4320"/>
              <w:spacing w:after="0"/>
              <w:rPr>
                <w:sz w:val="20"/>
                <w:szCs w:val="20"/>
                <w:color w:val="auto"/>
              </w:rPr>
            </w:pPr>
            <w:r>
              <w:rPr>
                <w:rFonts w:ascii="Arial" w:cs="Arial" w:eastAsia="Arial" w:hAnsi="Arial"/>
                <w:sz w:val="18"/>
                <w:szCs w:val="18"/>
                <w:b w:val="1"/>
                <w:bCs w:val="1"/>
                <w:color w:val="auto"/>
                <w:w w:val="96"/>
              </w:rPr>
              <w:t>Liabilities and Stockholders' Equity</w:t>
            </w: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440"/>
              <w:spacing w:after="0"/>
              <w:rPr>
                <w:sz w:val="20"/>
                <w:szCs w:val="20"/>
                <w:color w:val="auto"/>
              </w:rPr>
            </w:pPr>
            <w:r>
              <w:rPr>
                <w:rFonts w:ascii="Arial" w:cs="Arial" w:eastAsia="Arial" w:hAnsi="Arial"/>
                <w:sz w:val="18"/>
                <w:szCs w:val="18"/>
                <w:color w:val="auto"/>
              </w:rPr>
              <w:t>Notes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182,700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220,318</w:t>
            </w:r>
          </w:p>
        </w:tc>
      </w:tr>
      <w:tr>
        <w:trPr>
          <w:trHeight w:val="27"/>
        </w:trPr>
        <w:tc>
          <w:tcPr>
            <w:tcW w:w="7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952,708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969,531</w:t>
            </w:r>
          </w:p>
        </w:tc>
      </w:tr>
      <w:tr>
        <w:trPr>
          <w:trHeight w:val="243"/>
        </w:trPr>
        <w:tc>
          <w:tcPr>
            <w:tcW w:w="7280" w:type="dxa"/>
            <w:vAlign w:val="bottom"/>
          </w:tcPr>
          <w:p>
            <w:pPr>
              <w:ind w:left="440"/>
              <w:spacing w:after="0"/>
              <w:rPr>
                <w:sz w:val="20"/>
                <w:szCs w:val="20"/>
                <w:color w:val="auto"/>
              </w:rPr>
            </w:pPr>
            <w:r>
              <w:rPr>
                <w:rFonts w:ascii="Arial" w:cs="Arial" w:eastAsia="Arial" w:hAnsi="Arial"/>
                <w:sz w:val="18"/>
                <w:szCs w:val="18"/>
                <w:color w:val="auto"/>
              </w:rPr>
              <w:t>Accrued compensation and employee benefits</w:t>
            </w:r>
          </w:p>
        </w:tc>
        <w:tc>
          <w:tcPr>
            <w:tcW w:w="18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225,515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212,666</w:t>
            </w:r>
          </w:p>
        </w:tc>
      </w:tr>
      <w:tr>
        <w:trPr>
          <w:trHeight w:val="27"/>
        </w:trPr>
        <w:tc>
          <w:tcPr>
            <w:tcW w:w="7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Accrued insurance</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101,677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97,600</w:t>
            </w:r>
          </w:p>
        </w:tc>
      </w:tr>
      <w:tr>
        <w:trPr>
          <w:trHeight w:val="243"/>
        </w:trPr>
        <w:tc>
          <w:tcPr>
            <w:tcW w:w="7280" w:type="dxa"/>
            <w:vAlign w:val="bottom"/>
          </w:tcPr>
          <w:p>
            <w:pPr>
              <w:ind w:left="440"/>
              <w:spacing w:after="0"/>
              <w:rPr>
                <w:sz w:val="20"/>
                <w:szCs w:val="20"/>
                <w:color w:val="auto"/>
              </w:rPr>
            </w:pPr>
            <w:r>
              <w:rPr>
                <w:rFonts w:ascii="Arial" w:cs="Arial" w:eastAsia="Arial" w:hAnsi="Arial"/>
                <w:sz w:val="18"/>
                <w:szCs w:val="18"/>
                <w:color w:val="auto"/>
              </w:rPr>
              <w:t>Other accrued expenses</w:t>
            </w:r>
          </w:p>
        </w:tc>
        <w:tc>
          <w:tcPr>
            <w:tcW w:w="18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338,529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313,452</w:t>
            </w:r>
          </w:p>
        </w:tc>
      </w:tr>
      <w:tr>
        <w:trPr>
          <w:trHeight w:val="27"/>
        </w:trPr>
        <w:tc>
          <w:tcPr>
            <w:tcW w:w="7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Federal and other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24,173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13,854</w:t>
            </w:r>
          </w:p>
        </w:tc>
      </w:tr>
      <w:tr>
        <w:trPr>
          <w:trHeight w:val="237"/>
        </w:trPr>
        <w:tc>
          <w:tcPr>
            <w:tcW w:w="7280" w:type="dxa"/>
            <w:vAlign w:val="bottom"/>
          </w:tcPr>
          <w:p>
            <w:pPr>
              <w:ind w:left="7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1,825,302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1,827,421</w:t>
            </w:r>
          </w:p>
        </w:tc>
      </w:tr>
      <w:tr>
        <w:trPr>
          <w:trHeight w:val="27"/>
        </w:trPr>
        <w:tc>
          <w:tcPr>
            <w:tcW w:w="7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2,908,729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2,943,660</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18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333,886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339,325</w:t>
            </w:r>
          </w:p>
        </w:tc>
      </w:tr>
      <w:tr>
        <w:trPr>
          <w:trHeight w:val="27"/>
        </w:trPr>
        <w:tc>
          <w:tcPr>
            <w:tcW w:w="7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income tax payable</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54,304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54,304</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8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529,438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432,395</w:t>
            </w:r>
          </w:p>
        </w:tc>
      </w:tr>
      <w:tr>
        <w:trPr>
          <w:trHeight w:val="27"/>
        </w:trPr>
        <w:tc>
          <w:tcPr>
            <w:tcW w:w="7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76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3,017,643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2,768,666</w:t>
            </w:r>
          </w:p>
        </w:tc>
      </w:tr>
      <w:tr>
        <w:trPr>
          <w:trHeight w:val="27"/>
        </w:trPr>
        <w:tc>
          <w:tcPr>
            <w:tcW w:w="7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8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8,669,301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8,365,771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Arial" w:cs="Arial" w:eastAsia="Arial" w:hAnsi="Arial"/>
                <w:sz w:val="16"/>
                <w:szCs w:val="16"/>
                <w:b w:val="1"/>
                <w:bCs w:val="1"/>
                <w:color w:val="auto"/>
                <w:w w:val="95"/>
              </w:rPr>
              <w:t>Accumulated other</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Common stock</w:t>
            </w:r>
          </w:p>
        </w:tc>
        <w:tc>
          <w:tcPr>
            <w:tcW w:w="2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Arial" w:cs="Arial" w:eastAsia="Arial" w:hAnsi="Arial"/>
                <w:sz w:val="16"/>
                <w:szCs w:val="16"/>
                <w:b w:val="1"/>
                <w:bCs w:val="1"/>
                <w:color w:val="auto"/>
                <w:w w:val="94"/>
              </w:rPr>
              <w:t>Additional paid-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Retained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3"/>
              </w:rPr>
              <w:t>comprehensive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stockholders'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$1 par value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in capital</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ind w:left="80"/>
              <w:spacing w:after="0"/>
              <w:rPr>
                <w:sz w:val="20"/>
                <w:szCs w:val="20"/>
                <w:color w:val="auto"/>
              </w:rPr>
            </w:pPr>
            <w:r>
              <w:rPr>
                <w:rFonts w:ascii="Arial" w:cs="Arial" w:eastAsia="Arial" w:hAnsi="Arial"/>
                <w:sz w:val="16"/>
                <w:szCs w:val="16"/>
                <w:b w:val="1"/>
                <w:bCs w:val="1"/>
                <w:color w:val="auto"/>
                <w:w w:val="96"/>
              </w:rPr>
              <w:t>Treasury stock</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earnings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4"/>
              </w:rPr>
              <w:t>(loss) earnings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258,315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873,034</w:t>
            </w: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(5,947,562)</w:t>
            </w: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7,979,597</w:t>
            </w: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(208,113)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2,955,271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206,006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206,006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paid ($0.49 per share)</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(71,342)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(71,342)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240" w:type="dxa"/>
            <w:vAlign w:val="bottom"/>
          </w:tcPr>
          <w:p>
            <w:pPr>
              <w:ind w:left="20"/>
              <w:spacing w:after="0"/>
              <w:rPr>
                <w:sz w:val="20"/>
                <w:szCs w:val="20"/>
                <w:color w:val="auto"/>
              </w:rPr>
            </w:pPr>
            <w:r>
              <w:rPr>
                <w:rFonts w:ascii="Arial" w:cs="Arial" w:eastAsia="Arial" w:hAnsi="Arial"/>
                <w:sz w:val="16"/>
                <w:szCs w:val="16"/>
                <w:color w:val="auto"/>
                <w:w w:val="94"/>
              </w:rPr>
              <w:t>Common stock issued for the exercise of share-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40" w:type="dxa"/>
            <w:vAlign w:val="bottom"/>
          </w:tcPr>
          <w:p>
            <w:pPr>
              <w:ind w:left="20"/>
              <w:spacing w:after="0"/>
              <w:rPr>
                <w:sz w:val="20"/>
                <w:szCs w:val="20"/>
                <w:color w:val="auto"/>
              </w:rPr>
            </w:pPr>
            <w:r>
              <w:rPr>
                <w:rFonts w:ascii="Arial" w:cs="Arial" w:eastAsia="Arial" w:hAnsi="Arial"/>
                <w:sz w:val="16"/>
                <w:szCs w:val="16"/>
                <w:color w:val="auto"/>
              </w:rPr>
              <w:t>based awards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6"/>
                <w:szCs w:val="16"/>
                <w:color w:val="auto"/>
              </w:rPr>
              <w:t>Common stock acquired</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(23,280)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(23,280)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(49,077)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2019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258,426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872,989</w:t>
            </w:r>
          </w:p>
        </w:tc>
        <w:tc>
          <w:tcPr>
            <w:tcW w:w="2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(5,970,842)</w:t>
            </w:r>
          </w:p>
        </w:tc>
        <w:tc>
          <w:tcPr>
            <w:tcW w:w="4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8,114,260</w:t>
            </w:r>
          </w:p>
        </w:tc>
        <w:tc>
          <w:tcPr>
            <w:tcW w:w="60" w:type="dxa"/>
            <w:vAlign w:val="bottom"/>
            <w:shd w:val="clear" w:color="auto" w:fill="CCEEFF"/>
          </w:tcPr>
          <w:p>
            <w:pPr>
              <w:spacing w:after="0"/>
              <w:rPr>
                <w:sz w:val="23"/>
                <w:szCs w:val="23"/>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(257,190)</w:t>
            </w:r>
          </w:p>
        </w:tc>
        <w:tc>
          <w:tcPr>
            <w:tcW w:w="80" w:type="dxa"/>
            <w:vAlign w:val="bottom"/>
            <w:shd w:val="clear" w:color="auto" w:fill="CCEEFF"/>
          </w:tcPr>
          <w:p>
            <w:pPr>
              <w:spacing w:after="0"/>
              <w:rPr>
                <w:sz w:val="23"/>
                <w:szCs w:val="23"/>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3,017,643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4"/>
          </w:tcPr>
          <w:p>
            <w:pPr>
              <w:ind w:left="80"/>
              <w:spacing w:after="0"/>
              <w:rPr>
                <w:sz w:val="20"/>
                <w:szCs w:val="20"/>
                <w:color w:val="auto"/>
              </w:rPr>
            </w:pPr>
            <w:r>
              <w:rPr>
                <w:rFonts w:ascii="Arial" w:cs="Arial" w:eastAsia="Arial" w:hAnsi="Arial"/>
                <w:sz w:val="16"/>
                <w:szCs w:val="16"/>
                <w:b w:val="1"/>
                <w:bCs w:val="1"/>
                <w:color w:val="auto"/>
                <w:w w:val="99"/>
              </w:rPr>
              <w:t>Accumulated other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9"/>
              </w:rPr>
              <w:t>Common stock</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Additional</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comprehensive</w:t>
            </w:r>
          </w:p>
        </w:tc>
        <w:tc>
          <w:tcPr>
            <w:tcW w:w="40" w:type="dxa"/>
            <w:vAlign w:val="bottom"/>
          </w:tcPr>
          <w:p>
            <w:pPr>
              <w:spacing w:after="0"/>
              <w:rPr>
                <w:sz w:val="17"/>
                <w:szCs w:val="17"/>
                <w:color w:val="auto"/>
              </w:rPr>
            </w:pPr>
          </w:p>
        </w:tc>
        <w:tc>
          <w:tcPr>
            <w:tcW w:w="13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Total stockholders'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$1 par value</w:t>
            </w:r>
          </w:p>
        </w:tc>
        <w:tc>
          <w:tcPr>
            <w:tcW w:w="20" w:type="dxa"/>
            <w:vAlign w:val="bottom"/>
          </w:tcPr>
          <w:p>
            <w:pPr>
              <w:spacing w:after="0"/>
              <w:rPr>
                <w:sz w:val="18"/>
                <w:szCs w:val="18"/>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2"/>
              </w:rPr>
              <w:t>paid-in capital</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Treasury stock</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(loss) earnings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equity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2018</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257,394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787,132</w:t>
            </w: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(5,682,016)</w:t>
            </w: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7,657,860</w:t>
            </w: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(179,779)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2,840,591</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24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7"/>
              <w:spacing w:after="0"/>
              <w:rPr>
                <w:sz w:val="20"/>
                <w:szCs w:val="20"/>
                <w:color w:val="auto"/>
              </w:rPr>
            </w:pPr>
            <w:r>
              <w:rPr>
                <w:rFonts w:ascii="Arial" w:cs="Arial" w:eastAsia="Arial" w:hAnsi="Arial"/>
                <w:sz w:val="16"/>
                <w:szCs w:val="16"/>
                <w:color w:val="auto"/>
              </w:rPr>
              <w:t>157,305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157,305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paid ($0.48 per share)</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(70,804)</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(70,804)</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40" w:type="dxa"/>
            <w:vAlign w:val="bottom"/>
          </w:tcPr>
          <w:p>
            <w:pPr>
              <w:ind w:left="20"/>
              <w:spacing w:after="0"/>
              <w:rPr>
                <w:sz w:val="20"/>
                <w:szCs w:val="20"/>
                <w:color w:val="auto"/>
              </w:rPr>
            </w:pPr>
            <w:r>
              <w:rPr>
                <w:rFonts w:ascii="Arial" w:cs="Arial" w:eastAsia="Arial" w:hAnsi="Arial"/>
                <w:sz w:val="16"/>
                <w:szCs w:val="16"/>
                <w:color w:val="auto"/>
                <w:w w:val="94"/>
              </w:rPr>
              <w:t>Common stock issued for the exercise of share-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40" w:type="dxa"/>
            <w:vAlign w:val="bottom"/>
          </w:tcPr>
          <w:p>
            <w:pPr>
              <w:ind w:left="20"/>
              <w:spacing w:after="0"/>
              <w:rPr>
                <w:sz w:val="20"/>
                <w:szCs w:val="20"/>
                <w:color w:val="auto"/>
              </w:rPr>
            </w:pPr>
            <w:r>
              <w:rPr>
                <w:rFonts w:ascii="Arial" w:cs="Arial" w:eastAsia="Arial" w:hAnsi="Arial"/>
                <w:sz w:val="16"/>
                <w:szCs w:val="16"/>
                <w:color w:val="auto"/>
              </w:rPr>
              <w:t>based awards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(23,622)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(23,241)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5,443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5,443</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240" w:type="dxa"/>
            <w:vAlign w:val="bottom"/>
          </w:tcPr>
          <w:p>
            <w:pPr>
              <w:ind w:left="20"/>
              <w:spacing w:after="0"/>
              <w:rPr>
                <w:sz w:val="20"/>
                <w:szCs w:val="20"/>
                <w:color w:val="auto"/>
              </w:rPr>
            </w:pPr>
            <w:r>
              <w:rPr>
                <w:rFonts w:ascii="Arial" w:cs="Arial" w:eastAsia="Arial" w:hAnsi="Arial"/>
                <w:sz w:val="16"/>
                <w:szCs w:val="16"/>
                <w:color w:val="auto"/>
              </w:rPr>
              <w:t>Common stock acquired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6"/>
                <w:szCs w:val="16"/>
                <w:color w:val="auto"/>
              </w:rPr>
              <w:t>(147,794)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(147,794)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(13,546)</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(13,546)</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24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2018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257,775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768,933</w:t>
            </w:r>
          </w:p>
        </w:tc>
        <w:tc>
          <w:tcPr>
            <w:tcW w:w="2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6"/>
                <w:szCs w:val="16"/>
                <w:color w:val="auto"/>
              </w:rPr>
              <w:t>(5,829,810)</w:t>
            </w:r>
          </w:p>
        </w:tc>
        <w:tc>
          <w:tcPr>
            <w:tcW w:w="4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6"/>
                <w:szCs w:val="16"/>
                <w:color w:val="auto"/>
              </w:rPr>
              <w:t>7,744,361</w:t>
            </w:r>
          </w:p>
        </w:tc>
        <w:tc>
          <w:tcPr>
            <w:tcW w:w="60" w:type="dxa"/>
            <w:vAlign w:val="bottom"/>
            <w:shd w:val="clear" w:color="auto" w:fill="CCEEFF"/>
          </w:tcPr>
          <w:p>
            <w:pPr>
              <w:spacing w:after="0"/>
              <w:rPr>
                <w:sz w:val="23"/>
                <w:szCs w:val="23"/>
                <w:color w:val="auto"/>
              </w:rPr>
            </w:pPr>
          </w:p>
        </w:tc>
        <w:tc>
          <w:tcPr>
            <w:tcW w:w="2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(193,325)</w:t>
            </w:r>
          </w:p>
        </w:tc>
        <w:tc>
          <w:tcPr>
            <w:tcW w:w="80" w:type="dxa"/>
            <w:vAlign w:val="bottom"/>
            <w:shd w:val="clear" w:color="auto" w:fill="CCEEFF"/>
          </w:tcPr>
          <w:p>
            <w:pPr>
              <w:spacing w:after="0"/>
              <w:rPr>
                <w:sz w:val="23"/>
                <w:szCs w:val="23"/>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2,747,934</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25" w:right="259" w:bottom="8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125" w:right="259" w:bottom="857"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 other</w:t>
            </w:r>
          </w:p>
        </w:tc>
        <w:tc>
          <w:tcPr>
            <w:tcW w:w="16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24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b w:val="1"/>
                <w:bCs w:val="1"/>
                <w:color w:val="auto"/>
              </w:rPr>
              <w:t>Common stock</w:t>
            </w: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Additional paid-</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comprehensive</w:t>
            </w:r>
          </w:p>
        </w:tc>
        <w:tc>
          <w:tcPr>
            <w:tcW w:w="16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stockholders'</w:t>
            </w:r>
          </w:p>
        </w:tc>
      </w:tr>
      <w:tr>
        <w:trPr>
          <w:trHeight w:val="210"/>
        </w:trPr>
        <w:tc>
          <w:tcPr>
            <w:tcW w:w="3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1 par value</w:t>
            </w:r>
          </w:p>
        </w:tc>
        <w:tc>
          <w:tcPr>
            <w:tcW w:w="2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in capital</w:t>
            </w:r>
          </w:p>
        </w:tc>
        <w:tc>
          <w:tcPr>
            <w:tcW w:w="1300" w:type="dxa"/>
            <w:vAlign w:val="bottom"/>
            <w:gridSpan w:val="3"/>
          </w:tcPr>
          <w:p>
            <w:pPr>
              <w:ind w:left="80"/>
              <w:spacing w:after="0"/>
              <w:rPr>
                <w:sz w:val="20"/>
                <w:szCs w:val="20"/>
                <w:color w:val="auto"/>
              </w:rPr>
            </w:pPr>
            <w:r>
              <w:rPr>
                <w:rFonts w:ascii="Arial" w:cs="Arial" w:eastAsia="Arial" w:hAnsi="Arial"/>
                <w:sz w:val="16"/>
                <w:szCs w:val="16"/>
                <w:b w:val="1"/>
                <w:bCs w:val="1"/>
                <w:color w:val="auto"/>
              </w:rPr>
              <w:t>Treasury stock</w:t>
            </w: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(loss) earnings</w:t>
            </w:r>
          </w:p>
        </w:tc>
        <w:tc>
          <w:tcPr>
            <w:tcW w:w="16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3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257,822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886,016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(5,947,562)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7,815,486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(243,096)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2,768,666</w:t>
            </w:r>
          </w:p>
        </w:tc>
      </w:tr>
      <w:tr>
        <w:trPr>
          <w:trHeight w:val="224"/>
        </w:trPr>
        <w:tc>
          <w:tcPr>
            <w:tcW w:w="324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509,796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509,796</w:t>
            </w:r>
          </w:p>
        </w:tc>
      </w:tr>
      <w:tr>
        <w:trPr>
          <w:trHeight w:val="33"/>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paid ($1.45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(211,072)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(211,072)</w:t>
            </w:r>
          </w:p>
        </w:tc>
      </w:tr>
      <w:tr>
        <w:trPr>
          <w:trHeight w:val="220"/>
        </w:trPr>
        <w:tc>
          <w:tcPr>
            <w:tcW w:w="3240" w:type="dxa"/>
            <w:vAlign w:val="bottom"/>
          </w:tcPr>
          <w:p>
            <w:pPr>
              <w:ind w:left="20"/>
              <w:spacing w:after="0"/>
              <w:rPr>
                <w:sz w:val="20"/>
                <w:szCs w:val="20"/>
                <w:color w:val="auto"/>
              </w:rPr>
            </w:pPr>
            <w:r>
              <w:rPr>
                <w:rFonts w:ascii="Arial" w:cs="Arial" w:eastAsia="Arial" w:hAnsi="Arial"/>
                <w:sz w:val="16"/>
                <w:szCs w:val="16"/>
                <w:color w:val="auto"/>
                <w:w w:val="94"/>
              </w:rPr>
              <w:t>Common stock issued for the exercise of share-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6"/>
        </w:trPr>
        <w:tc>
          <w:tcPr>
            <w:tcW w:w="3240" w:type="dxa"/>
            <w:vAlign w:val="bottom"/>
          </w:tcPr>
          <w:p>
            <w:pPr>
              <w:ind w:left="20"/>
              <w:spacing w:after="0"/>
              <w:rPr>
                <w:sz w:val="20"/>
                <w:szCs w:val="20"/>
                <w:color w:val="auto"/>
              </w:rPr>
            </w:pPr>
            <w:r>
              <w:rPr>
                <w:rFonts w:ascii="Arial" w:cs="Arial" w:eastAsia="Arial" w:hAnsi="Arial"/>
                <w:sz w:val="16"/>
                <w:szCs w:val="16"/>
                <w:color w:val="auto"/>
              </w:rPr>
              <w:t>based awards</w:t>
            </w:r>
          </w:p>
        </w:tc>
        <w:tc>
          <w:tcPr>
            <w:tcW w:w="26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(29,615)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(29,011)</w:t>
            </w:r>
          </w:p>
        </w:tc>
      </w:tr>
      <w:tr>
        <w:trPr>
          <w:trHeight w:val="33"/>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24,493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24,493</w:t>
            </w:r>
          </w:p>
        </w:tc>
      </w:tr>
      <w:tr>
        <w:trPr>
          <w:trHeight w:val="224"/>
        </w:trPr>
        <w:tc>
          <w:tcPr>
            <w:tcW w:w="3240" w:type="dxa"/>
            <w:vAlign w:val="bottom"/>
          </w:tcPr>
          <w:p>
            <w:pPr>
              <w:ind w:left="20"/>
              <w:spacing w:after="0"/>
              <w:rPr>
                <w:sz w:val="20"/>
                <w:szCs w:val="20"/>
                <w:color w:val="auto"/>
              </w:rPr>
            </w:pPr>
            <w:r>
              <w:rPr>
                <w:rFonts w:ascii="Arial" w:cs="Arial" w:eastAsia="Arial" w:hAnsi="Arial"/>
                <w:sz w:val="16"/>
                <w:szCs w:val="16"/>
                <w:color w:val="auto"/>
              </w:rPr>
              <w:t>Common stock acquired</w:t>
            </w:r>
          </w:p>
        </w:tc>
        <w:tc>
          <w:tcPr>
            <w:tcW w:w="2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(23,280)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(23,280)</w:t>
            </w:r>
          </w:p>
        </w:tc>
      </w:tr>
      <w:tr>
        <w:trPr>
          <w:trHeight w:val="33"/>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(14,094)</w:t>
            </w:r>
          </w:p>
        </w:tc>
      </w:tr>
      <w:tr>
        <w:trPr>
          <w:trHeight w:val="224"/>
        </w:trPr>
        <w:tc>
          <w:tcPr>
            <w:tcW w:w="324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(7,905)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(7,855)</w:t>
            </w:r>
          </w:p>
        </w:tc>
      </w:tr>
      <w:tr>
        <w:trPr>
          <w:trHeight w:val="33"/>
        </w:trPr>
        <w:tc>
          <w:tcPr>
            <w:tcW w:w="3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2"/>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2019</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258,426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872,989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(5,970,842)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8,114,260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(257,190)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3,017,643</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 other</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Additional</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comprehensive</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Total stockholders'</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1 par value</w:t>
            </w: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paid-in capital</w:t>
            </w:r>
          </w:p>
        </w:tc>
        <w:tc>
          <w:tcPr>
            <w:tcW w:w="1300" w:type="dxa"/>
            <w:vAlign w:val="bottom"/>
            <w:gridSpan w:val="3"/>
          </w:tcPr>
          <w:p>
            <w:pPr>
              <w:ind w:left="100"/>
              <w:spacing w:after="0"/>
              <w:rPr>
                <w:sz w:val="20"/>
                <w:szCs w:val="20"/>
                <w:color w:val="auto"/>
              </w:rPr>
            </w:pPr>
            <w:r>
              <w:rPr>
                <w:rFonts w:ascii="Arial" w:cs="Arial" w:eastAsia="Arial" w:hAnsi="Arial"/>
                <w:sz w:val="16"/>
                <w:szCs w:val="16"/>
                <w:b w:val="1"/>
                <w:bCs w:val="1"/>
                <w:color w:val="auto"/>
              </w:rPr>
              <w:t>Treasury stock</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(loss) earnings</w:t>
            </w:r>
          </w:p>
        </w:tc>
        <w:tc>
          <w:tcPr>
            <w:tcW w:w="30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3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2017</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256,992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942,485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(5,077,039)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8,455,501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(194,759)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4,383,180</w:t>
            </w:r>
          </w:p>
        </w:tc>
        <w:tc>
          <w:tcPr>
            <w:tcW w:w="0" w:type="dxa"/>
            <w:vAlign w:val="bottom"/>
          </w:tcPr>
          <w:p>
            <w:pPr>
              <w:spacing w:after="0"/>
              <w:rPr>
                <w:sz w:val="1"/>
                <w:szCs w:val="1"/>
                <w:color w:val="auto"/>
              </w:rPr>
            </w:pPr>
          </w:p>
        </w:tc>
      </w:tr>
      <w:tr>
        <w:trPr>
          <w:trHeight w:val="254"/>
        </w:trPr>
        <w:tc>
          <w:tcPr>
            <w:tcW w:w="3260" w:type="dxa"/>
            <w:vAlign w:val="bottom"/>
          </w:tcPr>
          <w:p>
            <w:pPr>
              <w:ind w:left="20"/>
              <w:spacing w:after="0"/>
              <w:rPr>
                <w:sz w:val="20"/>
                <w:szCs w:val="20"/>
                <w:color w:val="auto"/>
              </w:rPr>
            </w:pPr>
            <w:r>
              <w:rPr>
                <w:rFonts w:ascii="Arial" w:cs="Arial" w:eastAsia="Arial" w:hAnsi="Arial"/>
                <w:sz w:val="16"/>
                <w:szCs w:val="16"/>
                <w:color w:val="auto"/>
              </w:rPr>
              <w:t>Adoption of ASU 2018-02</w:t>
            </w:r>
          </w:p>
        </w:tc>
        <w:tc>
          <w:tcPr>
            <w:tcW w:w="26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12,856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(12,856)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2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Cumulative catch-up adjustment related to</w:t>
            </w:r>
          </w:p>
        </w:tc>
        <w:tc>
          <w:tcPr>
            <w:tcW w:w="2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Adoption of Topic 606</w:t>
            </w:r>
          </w:p>
        </w:tc>
        <w:tc>
          <w:tcPr>
            <w:tcW w:w="2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6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428,698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428,698</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paid ($1.42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(213,126)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(213,126)</w:t>
            </w:r>
          </w:p>
        </w:tc>
        <w:tc>
          <w:tcPr>
            <w:tcW w:w="0" w:type="dxa"/>
            <w:vAlign w:val="bottom"/>
          </w:tcPr>
          <w:p>
            <w:pPr>
              <w:spacing w:after="0"/>
              <w:rPr>
                <w:sz w:val="1"/>
                <w:szCs w:val="1"/>
                <w:color w:val="auto"/>
              </w:rPr>
            </w:pPr>
          </w:p>
        </w:tc>
      </w:tr>
      <w:tr>
        <w:trPr>
          <w:trHeight w:val="224"/>
        </w:trPr>
        <w:tc>
          <w:tcPr>
            <w:tcW w:w="3260" w:type="dxa"/>
            <w:vAlign w:val="bottom"/>
          </w:tcPr>
          <w:p>
            <w:pPr>
              <w:ind w:left="20"/>
              <w:spacing w:after="0"/>
              <w:rPr>
                <w:sz w:val="20"/>
                <w:szCs w:val="20"/>
                <w:color w:val="auto"/>
              </w:rPr>
            </w:pPr>
            <w:r>
              <w:rPr>
                <w:rFonts w:ascii="Arial" w:cs="Arial" w:eastAsia="Arial" w:hAnsi="Arial"/>
                <w:sz w:val="16"/>
                <w:szCs w:val="16"/>
                <w:color w:val="auto"/>
              </w:rPr>
              <w:t>Separation of Apergy</w:t>
            </w:r>
          </w:p>
        </w:tc>
        <w:tc>
          <w:tcPr>
            <w:tcW w:w="2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(939,743)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32,928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(906,815)</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Common stock issued for the exercise of share-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based awards</w:t>
            </w: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(45,226)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(44,443)</w:t>
            </w:r>
          </w:p>
        </w:tc>
        <w:tc>
          <w:tcPr>
            <w:tcW w:w="0" w:type="dxa"/>
            <w:vAlign w:val="bottom"/>
          </w:tcPr>
          <w:p>
            <w:pPr>
              <w:spacing w:after="0"/>
              <w:rPr>
                <w:sz w:val="1"/>
                <w:szCs w:val="1"/>
                <w:color w:val="auto"/>
              </w:rPr>
            </w:pPr>
          </w:p>
        </w:tc>
      </w:tr>
      <w:tr>
        <w:trPr>
          <w:trHeight w:val="224"/>
        </w:trPr>
        <w:tc>
          <w:tcPr>
            <w:tcW w:w="32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16,590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16,590</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 acquired</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(752,771)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(892,771)</w:t>
            </w:r>
          </w:p>
        </w:tc>
        <w:tc>
          <w:tcPr>
            <w:tcW w:w="0" w:type="dxa"/>
            <w:vAlign w:val="bottom"/>
          </w:tcPr>
          <w:p>
            <w:pPr>
              <w:spacing w:after="0"/>
              <w:rPr>
                <w:sz w:val="1"/>
                <w:szCs w:val="1"/>
                <w:color w:val="auto"/>
              </w:rPr>
            </w:pPr>
          </w:p>
        </w:tc>
      </w:tr>
      <w:tr>
        <w:trPr>
          <w:trHeight w:val="224"/>
        </w:trPr>
        <w:tc>
          <w:tcPr>
            <w:tcW w:w="326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2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(18,638)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(18,638)</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(4,916)</w:t>
            </w:r>
          </w:p>
        </w:tc>
        <w:tc>
          <w:tcPr>
            <w:tcW w:w="0" w:type="dxa"/>
            <w:vAlign w:val="bottom"/>
          </w:tcPr>
          <w:p>
            <w:pPr>
              <w:spacing w:after="0"/>
              <w:rPr>
                <w:sz w:val="1"/>
                <w:szCs w:val="1"/>
                <w:color w:val="auto"/>
              </w:rPr>
            </w:pPr>
          </w:p>
        </w:tc>
      </w:tr>
      <w:tr>
        <w:trPr>
          <w:trHeight w:val="247"/>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2018</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257,775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768,933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(5,829,810)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7,744,361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(193,325)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2,747,934</w:t>
            </w: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25" w:right="259"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00"/>
          </w:cols>
          <w:pgMar w:left="240" w:top="125" w:right="259" w:bottom="533"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8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509,796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428,698</w:t>
            </w:r>
          </w:p>
        </w:tc>
      </w:tr>
      <w:tr>
        <w:trPr>
          <w:trHeight w:val="27"/>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cash from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Loss from discontinued operations, net</w:t>
            </w:r>
          </w:p>
        </w:tc>
        <w:tc>
          <w:tcPr>
            <w:tcW w:w="140" w:type="dxa"/>
            <w:vAlign w:val="bottom"/>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4,472</w:t>
            </w:r>
          </w:p>
        </w:tc>
      </w:tr>
      <w:tr>
        <w:trPr>
          <w:trHeight w:val="27"/>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Loss on assets held for sale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46,946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202,294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206,018</w:t>
            </w:r>
          </w:p>
        </w:tc>
      </w:tr>
      <w:tr>
        <w:trPr>
          <w:trHeight w:val="27"/>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24,493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15,846</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(6,107)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(13,946)</w:t>
            </w:r>
          </w:p>
        </w:tc>
      </w:tr>
      <w:tr>
        <w:trPr>
          <w:trHeight w:val="27"/>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effect of changes in assets and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(67,603)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(119,687)</w:t>
            </w:r>
          </w:p>
        </w:tc>
      </w:tr>
      <w:tr>
        <w:trPr>
          <w:trHeight w:val="27"/>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(130,351)</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(29,336)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(34,604)</w:t>
            </w:r>
          </w:p>
        </w:tc>
      </w:tr>
      <w:tr>
        <w:trPr>
          <w:trHeight w:val="27"/>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87,898</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Accrued compensation and employee benefits</w:t>
            </w: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(5,908)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(17,101)</w:t>
            </w:r>
          </w:p>
        </w:tc>
      </w:tr>
      <w:tr>
        <w:trPr>
          <w:trHeight w:val="27"/>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(8,169)</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Accrued and deferred taxes, net</w:t>
            </w: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(8,357)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(390)</w:t>
            </w:r>
          </w:p>
        </w:tc>
      </w:tr>
      <w:tr>
        <w:trPr>
          <w:trHeight w:val="27"/>
        </w:trPr>
        <w:tc>
          <w:tcPr>
            <w:tcW w:w="8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584,098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418,684</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(137,276)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(134,556)</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Acquisitions, net of cash acquired</w:t>
            </w: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(215,687)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(68,557)</w:t>
            </w:r>
          </w:p>
        </w:tc>
      </w:tr>
      <w:tr>
        <w:trPr>
          <w:trHeight w:val="27"/>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Proceeds from sale of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4,681</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Proceeds from sale of businesses</w:t>
            </w:r>
          </w:p>
        </w:tc>
        <w:tc>
          <w:tcPr>
            <w:tcW w:w="1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24,218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2,069</w:t>
            </w:r>
          </w:p>
        </w:tc>
      </w:tr>
      <w:tr>
        <w:trPr>
          <w:trHeight w:val="27"/>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(13,762)</w:t>
            </w: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(336,057)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(210,125)</w:t>
            </w:r>
          </w:p>
        </w:tc>
      </w:tr>
      <w:tr>
        <w:trPr>
          <w:trHeight w:val="27"/>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Cash received from Apergy, net of cash distributed</w:t>
            </w:r>
          </w:p>
        </w:tc>
        <w:tc>
          <w:tcPr>
            <w:tcW w:w="140" w:type="dxa"/>
            <w:vAlign w:val="bottom"/>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689,643</w:t>
            </w:r>
          </w:p>
        </w:tc>
      </w:tr>
      <w:tr>
        <w:trPr>
          <w:trHeight w:val="27"/>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(23,280)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(892,771)</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Change in commercial paper and notes payable</w:t>
            </w: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(37,650)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67,617</w:t>
            </w:r>
          </w:p>
        </w:tc>
      </w:tr>
      <w:tr>
        <w:trPr>
          <w:trHeight w:val="27"/>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Dividends paid to stockholders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(213,126)</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Payments to settle employee tax obligations on exercise of share-based awards</w:t>
            </w: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(29,011)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(44,443)</w:t>
            </w:r>
          </w:p>
        </w:tc>
      </w:tr>
      <w:tr>
        <w:trPr>
          <w:trHeight w:val="27"/>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Repayment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(350,000)</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(6,233)</w:t>
            </w:r>
          </w:p>
        </w:tc>
      </w:tr>
      <w:tr>
        <w:trPr>
          <w:trHeight w:val="27"/>
        </w:trPr>
        <w:tc>
          <w:tcPr>
            <w:tcW w:w="8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(302,430)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(749,313)</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Cash Flows from Discontinued Operations</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15,790</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Net cash used in investing activities of discontinued operations</w:t>
            </w:r>
          </w:p>
        </w:tc>
        <w:tc>
          <w:tcPr>
            <w:tcW w:w="140" w:type="dxa"/>
            <w:vAlign w:val="bottom"/>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(23,705)</w:t>
            </w:r>
          </w:p>
        </w:tc>
      </w:tr>
      <w:tr>
        <w:trPr>
          <w:trHeight w:val="27"/>
        </w:trPr>
        <w:tc>
          <w:tcPr>
            <w:tcW w:w="8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(7,915)</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3,982</w:t>
            </w:r>
          </w:p>
        </w:tc>
      </w:tr>
      <w:tr>
        <w:trPr>
          <w:trHeight w:val="27"/>
        </w:trPr>
        <w:tc>
          <w:tcPr>
            <w:tcW w:w="8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(544,687)</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396,221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753,964</w:t>
            </w:r>
          </w:p>
        </w:tc>
      </w:tr>
      <w:tr>
        <w:trPr>
          <w:trHeight w:val="27"/>
        </w:trPr>
        <w:tc>
          <w:tcPr>
            <w:tcW w:w="8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340,532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209,277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25" w:right="259" w:bottom="6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125" w:right="259" w:bottom="668"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 Basis of Presentation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2018, included in the Company's Annual Report on Form 10-K filed with the SEC on February 15, 2019. The year end Condensed Consolidated Balance Sheet was derived from audited financial statements. Certain amounts in the prior periods have been reclassified to conform to the current year presentation.</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9, 2018, the Company completed a pro-rata distribution of the common stock of Apergy Corporation ("Apergy") to the Company's shareholders of record as of the close of business on April 30, 2018. Apergy holds entities conducting upstream energy businesses previously included in the Energy segment. As discussed in Note 5 - Discontinued and Disposed Operations, the Apergy businesses met the criteria to be reported as discontinued operations because the spin-off is a strategic shift in business that has a major effect on the Company's operations and financial results. Therefore, the Company is reporting the historical results of Apergy, including the results of operations and cash flows as discontinued operations for all periods presented herein. Subsequent to the spin-off of Apergy, effective the second quarter of 2018, the Company is aligned into three reportable segments. See Note 18 — Segment Information for additional information regarding the segments, including segment results for the three and nine months ended September 30, 2019 and 2018. Unless otherwise noted, the accompanying Notes to the Consolidated Financial Statements have all been revised to reflect the effect of the separation of Apergy and all prior year balances have been revised accordingly to reflect continuing operations only.</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U.S. GAAP, which requires management to make estimates and assumptions that affect amounts reported in the Condensed Consolidated Financial Statements and accompanying disclosures. Although these estimates are based on management’s best knowledge of current events and actions that the Company may undertake in the future, actual results may differ from those estimates. The Condensed Consolidated Financial Statements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Spin-off of Apergy Corporation</w:t>
      </w:r>
    </w:p>
    <w:p>
      <w:pPr>
        <w:spacing w:after="0" w:line="25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May 9, 2018, Dover completed the distribution of Apergy to its shareholders. The transaction was completed through the pro rata distribution of 100% of the common stock of Apergy to Dover's shareholders of record as of the close of business on April 30, 2018. Each Dover shareholder received one share of Apergy common stock for every two shares of Dover common stock held as of the record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assets and liabilities transferred to Apergy as part of the separation on May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10,357</w:t>
            </w:r>
          </w:p>
        </w:tc>
      </w:tr>
      <w:tr>
        <w:trPr>
          <w:trHeight w:val="27"/>
        </w:trPr>
        <w:tc>
          <w:tcPr>
            <w:tcW w:w="9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7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462,620</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72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1,438,760</w:t>
            </w:r>
          </w:p>
        </w:tc>
      </w:tr>
      <w:tr>
        <w:trPr>
          <w:trHeight w:val="27"/>
        </w:trPr>
        <w:tc>
          <w:tcPr>
            <w:tcW w:w="91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9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1,911,737</w:t>
            </w:r>
          </w:p>
        </w:tc>
      </w:tr>
      <w:tr>
        <w:trPr>
          <w:trHeight w:val="223"/>
        </w:trPr>
        <w:tc>
          <w:tcPr>
            <w:tcW w:w="91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7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7"/>
        </w:trPr>
        <w:tc>
          <w:tcPr>
            <w:tcW w:w="9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185,354</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72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119,568</w:t>
            </w:r>
          </w:p>
        </w:tc>
      </w:tr>
      <w:tr>
        <w:trPr>
          <w:trHeight w:val="27"/>
        </w:trPr>
        <w:tc>
          <w:tcPr>
            <w:tcW w:w="91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9"/>
        </w:trPr>
        <w:tc>
          <w:tcPr>
            <w:tcW w:w="9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304,922</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9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64"/>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distributed to Apergy Corporation</w:t>
            </w: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1,606,815</w:t>
            </w: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Less: Cash received from Apergy Corporation</w:t>
            </w:r>
          </w:p>
        </w:tc>
        <w:tc>
          <w:tcPr>
            <w:tcW w:w="7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700,000</w:t>
            </w:r>
          </w:p>
        </w:tc>
      </w:tr>
      <w:tr>
        <w:trPr>
          <w:trHeight w:val="27"/>
        </w:trPr>
        <w:tc>
          <w:tcPr>
            <w:tcW w:w="91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distribution to Apergy Corporation</w:t>
            </w: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906,815</w:t>
            </w:r>
          </w:p>
        </w:tc>
      </w:tr>
      <w:tr>
        <w:trPr>
          <w:trHeight w:val="20"/>
        </w:trPr>
        <w:tc>
          <w:tcPr>
            <w:tcW w:w="9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30"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spin-off from the company, Apergy issued and sold $300.0 million in aggregate principal amount of its 6.375% senior notes due May 2026 in a private offering exempt from the registration requirements of the Securities Act of 1933, as amended, and incurred $415.0 million in borrowings under its new senior secured term loan facility to fund a one-time cash payment of $700.0 million to Dover. Dover received net cash of $689.6 million upon separation, which reflects $10.4 million of cash held by Apergy on the distribution date and retained by it in connection with its separation from Dover. Dover utilized the proceeds from Apergy as the primary source of funding for $1 billion of share repurchases started in December 2017 and completed in December 2018.</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Included within the net assets distributed to Apergy is approximately $33 million of accumulated other comprehensive earnings attributable to Apergy, relating primarily to foreign currency translation gains, offset by unrecognized losses on pension obligations.</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historical results of Apergy, including the results of operations and cash flows have been reclassified to discontinued operations for all periods presented herein. See Note 5 — Disposed and Discontinued Operations. Pursuant to the separation of Apergy from Dover, and the related separation and distribution agreements, any liabilities due from Dover to Apergy are not significant.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Revenue</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Effective January 1, 2018, the Company adopted Accounting Standard Codification ("ASC") Topic 606, Revenue from Contracts with Customers ("Topic 606” or “ASC 606”), using the modified retrospective method applied to those contracts which were not completed as of January 1, 2018.</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Topic 606, a contract with a customer is an agreement which both parties have approved, that creates enforceable rights and obligations, has commercial substance and where payment terms are identified and collectability is probable. Once the Company has entered a contract, it is evaluated to identify performance obligations. For each performance obligation, revenue is recognized as control of promised goods or services transfers to the customer in an amount that reflects the consideration the Company expects to receive in exchange for those goods or services. The amount of revenue recognized takes into account variable consideration, such as discounts and volume rebates.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95% of the Company’s performance obligations are recognized at a point in time that relate to the manufacture and sale of a broad range of products and components. Revenue is recognized when control transfers to the customer upon shipment or completion of installation, testing, certification, or other substantive acceptance provisions required under the contract. Less than 5% of the Company’s revenue is recognized over time and generally relates to the sale of services or engineered to order equipment that have no alternative use and in which the contract specifies the Company has a right to payment for its costs, plus a reasonable margin.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contracts with customers is disaggregated by end markets, segments and geographic location, as it best depicts the nature and amount of the Company’s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end market and segment:</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316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September 30,</w:t>
            </w:r>
          </w:p>
        </w:tc>
        <w:tc>
          <w:tcPr>
            <w:tcW w:w="298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Printing &amp; Identification</w:t>
            </w:r>
          </w:p>
        </w:tc>
        <w:tc>
          <w:tcPr>
            <w:tcW w:w="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287,157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283,232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848,056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865,588</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Industrials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414,634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388,302</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1,237,427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1,180,561</w:t>
            </w:r>
          </w:p>
        </w:tc>
      </w:tr>
      <w:tr>
        <w:trPr>
          <w:trHeight w:val="27"/>
        </w:trPr>
        <w:tc>
          <w:tcPr>
            <w:tcW w:w="5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Total Engineered Systems segment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701,791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671,534</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2,085,483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2,046,149</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Fueling &amp; Transport</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411,769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367,617</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1,175,405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1,050,276</w:t>
            </w: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Pumps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169,678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167,542</w:t>
            </w: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523,730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503,157</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Process Solutions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171,599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154,906</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486,568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458,396</w:t>
            </w:r>
          </w:p>
        </w:tc>
      </w:tr>
      <w:tr>
        <w:trPr>
          <w:trHeight w:val="27"/>
        </w:trPr>
        <w:tc>
          <w:tcPr>
            <w:tcW w:w="5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Total Fluids segment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753,046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690,065</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2,185,703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2,011,829</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Refrigeration</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313,908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328,281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905,084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937,168</w:t>
            </w: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56,427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57,933</w:t>
            </w: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185,368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189,047</w:t>
            </w:r>
          </w:p>
        </w:tc>
      </w:tr>
      <w:tr>
        <w:trPr>
          <w:trHeight w:val="237"/>
        </w:trPr>
        <w:tc>
          <w:tcPr>
            <w:tcW w:w="5260" w:type="dxa"/>
            <w:vAlign w:val="bottom"/>
          </w:tcPr>
          <w:p>
            <w:pPr>
              <w:ind w:left="420"/>
              <w:spacing w:after="0"/>
              <w:rPr>
                <w:sz w:val="20"/>
                <w:szCs w:val="20"/>
                <w:color w:val="auto"/>
              </w:rPr>
            </w:pPr>
            <w:r>
              <w:rPr>
                <w:rFonts w:ascii="Arial" w:cs="Arial" w:eastAsia="Arial" w:hAnsi="Arial"/>
                <w:sz w:val="18"/>
                <w:szCs w:val="18"/>
                <w:b w:val="1"/>
                <w:bCs w:val="1"/>
                <w:color w:val="auto"/>
              </w:rPr>
              <w:t>Total Refrigeration &amp; Food Equipment segment</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370,335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386,214</w:t>
            </w:r>
          </w:p>
        </w:tc>
        <w:tc>
          <w:tcPr>
            <w:tcW w:w="1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1,090,452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1,126,215</w:t>
            </w: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Intra-segment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w:t>
            </w:r>
          </w:p>
        </w:tc>
      </w:tr>
      <w:tr>
        <w:trPr>
          <w:trHeight w:val="264"/>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Total Consolidated Revenue</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1,825,345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1,747,403</w:t>
            </w:r>
          </w:p>
        </w:tc>
        <w:tc>
          <w:tcPr>
            <w:tcW w:w="1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5,360,808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5,183,168</w:t>
            </w:r>
          </w:p>
        </w:tc>
      </w:tr>
      <w:tr>
        <w:trPr>
          <w:trHeight w:val="21"/>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 xml:space="preserve"> Finder Pompe S.r.l was sold on April 2,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geography based on the location of the Company's customer:</w:t>
      </w:r>
    </w:p>
    <w:p>
      <w:pPr>
        <w:spacing w:after="0" w:line="5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Three Months Ended September 30,</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5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41"/>
        </w:trPr>
        <w:tc>
          <w:tcPr>
            <w:tcW w:w="5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1,002,349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922,261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2,883,147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2,707,470</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376,601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369,479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1,184,520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1,158,891</w:t>
            </w:r>
          </w:p>
        </w:tc>
      </w:tr>
      <w:tr>
        <w:trPr>
          <w:trHeight w:val="27"/>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229,210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219,645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623,838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633,280</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150,257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166,182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466,591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467,523</w:t>
            </w:r>
          </w:p>
        </w:tc>
      </w:tr>
      <w:tr>
        <w:trPr>
          <w:trHeight w:val="27"/>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66,928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69,836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202,712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216,004</w:t>
            </w:r>
          </w:p>
        </w:tc>
      </w:tr>
      <w:tr>
        <w:trPr>
          <w:trHeight w:val="264"/>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1,825,345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1,747,403</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5,360,808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5,183,168</w:t>
            </w:r>
          </w:p>
        </w:tc>
      </w:tr>
      <w:tr>
        <w:trPr>
          <w:trHeight w:val="21"/>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September 30, 2019, we estimated that $81.6 million in revenue is expected to be recognized in the future related to performance obligations that are unsatisfied (or partially unsatisfied) at the end of the reporting period. We expect to recognize approximately 58% of our unsatisfied (or partially unsatisfied) performance obligations as revenue through 2020, with the remaining balance to be recognized in 2021 and thereafter.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2019</w:t>
            </w:r>
          </w:p>
        </w:tc>
        <w:tc>
          <w:tcPr>
            <w:tcW w:w="20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c>
          <w:tcPr>
            <w:tcW w:w="300" w:type="dxa"/>
            <w:vAlign w:val="bottom"/>
          </w:tcPr>
          <w:p>
            <w:pPr>
              <w:spacing w:after="0"/>
              <w:rPr>
                <w:sz w:val="20"/>
                <w:szCs w:val="20"/>
                <w:color w:val="auto"/>
              </w:rPr>
            </w:pPr>
          </w:p>
        </w:tc>
        <w:tc>
          <w:tcPr>
            <w:tcW w:w="1600" w:type="dxa"/>
            <w:vAlign w:val="bottom"/>
          </w:tcPr>
          <w:p>
            <w:pPr>
              <w:jc w:val="right"/>
              <w:ind w:right="390"/>
              <w:spacing w:after="0"/>
              <w:rPr>
                <w:sz w:val="20"/>
                <w:szCs w:val="20"/>
                <w:color w:val="auto"/>
              </w:rPr>
            </w:pPr>
            <w:r>
              <w:rPr>
                <w:rFonts w:ascii="Arial" w:cs="Arial" w:eastAsia="Arial" w:hAnsi="Arial"/>
                <w:sz w:val="18"/>
                <w:szCs w:val="18"/>
                <w:b w:val="1"/>
                <w:bCs w:val="1"/>
                <w:color w:val="auto"/>
              </w:rPr>
              <w:t>At Adoption</w:t>
            </w:r>
          </w:p>
        </w:tc>
      </w:tr>
      <w:tr>
        <w:trPr>
          <w:trHeight w:val="27"/>
        </w:trPr>
        <w:tc>
          <w:tcPr>
            <w:tcW w:w="5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11,932</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Contract liabilities - current</w:t>
            </w:r>
          </w:p>
        </w:tc>
        <w:tc>
          <w:tcPr>
            <w:tcW w:w="16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39,656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36,461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48,268</w:t>
            </w:r>
          </w:p>
        </w:tc>
      </w:tr>
      <w:tr>
        <w:trPr>
          <w:trHeight w:val="27"/>
        </w:trPr>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non-current</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9,382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w:t>
            </w:r>
          </w:p>
        </w:tc>
      </w:tr>
      <w:tr>
        <w:trPr>
          <w:trHeight w:val="27"/>
        </w:trPr>
        <w:tc>
          <w:tcPr>
            <w:tcW w:w="5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revenue recognized during the nine months ended September 30, 2019 and 2018 that was included in contract liabilities at the beginning of the period amounted to $25,977 and $37,579, respectively.</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30"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nine months ended September 30, 2019, the Company acquired three businesses in separate transactions for total consideration of $216,398, net of cash acquired and including contingent consideration. These businesses were acquired to complement and expand upon existing operations within the Fluids segment. The goodwill recorded as a result of these acquisitions represents the economic benefits expected to be derived from product line expansions and operational synergies. The goodwill is deductible for U.S. income tax purposes for these acquisitions.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7, 2019, the Company acquired the assets of the All-Flo Pump Company, Limited business ("All-Flo"), a growing manufacturer of specialty pumps for $39,954. The All-Flo acquisition strengthens Dover's position in the growing market for air-operated double-diaphragm pumps within the Pumps end market of the Fluids segment.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25, 2019, the Company acquired the assets of Belanger, Inc. ("Belanger"), a leading full-line car wash equipment manufacturer for $175,350, net of cash acquired. The Belanger acquisition strengthens Dover's position in the vehicle wash business within the Fueling &amp; Transport end market of the Fluids segment.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other immaterial acquisition was completed during the nine months ended September 30, 2019, which included contingent consideration, within the Fluids segment.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the preliminary allocation of purchase price to the assets acquired and liabilities assumed, based on their estimated fair values at acquisition date: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 net of cash acquired</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14,353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119,363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91,980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 and deferred charges</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(10,348)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4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216,398</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4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 (in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3"/>
              </w:rPr>
              <w:t>Amount allocated</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119,363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Customer intangibles</w:t>
            </w:r>
          </w:p>
        </w:tc>
        <w:tc>
          <w:tcPr>
            <w:tcW w:w="4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68,500</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9 - 13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16,000</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4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7,480</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4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211,343</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nine months ended September 30, 2018, the Company acquired two businesses in separate transactions for total consideration of $68,557, net of cash acquired. These businesses were acquired to complement and expand upon existing operations within the Fluids and Refrigeration &amp; Food Equipment segments. The goodwill recorded as a result of these acquisitions reflects the benefits expected to be derived from product line expansions and operational synergies. The goodwill is non-deductible for U.S. federal income tax purposes for these acquisitions.</w:t>
      </w:r>
    </w:p>
    <w:p>
      <w:pPr>
        <w:spacing w:after="0" w:line="19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January 2, 2018, the Company acquired 100% of the voting stock of Ettlinger Group ("Ettlinger"), within the Fluids segment for $53,218, net of cash acquired. In connection with this acquisition, the Company recorded goodwill of $36,493 and intangible assets of $19,907, primarily related to customer intangibles. The intangible assets are being amortized over 8 to 15 years.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130"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On January 12, 2018, the Company acquired 100% of the voting stock of Rosario Handel B.V. ("Rosario"), within the Refrigeration &amp; Food Equipment segment for total consideration of $15,339, net of cash acquired. In connection with this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acquisition, the Company recorded goodwill of $10,402 and a customer intangible asset of $4,149. The customer intangible asset is being amortized over 10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Information</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following unaudited pro forma information illustrates the impact of 2019 and 2018 acquisitions on the Company’s revenue and earnings from operations for the three and nine months ended September 30, 2019 and 2018, respectively.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unaudited pro forma information assumes that the 2019 and 2018 acquisitions had taken place at the beginning of the prior year, 2018 and 2017, respectively. Unaudited pro forma earnings are adjusted to reflect the comparable impact of additional depreciation and amortization expense, net of tax, resulting from the fair value measurement of intangible and tangible assets relating to the year of acquisition.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effects for the three and nine months ended September 30, 2019 and 2018 were as follows:</w:t>
      </w:r>
    </w:p>
    <w:p>
      <w:pPr>
        <w:spacing w:after="0" w:line="16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Three Months Ended September 30,</w:t>
      </w:r>
    </w:p>
    <w:p>
      <w:pPr>
        <w:spacing w:after="0" w:line="27" w:lineRule="exact"/>
        <w:rPr>
          <w:sz w:val="20"/>
          <w:szCs w:val="20"/>
          <w:color w:val="auto"/>
        </w:rPr>
      </w:pPr>
    </w:p>
    <w:p>
      <w:pPr>
        <w:ind w:left="8500"/>
        <w:spacing w:after="0"/>
        <w:rPr>
          <w:sz w:val="20"/>
          <w:szCs w:val="20"/>
          <w:color w:val="auto"/>
        </w:rPr>
      </w:pPr>
      <w:r>
        <w:rPr>
          <w:rFonts w:ascii="Arial" w:cs="Arial" w:eastAsia="Arial" w:hAnsi="Arial"/>
          <w:sz w:val="17"/>
          <w:szCs w:val="17"/>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30480</wp:posOffset>
            </wp:positionV>
            <wp:extent cx="38677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67785" cy="8890"/>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32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As reported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1,825,345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1,747,403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5,360,808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5,183,168</w:t>
            </w:r>
          </w:p>
        </w:tc>
        <w:tc>
          <w:tcPr>
            <w:tcW w:w="0" w:type="dxa"/>
            <w:vAlign w:val="bottom"/>
          </w:tcPr>
          <w:p>
            <w:pPr>
              <w:spacing w:after="0"/>
              <w:rPr>
                <w:sz w:val="1"/>
                <w:szCs w:val="1"/>
                <w:color w:val="auto"/>
              </w:rPr>
            </w:pPr>
          </w:p>
        </w:tc>
      </w:tr>
      <w:tr>
        <w:trPr>
          <w:trHeight w:val="243"/>
        </w:trPr>
        <w:tc>
          <w:tcPr>
            <w:tcW w:w="5320" w:type="dxa"/>
            <w:vAlign w:val="bottom"/>
          </w:tcPr>
          <w:p>
            <w:pPr>
              <w:ind w:left="440"/>
              <w:spacing w:after="0"/>
              <w:rPr>
                <w:sz w:val="20"/>
                <w:szCs w:val="20"/>
                <w:color w:val="auto"/>
              </w:rPr>
            </w:pPr>
            <w:r>
              <w:rPr>
                <w:rFonts w:ascii="Arial" w:cs="Arial" w:eastAsia="Arial" w:hAnsi="Arial"/>
                <w:sz w:val="18"/>
                <w:szCs w:val="18"/>
                <w:color w:val="auto"/>
              </w:rPr>
              <w:t>Pro forma</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1,825,510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1,764,397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5,369,686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5,233,912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206,006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157,305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509,796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433,170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Pro forma</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206,091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512,679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440,603</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Basic earnings per share from continuing operations: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As reported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5320" w:type="dxa"/>
            <w:vAlign w:val="bottom"/>
          </w:tcPr>
          <w:p>
            <w:pPr>
              <w:ind w:left="440"/>
              <w:spacing w:after="0"/>
              <w:rPr>
                <w:sz w:val="20"/>
                <w:szCs w:val="20"/>
                <w:color w:val="auto"/>
              </w:rPr>
            </w:pPr>
            <w:r>
              <w:rPr>
                <w:rFonts w:ascii="Arial" w:cs="Arial" w:eastAsia="Arial" w:hAnsi="Arial"/>
                <w:sz w:val="18"/>
                <w:szCs w:val="18"/>
                <w:color w:val="auto"/>
              </w:rPr>
              <w:t>Pro forma</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5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5. Disposed and Discontinued Operations</w:t>
      </w:r>
    </w:p>
    <w:p>
      <w:pPr>
        <w:spacing w:after="0" w:line="25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Management evaluates Dover's businesses periodically for their strategic fit within its operations and may from time to time sell or discontinue certain operations for various reasons.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Disposed Operations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29, 2019, the Company entered into a definitive agreement to sell Finder Pompe S.r.l ("Finder"), a wholly owned subsidiary, to Gruppo Aturia S.p.A (“Aturia”). As of March 31, 2019, Finder met the criteria to be classified as held for sale. The Company classified Finder's assets and liabilities separately on the consolidated balance sheet as of March 31, 2019.</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total consideration from the sale, net of selling costs, the Company recorded a loss on the assets held for sale of $46,946 in the Condensed Consolidated Statements of Earnings during the three months ended March 31, 2019. The loss was comprised of an impairment on assets held for sale of $21,607 and $25,339 of foreign currency translation losses reclassified out of accumulated other comprehensive losses.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 2019, Dover completed the sale of Finder to Aturia, which generated total cash proceeds of $24,218, of which $2,245 was received on March 29, 2019. The Finder business is included in the results of the Fluids segment. The sale does not represent a strategic shift that will have a major effect on operations and financial results and, therefore, did not qualify for presentation as a discontinued operation.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dispositions during the nine months ended September 30, 2018.</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130" w:right="2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discontinued operations for the three and nine months ending September 30, 2019.</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2018, the Apergy businesses, as discussed in Note 2, met the criteria to be reported as discontinued operations because the spin-off was a strategic shift in business that has a major effect on the Company's operations and financial results. Therefore, the results of discontinued operations for the three and nine months ended September 30, 2018 include the historical results of Apergy prior to its distribution on May 9, 2018. The three and nine months ended September 30, 2018 included costs incurred by Dover to complete the spin-off of Apergy amounting to $0 and $46,384, respectively, reflected in selling, general and administrative expenses in discontinued operations. See Note 2 — Spin-off of Apergy Corporation for further information.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4"/>
          </w:tcPr>
          <w:p>
            <w:pPr>
              <w:spacing w:after="0"/>
              <w:rPr>
                <w:sz w:val="20"/>
                <w:szCs w:val="20"/>
                <w:color w:val="auto"/>
              </w:rPr>
            </w:pPr>
            <w:r>
              <w:rPr>
                <w:rFonts w:ascii="Arial" w:cs="Arial" w:eastAsia="Arial" w:hAnsi="Arial"/>
                <w:sz w:val="18"/>
                <w:szCs w:val="18"/>
                <w:color w:val="auto"/>
              </w:rPr>
              <w:t>Summarized results of the Company's discontinued operations were as follows:</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34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3"/>
          </w:tcPr>
          <w:p>
            <w:pPr>
              <w:ind w:left="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34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September 30, 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 2018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403,688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3"/>
          </w:tcPr>
          <w:p>
            <w:pPr>
              <w:ind w:left="20"/>
              <w:spacing w:after="0"/>
              <w:rPr>
                <w:sz w:val="20"/>
                <w:szCs w:val="20"/>
                <w:color w:val="auto"/>
              </w:rPr>
            </w:pPr>
            <w:r>
              <w:rPr>
                <w:rFonts w:ascii="Arial" w:cs="Arial" w:eastAsia="Arial" w:hAnsi="Arial"/>
                <w:sz w:val="18"/>
                <w:szCs w:val="18"/>
                <w:color w:val="auto"/>
              </w:rPr>
              <w:t>Cost of goods and services</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254,205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149,483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144,114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earnings</w:t>
            </w: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5,369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3"/>
          </w:tcPr>
          <w:p>
            <w:pPr>
              <w:ind w:left="20"/>
              <w:spacing w:after="0"/>
              <w:rPr>
                <w:sz w:val="20"/>
                <w:szCs w:val="20"/>
                <w:color w:val="auto"/>
              </w:rPr>
            </w:pPr>
            <w:r>
              <w:rPr>
                <w:rFonts w:ascii="Arial" w:cs="Arial" w:eastAsia="Arial" w:hAnsi="Arial"/>
                <w:sz w:val="18"/>
                <w:szCs w:val="18"/>
                <w:color w:val="auto"/>
              </w:rPr>
              <w:t>Other expense, net</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 before taxes</w:t>
            </w: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5,020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3"/>
          </w:tcPr>
          <w:p>
            <w:pPr>
              <w:ind w:left="20"/>
              <w:spacing w:after="0"/>
              <w:rPr>
                <w:sz w:val="20"/>
                <w:szCs w:val="20"/>
                <w:color w:val="auto"/>
              </w:rPr>
            </w:pPr>
            <w:r>
              <w:rPr>
                <w:rFonts w:ascii="Arial" w:cs="Arial" w:eastAsia="Arial" w:hAnsi="Arial"/>
                <w:sz w:val="18"/>
                <w:szCs w:val="18"/>
                <w:color w:val="auto"/>
              </w:rPr>
              <w:t>Provision for income taxes</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9,492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(4,472)</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6. Inventories</w:t>
            </w: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82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September 30, 2019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gridSpan w:val="2"/>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470,088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439,616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Work in progress</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169,639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154,878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3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289,779</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265,722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Subtotal</w:t>
            </w:r>
          </w:p>
        </w:tc>
        <w:tc>
          <w:tcPr>
            <w:tcW w:w="4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929,506</w:t>
            </w: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860,216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3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reserves</w:t>
            </w:r>
          </w:p>
        </w:tc>
        <w:tc>
          <w:tcPr>
            <w:tcW w:w="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(112,943)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816,563</w:t>
            </w: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748,796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7. Property, Plant and Equipment, net</w:t>
            </w: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82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September 30, 2019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gridSpan w:val="3"/>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Land</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48,935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53,623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512,985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529,982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Machinery, equipment and other</w:t>
            </w:r>
          </w:p>
        </w:tc>
        <w:tc>
          <w:tcPr>
            <w:tcW w:w="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1,635,444</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1,555,345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Property, plant and equipment, gross</w:t>
            </w:r>
          </w:p>
        </w:tc>
        <w:tc>
          <w:tcPr>
            <w:tcW w:w="4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2,197,364</w:t>
            </w: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2,138,950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(1,376,782)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(1,332,453)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4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820,582</w:t>
            </w: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806,497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totaled $32,145 and $32,514 for the three months ended September 30, 2019 and 2018, respectively. For the nine months ended September 30, 2019 and 2018, depreciation expense was $97,364 and $97,625, respectively.</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130"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8. Leases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ASC Topic 842 - Leases as of January 1, 2019, using the transition method per ASU No. 2018-11 issued on July 2018 wherein entities were allowed to initially apply the new leases standard at adoption date and recognize a cumulative-effect adjustment to the opening balance of retained earnings in the period of adoption. Accordingly, all periods prior to January 1, 2019 were presented in accordance with the previous ASC Topic 840 - Leases, and no retrospective adjustments were made to the comparative periods presented. Adoption of ASC Topic 842 resulted in an increase to total assets and liabilities due to the recording of operating lease right-of-use assets ("ROU") and operating lease liabilities of approximately $163 million, as of January 1, 2019. Finance leases were not impacted by the adoption of ASC Topic 842, as finance lease liabilities and the corresponding ROU assets were already recorded in the balance sheet under the previous guidance, ASC Topic 840. The adoption did not materially impact the Company’s Consolidated Statements of Earnings or Cash Flows.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has operating and finance leases for corporate offices, manufacturing plants, research and development facilities, shared services facilities, vehicle fleets and certain office and manufacturing equipment. Leases with an initial term of 12 months or less are not recorded in the balance sheet. The Company has elected the practical expedient to account for each separate lease component of a contract and its associated non-lease components as a single lease component, thus causing all fixed payments to be capitalized. The Company also elected the package of practical expedients permitted within the new standard, which among other things, allows the Company to carry forward historical lease classification.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determines if an arrangement is a lease at inception of a contract. Operating lease ROU assets are included in other assets and deferred charges and operating lease liabilities are included in other accrued expenses and other liabilities in the Consolidated Balance Sheet. Finance lease ROU assets are included in property and equipment, and the related lease liabilities are included in other accrued expenses and other liabilities in the Consolidated Balance Sheet.</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ROU assets represent the Company's right to use an underlying asset during the lease term and lease liabilities represent the Company's obligation to make lease payments arising from the lease. ROU assets and liabilities are recognized at commencement date based on the net present value of fixed lease payments over the lease term. The Company's lease term include options to extend or terminate the lease when it is reasonably certain that we will exercise that option. ROU assets also include any advance lease payments made and exclude lease incentives. As most of the Company's operating leases do not provide an implicit rate, the Company uses its incremental borrowing rate based on the information available at commencement date in determining the present value of lease payments. Finance lease agreements generally include an interest rate that is used to determine the present value of future lease payments. Operating fixed lease expense and finance lease depreciation expense are recognized on a straight-line basis over the lease term.</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The components of lease costs were as follows:</w:t>
            </w: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2019</w:t>
            </w:r>
          </w:p>
        </w:tc>
        <w:tc>
          <w:tcPr>
            <w:tcW w:w="22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2019</w:t>
            </w:r>
          </w:p>
        </w:tc>
      </w:tr>
      <w:tr>
        <w:trPr>
          <w:trHeight w:val="27"/>
        </w:trPr>
        <w:tc>
          <w:tcPr>
            <w:tcW w:w="20" w:type="dxa"/>
            <w:vAlign w:val="bottom"/>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8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Fixed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13,557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38,520</w:t>
            </w:r>
          </w:p>
        </w:tc>
        <w:tc>
          <w:tcPr>
            <w:tcW w:w="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Variable</w:t>
            </w:r>
          </w:p>
        </w:tc>
        <w:tc>
          <w:tcPr>
            <w:tcW w:w="1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5,274</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Short-term</w:t>
            </w:r>
          </w:p>
        </w:tc>
        <w:tc>
          <w:tcPr>
            <w:tcW w:w="180" w:type="dxa"/>
            <w:vAlign w:val="bottom"/>
          </w:tcPr>
          <w:p>
            <w:pPr>
              <w:spacing w:after="0"/>
              <w:rPr>
                <w:sz w:val="21"/>
                <w:szCs w:val="21"/>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13,736</w:t>
            </w:r>
          </w:p>
        </w:tc>
        <w:tc>
          <w:tcPr>
            <w:tcW w:w="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71"/>
        </w:trPr>
        <w:tc>
          <w:tcPr>
            <w:tcW w:w="20" w:type="dxa"/>
            <w:vAlign w:val="bottom"/>
          </w:tcPr>
          <w:p>
            <w:pPr>
              <w:spacing w:after="0"/>
              <w:rPr>
                <w:sz w:val="23"/>
                <w:szCs w:val="23"/>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19,189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57,530</w:t>
            </w:r>
          </w:p>
        </w:tc>
        <w:tc>
          <w:tcPr>
            <w:tcW w:w="80" w:type="dxa"/>
            <w:vAlign w:val="bottom"/>
            <w:tcBorders>
              <w:bottom w:val="single" w:sz="8" w:color="CCEEFF"/>
            </w:tcBorders>
            <w:shd w:val="clear" w:color="auto" w:fill="CCEEFF"/>
          </w:tcPr>
          <w:p>
            <w:pPr>
              <w:spacing w:after="0"/>
              <w:rPr>
                <w:sz w:val="23"/>
                <w:szCs w:val="23"/>
                <w:color w:val="auto"/>
              </w:rPr>
            </w:pP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Finance lease cost and sublease income were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-98425</wp:posOffset>
            </wp:positionV>
            <wp:extent cx="2872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were as follows: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2019</w:t>
            </w:r>
          </w:p>
        </w:tc>
        <w:tc>
          <w:tcPr>
            <w:tcW w:w="220" w:type="dxa"/>
            <w:vAlign w:val="bottom"/>
          </w:tcPr>
          <w:p>
            <w:pPr>
              <w:spacing w:after="0"/>
              <w:rPr>
                <w:sz w:val="20"/>
                <w:szCs w:val="20"/>
                <w:color w:val="auto"/>
              </w:rPr>
            </w:pPr>
          </w:p>
        </w:tc>
        <w:tc>
          <w:tcPr>
            <w:tcW w:w="200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September 30, 2019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80" w:type="dxa"/>
            <w:vAlign w:val="bottom"/>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13,836</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39,237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Operating cash flows from finance leases</w:t>
            </w: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80" w:type="dxa"/>
            <w:vAlign w:val="bottom"/>
          </w:tcPr>
          <w:p>
            <w:pPr>
              <w:ind w:left="100"/>
              <w:spacing w:after="0"/>
              <w:rPr>
                <w:sz w:val="20"/>
                <w:szCs w:val="20"/>
                <w:color w:val="auto"/>
              </w:rPr>
            </w:pPr>
            <w:r>
              <w:rPr>
                <w:rFonts w:ascii="Arial" w:cs="Arial" w:eastAsia="Arial" w:hAnsi="Arial"/>
                <w:sz w:val="18"/>
                <w:szCs w:val="18"/>
                <w:color w:val="auto"/>
              </w:rPr>
              <w:t>Financing cash flows from finance leases</w:t>
            </w:r>
          </w:p>
        </w:tc>
        <w:tc>
          <w:tcPr>
            <w:tcW w:w="18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14,433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40,993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Right-of-use assets obtained in exchange for new lease obligations: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Operating leases</w:t>
            </w: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9,632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28,566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80" w:type="dxa"/>
            <w:vAlign w:val="bottom"/>
          </w:tcPr>
          <w:p>
            <w:pPr>
              <w:ind w:left="10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10,092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Supplemental balance sheet information related to leases were as follows:</w:t>
            </w:r>
          </w:p>
        </w:tc>
        <w:tc>
          <w:tcPr>
            <w:tcW w:w="1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9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September 30, 2019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8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80" w:type="dxa"/>
            <w:vAlign w:val="bottom"/>
          </w:tcPr>
          <w:p>
            <w:pPr>
              <w:ind w:left="100"/>
              <w:spacing w:after="0"/>
              <w:rPr>
                <w:sz w:val="20"/>
                <w:szCs w:val="20"/>
                <w:color w:val="auto"/>
              </w:rPr>
            </w:pPr>
            <w:r>
              <w:rPr>
                <w:rFonts w:ascii="Arial" w:cs="Arial" w:eastAsia="Arial" w:hAnsi="Arial"/>
                <w:sz w:val="18"/>
                <w:szCs w:val="18"/>
                <w:color w:val="auto"/>
              </w:rPr>
              <w:t>Right of use assets:</w:t>
            </w:r>
          </w:p>
        </w:tc>
        <w:tc>
          <w:tcPr>
            <w:tcW w:w="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assets and deferred charges</w:t>
            </w:r>
          </w:p>
        </w:tc>
        <w:tc>
          <w:tcPr>
            <w:tcW w:w="18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151,655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Other accrued expenses</w:t>
            </w:r>
          </w:p>
        </w:tc>
        <w:tc>
          <w:tcPr>
            <w:tcW w:w="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41,719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117,595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80" w:type="dxa"/>
            <w:vAlign w:val="bottom"/>
          </w:tcPr>
          <w:p>
            <w:pPr>
              <w:ind w:left="10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159,314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Right of use assets:</w:t>
            </w: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 xml:space="preserve">Property, plant and equipment, net </w:t>
            </w:r>
            <w:r>
              <w:rPr>
                <w:rFonts w:ascii="Arial" w:cs="Arial" w:eastAsia="Arial" w:hAnsi="Arial"/>
                <w:sz w:val="23"/>
                <w:szCs w:val="23"/>
                <w:color w:val="auto"/>
                <w:vertAlign w:val="superscript"/>
              </w:rPr>
              <w:t>(1)</w:t>
            </w:r>
          </w:p>
        </w:tc>
        <w:tc>
          <w:tcPr>
            <w:tcW w:w="180" w:type="dxa"/>
            <w:vAlign w:val="bottom"/>
            <w:tcBorders>
              <w:bottom w:val="single" w:sz="8" w:color="CCEEFF"/>
            </w:tcBorders>
          </w:tcPr>
          <w:p>
            <w:pPr>
              <w:spacing w:after="0"/>
              <w:rPr>
                <w:sz w:val="23"/>
                <w:szCs w:val="23"/>
                <w:color w:val="auto"/>
              </w:rPr>
            </w:pPr>
          </w:p>
        </w:tc>
        <w:tc>
          <w:tcPr>
            <w:tcW w:w="20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8,678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80" w:type="dxa"/>
            <w:vAlign w:val="bottom"/>
          </w:tcPr>
          <w:p>
            <w:pPr>
              <w:ind w:left="100"/>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7,939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6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financing lease liabilities</w:t>
            </w:r>
          </w:p>
        </w:tc>
        <w:tc>
          <w:tcPr>
            <w:tcW w:w="18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Finance lease assets are recorded net of accumulated depreciation of $4,203.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w w:val="94"/>
              </w:rPr>
              <w:t>The aggregate future lease payments for operating and finance leases as of September 30, 2019 were as follows: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8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Operating</w:t>
            </w:r>
          </w:p>
        </w:tc>
        <w:tc>
          <w:tcPr>
            <w:tcW w:w="220" w:type="dxa"/>
            <w:vAlign w:val="bottom"/>
          </w:tcPr>
          <w:p>
            <w:pPr>
              <w:spacing w:after="0"/>
              <w:rPr>
                <w:sz w:val="23"/>
                <w:szCs w:val="23"/>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Finance</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(excluding the nine months ending September 30,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12,410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523</w:t>
            </w: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43,000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2,069</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33,983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1,962</w:t>
            </w: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24,536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1,651</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16,018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1,219</w:t>
            </w: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46,931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3,925</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176,878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11,349</w:t>
            </w: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(17,564)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(1,809)</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159,314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9,540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future lease payments for operating and capital leases as of December 31, 2018 were as follows: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130"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Operating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3"/>
              </w:rPr>
              <w:t>Capital</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49,009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1,802</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1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38,620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1,748</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29,396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1,687</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1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21,767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1,392</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13,994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952</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42,087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3,802</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194,873</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11,383</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Average lease terms and discount rates were as follows:</w:t>
            </w:r>
          </w:p>
        </w:tc>
        <w:tc>
          <w:tcPr>
            <w:tcW w:w="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70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20" w:type="dxa"/>
            <w:vAlign w:val="bottom"/>
            <w:gridSpan w:val="8"/>
          </w:tcPr>
          <w:p>
            <w:pPr>
              <w:ind w:left="340"/>
              <w:spacing w:after="0"/>
              <w:rPr>
                <w:sz w:val="20"/>
                <w:szCs w:val="20"/>
                <w:color w:val="auto"/>
              </w:rPr>
            </w:pPr>
            <w:r>
              <w:rPr>
                <w:rFonts w:ascii="Arial" w:cs="Arial" w:eastAsia="Arial" w:hAnsi="Arial"/>
                <w:sz w:val="18"/>
                <w:szCs w:val="18"/>
                <w:b w:val="1"/>
                <w:bCs w:val="1"/>
                <w:color w:val="auto"/>
              </w:rPr>
              <w:t>September 30, 2019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gridSpan w:val="2"/>
            <w:vMerge w:val="restart"/>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Operating leases</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Finance leases</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67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Operating leases</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67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27"/>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9. Goodwill and Other Intangible Assets</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80" w:type="dxa"/>
            <w:vAlign w:val="bottom"/>
            <w:gridSpan w:val="9"/>
          </w:tcPr>
          <w:p>
            <w:pPr>
              <w:spacing w:after="0"/>
              <w:rPr>
                <w:sz w:val="20"/>
                <w:szCs w:val="20"/>
                <w:color w:val="auto"/>
              </w:rPr>
            </w:pPr>
            <w:r>
              <w:rPr>
                <w:rFonts w:ascii="Arial" w:cs="Arial" w:eastAsia="Arial" w:hAnsi="Arial"/>
                <w:sz w:val="18"/>
                <w:szCs w:val="18"/>
                <w:color w:val="auto"/>
              </w:rPr>
              <w:t>The changes in the carrying value of goodwill by reportable operating segments were as follows:</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Refrigeration &amp;</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Engineered Systems</w:t>
            </w:r>
          </w:p>
        </w:tc>
        <w:tc>
          <w:tcPr>
            <w:tcW w:w="34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Fluids</w:t>
            </w:r>
          </w:p>
        </w:tc>
        <w:tc>
          <w:tcPr>
            <w:tcW w:w="170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9"/>
              </w:rPr>
              <w:t>Food Equipment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1,623,660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1,507,602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546,066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3,677,328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4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119,363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119,363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Disposition of business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4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(18,082)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(12,855)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(31,524)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2019</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1,605,578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1,609,371</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545,479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3,760,428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2019, the Company recorded additions of $119,363 to goodwill as a result of the acquisitions with the Fluids segment discussed in Note 4 — Acquisitions. During the nine months ended September 30, 2019, the Company disposed of $4,739 of the Fluids segment goodwill as a result of the sale of a business as discussed in Note 5 — Disposed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definite-lived and indefinite-lived intangible assets by major asset class were as follows: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9"/>
              </w:rPr>
              <w:t>September 30, 2019</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20" w:type="dxa"/>
            <w:vAlign w:val="bottom"/>
            <w:gridSpan w:val="4"/>
          </w:tcPr>
          <w:p>
            <w:pPr>
              <w:ind w:left="100"/>
              <w:spacing w:after="0"/>
              <w:rPr>
                <w:sz w:val="20"/>
                <w:szCs w:val="20"/>
                <w:color w:val="auto"/>
              </w:rPr>
            </w:pPr>
            <w:r>
              <w:rPr>
                <w:rFonts w:ascii="Arial" w:cs="Arial" w:eastAsia="Arial" w:hAnsi="Arial"/>
                <w:sz w:val="18"/>
                <w:szCs w:val="18"/>
                <w:b w:val="1"/>
                <w:bCs w:val="1"/>
                <w:color w:val="auto"/>
                <w:w w:val="98"/>
              </w:rPr>
              <w:t>December 31, 2018</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60" w:type="dxa"/>
            <w:vAlign w:val="bottom"/>
          </w:tcPr>
          <w:p>
            <w:pPr>
              <w:spacing w:after="0"/>
              <w:rPr>
                <w:sz w:val="18"/>
                <w:szCs w:val="18"/>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3"/>
              </w:rPr>
              <w:t>Gross 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Net Carrying</w:t>
            </w: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3"/>
              </w:rPr>
              <w:t>Gross 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Net Carrying</w:t>
            </w:r>
          </w:p>
        </w:tc>
        <w:tc>
          <w:tcPr>
            <w:tcW w:w="0" w:type="dxa"/>
            <w:vAlign w:val="bottom"/>
          </w:tcPr>
          <w:p>
            <w:pPr>
              <w:spacing w:after="0"/>
              <w:rPr>
                <w:sz w:val="1"/>
                <w:szCs w:val="1"/>
                <w:color w:val="auto"/>
              </w:rPr>
            </w:pPr>
          </w:p>
        </w:tc>
      </w:tr>
      <w:tr>
        <w:trPr>
          <w:trHeight w:val="32"/>
        </w:trPr>
        <w:tc>
          <w:tcPr>
            <w:tcW w:w="286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2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line="20" w:lineRule="exact"/>
              <w:rPr>
                <w:sz w:val="1"/>
                <w:szCs w:val="1"/>
                <w:color w:val="auto"/>
              </w:rPr>
            </w:pPr>
          </w:p>
        </w:tc>
      </w:tr>
      <w:tr>
        <w:trPr>
          <w:trHeight w:val="230"/>
        </w:trPr>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Customer intangibles</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1,401,618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687,947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713,671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1,395,742</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645,305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750,437</w:t>
            </w:r>
          </w:p>
        </w:tc>
        <w:tc>
          <w:tcPr>
            <w:tcW w:w="0" w:type="dxa"/>
            <w:vAlign w:val="bottom"/>
          </w:tcPr>
          <w:p>
            <w:pPr>
              <w:spacing w:after="0"/>
              <w:rPr>
                <w:sz w:val="1"/>
                <w:szCs w:val="1"/>
                <w:color w:val="auto"/>
              </w:rPr>
            </w:pPr>
          </w:p>
        </w:tc>
      </w:tr>
      <w:tr>
        <w:trPr>
          <w:trHeight w:val="243"/>
        </w:trPr>
        <w:tc>
          <w:tcPr>
            <w:tcW w:w="2860" w:type="dxa"/>
            <w:vAlign w:val="bottom"/>
          </w:tcPr>
          <w:p>
            <w:pPr>
              <w:ind w:left="440"/>
              <w:spacing w:after="0"/>
              <w:rPr>
                <w:sz w:val="20"/>
                <w:szCs w:val="20"/>
                <w:color w:val="auto"/>
              </w:rPr>
            </w:pPr>
            <w:r>
              <w:rPr>
                <w:rFonts w:ascii="Arial" w:cs="Arial" w:eastAsia="Arial" w:hAnsi="Arial"/>
                <w:sz w:val="18"/>
                <w:szCs w:val="18"/>
                <w:color w:val="auto"/>
              </w:rPr>
              <w:t>Trademarks</w:t>
            </w: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216,706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81,503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135,203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214,774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72,305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142,469</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Patents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159,291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132,294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26,997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128,254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16,048</w:t>
            </w:r>
          </w:p>
        </w:tc>
        <w:tc>
          <w:tcPr>
            <w:tcW w:w="0" w:type="dxa"/>
            <w:vAlign w:val="bottom"/>
          </w:tcPr>
          <w:p>
            <w:pPr>
              <w:spacing w:after="0"/>
              <w:rPr>
                <w:sz w:val="1"/>
                <w:szCs w:val="1"/>
                <w:color w:val="auto"/>
              </w:rPr>
            </w:pPr>
          </w:p>
        </w:tc>
      </w:tr>
      <w:tr>
        <w:trPr>
          <w:trHeight w:val="243"/>
        </w:trPr>
        <w:tc>
          <w:tcPr>
            <w:tcW w:w="2860" w:type="dxa"/>
            <w:vAlign w:val="bottom"/>
          </w:tcPr>
          <w:p>
            <w:pPr>
              <w:ind w:left="440"/>
              <w:spacing w:after="0"/>
              <w:rPr>
                <w:sz w:val="20"/>
                <w:szCs w:val="20"/>
                <w:color w:val="auto"/>
              </w:rPr>
            </w:pPr>
            <w:r>
              <w:rPr>
                <w:rFonts w:ascii="Arial" w:cs="Arial" w:eastAsia="Arial" w:hAnsi="Arial"/>
                <w:sz w:val="18"/>
                <w:szCs w:val="18"/>
                <w:color w:val="auto"/>
              </w:rPr>
              <w:t>Unpatented technologies</w:t>
            </w: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153,528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95,583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57,945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155,380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85,560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69,820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Distributor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81,215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42,137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39,078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82,970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37,943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45,027</w:t>
            </w:r>
          </w:p>
        </w:tc>
        <w:tc>
          <w:tcPr>
            <w:tcW w:w="0" w:type="dxa"/>
            <w:vAlign w:val="bottom"/>
          </w:tcPr>
          <w:p>
            <w:pPr>
              <w:spacing w:after="0"/>
              <w:rPr>
                <w:sz w:val="1"/>
                <w:szCs w:val="1"/>
                <w:color w:val="auto"/>
              </w:rPr>
            </w:pPr>
          </w:p>
        </w:tc>
      </w:tr>
      <w:tr>
        <w:trPr>
          <w:trHeight w:val="243"/>
        </w:trPr>
        <w:tc>
          <w:tcPr>
            <w:tcW w:w="2860" w:type="dxa"/>
            <w:vAlign w:val="bottom"/>
          </w:tcPr>
          <w:p>
            <w:pPr>
              <w:ind w:left="440"/>
              <w:spacing w:after="0"/>
              <w:rPr>
                <w:sz w:val="20"/>
                <w:szCs w:val="20"/>
                <w:color w:val="auto"/>
              </w:rPr>
            </w:pPr>
            <w:r>
              <w:rPr>
                <w:rFonts w:ascii="Arial" w:cs="Arial" w:eastAsia="Arial" w:hAnsi="Arial"/>
                <w:sz w:val="18"/>
                <w:szCs w:val="18"/>
                <w:color w:val="auto"/>
              </w:rPr>
              <w:t>Drawings &amp; manuals</w:t>
            </w: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27,201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21,586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5,615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31,849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23,273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8,576</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21,740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16,739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21,046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2,061,299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1,077,789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983,510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2,046,063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1,008,475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1,037,588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Unamortized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440"/>
              <w:spacing w:after="0"/>
              <w:rPr>
                <w:sz w:val="20"/>
                <w:szCs w:val="20"/>
                <w:color w:val="auto"/>
              </w:rPr>
            </w:pPr>
            <w:r>
              <w:rPr>
                <w:rFonts w:ascii="Arial" w:cs="Arial" w:eastAsia="Arial" w:hAnsi="Arial"/>
                <w:sz w:val="18"/>
                <w:szCs w:val="18"/>
                <w:color w:val="auto"/>
              </w:rPr>
              <w:t>Trademarks</w:t>
            </w: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96,620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96,620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96,668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96,668</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2,157,919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1,077,789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1,080,130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2,142,731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1,008,475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1,134,256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expense was $34,642 and $35,576, respectively, including acquisition-related intangible amortization of $34,157 and $35,258 for the three months ended September 30, 2019 and 2018, respectively. For the nine months ended September 30, 2019 and 2018, amortization expense was $104,930 and $108,393, respectively, including acquisition-related intangible amortization of $103,531 and $107,092,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10. Restructuring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212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80"/>
        </w:trPr>
        <w:tc>
          <w:tcPr>
            <w:tcW w:w="5220" w:type="dxa"/>
            <w:vAlign w:val="bottom"/>
            <w:gridSpan w:val="2"/>
          </w:tcPr>
          <w:p>
            <w:pPr>
              <w:spacing w:after="0"/>
              <w:rPr>
                <w:sz w:val="20"/>
                <w:szCs w:val="20"/>
                <w:color w:val="auto"/>
              </w:rPr>
            </w:pPr>
            <w:r>
              <w:rPr>
                <w:rFonts w:ascii="Arial" w:cs="Arial" w:eastAsia="Arial" w:hAnsi="Arial"/>
                <w:sz w:val="18"/>
                <w:szCs w:val="18"/>
                <w:color w:val="auto"/>
                <w:w w:val="97"/>
              </w:rPr>
              <w:t>The Company's restructuring charges by segment were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212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318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300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2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1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2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Engineered Systems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10,637</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13,872</w:t>
            </w:r>
          </w:p>
        </w:tc>
      </w:tr>
      <w:tr>
        <w:trPr>
          <w:trHeight w:val="24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Fluids</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10,473</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5,128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16,021</w:t>
            </w:r>
          </w:p>
        </w:tc>
      </w:tr>
      <w:tr>
        <w:trPr>
          <w:trHeight w:val="27"/>
        </w:trPr>
        <w:tc>
          <w:tcPr>
            <w:tcW w:w="52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Refrigeration &amp; Food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452</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598</w:t>
            </w:r>
          </w:p>
        </w:tc>
      </w:tr>
      <w:tr>
        <w:trPr>
          <w:trHeight w:val="24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2,639</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5,932</w:t>
            </w:r>
          </w:p>
        </w:tc>
      </w:tr>
      <w:tr>
        <w:trPr>
          <w:trHeight w:val="27"/>
        </w:trPr>
        <w:tc>
          <w:tcPr>
            <w:tcW w:w="52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3,336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24,201</w:t>
            </w:r>
          </w:p>
        </w:tc>
        <w:tc>
          <w:tcPr>
            <w:tcW w:w="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12,010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36,423</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These amounts are classified in the Condensed Consolidated Statements of Earnings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2,073</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3,586</w:t>
            </w:r>
          </w:p>
        </w:tc>
        <w:tc>
          <w:tcPr>
            <w:tcW w:w="1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4,435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7,985</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5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20,615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7,575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28,438</w:t>
            </w:r>
          </w:p>
        </w:tc>
      </w:tr>
      <w:tr>
        <w:trPr>
          <w:trHeight w:val="27"/>
        </w:trPr>
        <w:tc>
          <w:tcPr>
            <w:tcW w:w="5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3,336</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24,201</w:t>
            </w:r>
          </w:p>
        </w:tc>
        <w:tc>
          <w:tcPr>
            <w:tcW w:w="1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12,010</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36,423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restructuring expenses of $3,336 and $12,010 incurred during the three and nine months ended September 30, 2019, respectively, were primarily related to two significant rightsizing restructuring programs initiated in 2018 comprised principally of broad-based selling, general and administrative expense reduction and footprint consolidation initiatives designed to increase operating margin, enhance operations and position the Company for sustained growth and investment.</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2019, the Company expects to incur charges of approximately $9 million related to the selling, general and administrative expense reduction initiatives, $7 million of which was incurred during the nine months ended September 30, 2019 and $2 million of which the Company expects to incur during the remainder of 2019. In 2019 and 2020, the Company expects to incur total restructuring charges of approximately $10 million related to footprint consolidation initiatives, $4 million of which was incurred during the nine months ended September 30, 2019 and $6 million of which the Company expects to incur in the remainder of 2019 through 2020. Additional programs, beyond the scope of the announced programs, are expected to be implemented during 2019 with related restructuring charges.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30" w:right="2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$3,336 of restructuring charges incurred during the third quarter of 2019 primarily included the following items:</w:t>
      </w:r>
    </w:p>
    <w:p>
      <w:pPr>
        <w:spacing w:after="0" w:line="23" w:lineRule="exact"/>
        <w:rPr>
          <w:sz w:val="20"/>
          <w:szCs w:val="20"/>
          <w:color w:val="auto"/>
        </w:rPr>
      </w:pPr>
    </w:p>
    <w:p>
      <w:pPr>
        <w:ind w:left="340" w:hanging="332"/>
        <w:spacing w:after="0" w:line="26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Engineered Systems segment recorded $852 of restructuring charges related to programs focused on headcount reductions and facility restructuring costs.</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Fluids segment recorded $1,732 of restructuring charges principally related to headcount reductions.</w:t>
      </w:r>
    </w:p>
    <w:p>
      <w:pPr>
        <w:spacing w:after="0" w:line="25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Refrigeration and Food Equipment segment recorded $495 of restructuring expense primarily due to headcount reductions and facility restructuring costs.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recorded $257 of restructuring charges primarily related to headcount reductions.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The Company’s severance and exit accrual activities were as follows: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6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Severance</w:t>
            </w:r>
          </w:p>
        </w:tc>
        <w:tc>
          <w:tcPr>
            <w:tcW w:w="320" w:type="dxa"/>
            <w:vAlign w:val="bottom"/>
          </w:tcPr>
          <w:p>
            <w:pPr>
              <w:spacing w:after="0"/>
              <w:rPr>
                <w:sz w:val="23"/>
                <w:szCs w:val="23"/>
                <w:color w:val="auto"/>
              </w:rPr>
            </w:pPr>
          </w:p>
        </w:tc>
        <w:tc>
          <w:tcPr>
            <w:tcW w:w="1060" w:type="dxa"/>
            <w:vAlign w:val="bottom"/>
          </w:tcPr>
          <w:p>
            <w:pPr>
              <w:ind w:left="200"/>
              <w:spacing w:after="0"/>
              <w:rPr>
                <w:sz w:val="20"/>
                <w:szCs w:val="20"/>
                <w:color w:val="auto"/>
              </w:rPr>
            </w:pPr>
            <w:r>
              <w:rPr>
                <w:rFonts w:ascii="Arial" w:cs="Arial" w:eastAsia="Arial" w:hAnsi="Arial"/>
                <w:sz w:val="18"/>
                <w:szCs w:val="18"/>
                <w:b w:val="1"/>
                <w:bCs w:val="1"/>
                <w:color w:val="auto"/>
              </w:rPr>
              <w:t>Exit</w:t>
            </w: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6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24,284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88"/>
              </w:rPr>
              <w:t>3,880</w:t>
            </w: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28,164</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8,695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center"/>
              <w:ind w:left="250"/>
              <w:spacing w:after="0"/>
              <w:rPr>
                <w:sz w:val="20"/>
                <w:szCs w:val="20"/>
                <w:color w:val="auto"/>
              </w:rPr>
            </w:pPr>
            <w:r>
              <w:rPr>
                <w:rFonts w:ascii="Arial" w:cs="Arial" w:eastAsia="Arial" w:hAnsi="Arial"/>
                <w:sz w:val="18"/>
                <w:szCs w:val="18"/>
                <w:color w:val="auto"/>
                <w:w w:val="88"/>
              </w:rPr>
              <w:t>3,315</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12,010</w:t>
            </w:r>
          </w:p>
        </w:tc>
      </w:tr>
      <w:tr>
        <w:trPr>
          <w:trHeight w:val="27"/>
        </w:trPr>
        <w:tc>
          <w:tcPr>
            <w:tcW w:w="6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1"/>
              </w:rPr>
              <w:t>(2,336)</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(25,919)</w:t>
            </w:r>
          </w:p>
        </w:tc>
      </w:tr>
      <w:tr>
        <w:trPr>
          <w:trHeight w:val="267"/>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including foreign currency translation</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1"/>
              </w:rPr>
              <w:t>(2,567)</w:t>
            </w:r>
          </w:p>
        </w:tc>
        <w:tc>
          <w:tcPr>
            <w:tcW w:w="320" w:type="dxa"/>
            <w:vAlign w:val="bottom"/>
            <w:tcBorders>
              <w:bottom w:val="single" w:sz="8" w:color="CCEEFF"/>
            </w:tcBorders>
          </w:tcPr>
          <w:p>
            <w:pPr>
              <w:jc w:val="right"/>
              <w:ind w:right="100"/>
              <w:spacing w:after="0"/>
              <w:rPr>
                <w:sz w:val="20"/>
                <w:szCs w:val="20"/>
                <w:color w:val="auto"/>
              </w:rPr>
            </w:pPr>
            <w:r>
              <w:rPr>
                <w:rFonts w:ascii="Arial" w:cs="Arial" w:eastAsia="Arial" w:hAnsi="Arial"/>
                <w:sz w:val="12"/>
                <w:szCs w:val="12"/>
                <w:color w:val="auto"/>
                <w:w w:val="81"/>
              </w:rPr>
              <w:t>(1)</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(3,211)</w:t>
            </w:r>
          </w:p>
        </w:tc>
      </w:tr>
      <w:tr>
        <w:trPr>
          <w:trHeight w:val="28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2019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8,752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8"/>
              </w:rPr>
              <w:t>2,292</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11,044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hanging="170"/>
        <w:spacing w:after="0" w:line="223" w:lineRule="auto"/>
        <w:tabs>
          <w:tab w:leader="none" w:pos="342" w:val="left"/>
        </w:tabs>
        <w:numPr>
          <w:ilvl w:val="1"/>
          <w:numId w:val="5"/>
        </w:numPr>
        <w:rPr>
          <w:rFonts w:ascii="Arial" w:cs="Arial" w:eastAsia="Arial" w:hAnsi="Arial"/>
          <w:sz w:val="21"/>
          <w:szCs w:val="21"/>
          <w:color w:val="auto"/>
          <w:vertAlign w:val="superscript"/>
        </w:rPr>
      </w:pPr>
      <w:r>
        <w:rPr>
          <w:rFonts w:ascii="Arial" w:cs="Arial" w:eastAsia="Arial" w:hAnsi="Arial"/>
          <w:sz w:val="16"/>
          <w:szCs w:val="16"/>
          <w:color w:val="auto"/>
        </w:rPr>
        <w:t>Other activity in exit reserves primarily represents the non-cash write-off of certain long-lived assets and inventory in connection with certain facility closures and product exits.</w:t>
      </w:r>
    </w:p>
    <w:p>
      <w:pPr>
        <w:spacing w:after="0" w:line="217" w:lineRule="exact"/>
        <w:rPr>
          <w:rFonts w:ascii="Arial" w:cs="Arial" w:eastAsia="Arial" w:hAnsi="Arial"/>
          <w:sz w:val="21"/>
          <w:szCs w:val="21"/>
          <w:color w:val="auto"/>
          <w:vertAlign w:val="superscript"/>
        </w:rPr>
      </w:pPr>
    </w:p>
    <w:p>
      <w:pPr>
        <w:ind w:left="260" w:hanging="252"/>
        <w:spacing w:after="0"/>
        <w:tabs>
          <w:tab w:leader="none" w:pos="260" w:val="left"/>
        </w:tabs>
        <w:numPr>
          <w:ilvl w:val="0"/>
          <w:numId w:val="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Borrowings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Borrowings consisted of the following:</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56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Short-term</w:t>
            </w: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182,700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220,318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Notes payable</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182,700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220,318</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5"/>
          </w:tcPr>
          <w:p>
            <w:pPr>
              <w:ind w:left="660"/>
              <w:spacing w:after="0"/>
              <w:rPr>
                <w:sz w:val="20"/>
                <w:szCs w:val="20"/>
                <w:color w:val="auto"/>
              </w:rPr>
            </w:pPr>
            <w:r>
              <w:rPr>
                <w:rFonts w:ascii="Arial" w:cs="Arial" w:eastAsia="Arial" w:hAnsi="Arial"/>
                <w:sz w:val="18"/>
                <w:szCs w:val="18"/>
                <w:b w:val="1"/>
                <w:bCs w:val="1"/>
                <w:color w:val="auto"/>
              </w:rPr>
              <w:t xml:space="preserve">Carrying amount </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Principal</w:t>
            </w:r>
          </w:p>
        </w:tc>
        <w:tc>
          <w:tcPr>
            <w:tcW w:w="16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56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Long-term</w:t>
            </w: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2.125% 7-year notes due December 1, 2020 (euro-denominated)</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327,726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339,657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4.30% 10-year notes due March 1, 2021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449,477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449,200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3.150% 10-year notes due November 15, 2025</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395,874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395,368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1.25% 10-year notes due November 9, 2026 (euro-denominated)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648,551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672,103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6.65% 30-year debentures due June 1, 2028</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199,130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199,054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5.375% 30-year debentures due October 15, 2035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295,998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295,811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6.60% 30-year notes due March 15, 2038</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247,911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247,827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5.375% 30-year notes due March 1, 2041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344,062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343,877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Total long-term debt</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2,908,729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2,943,660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500" w:hanging="168"/>
        <w:spacing w:after="0"/>
        <w:tabs>
          <w:tab w:leader="none" w:pos="500"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Carrying amount is net of unamortized debt discount and deferred debt issuance costs. Total unamortized debt discounts were</w:t>
      </w:r>
    </w:p>
    <w:p>
      <w:pPr>
        <w:ind w:left="340" w:right="20"/>
        <w:spacing w:after="0" w:line="257" w:lineRule="auto"/>
        <w:rPr>
          <w:sz w:val="20"/>
          <w:szCs w:val="20"/>
          <w:color w:val="auto"/>
        </w:rPr>
      </w:pPr>
      <w:r>
        <w:rPr>
          <w:rFonts w:ascii="Arial" w:cs="Arial" w:eastAsia="Arial" w:hAnsi="Arial"/>
          <w:sz w:val="16"/>
          <w:szCs w:val="16"/>
          <w:color w:val="auto"/>
        </w:rPr>
        <w:t>$14.5 million and $15.8 million as of September 30, 2019 and December 31, 2018, respectively. Total deferred debt issuance costs were $11.6 million and $13.0 million as of September 30, 2019 and December 31, 2018, respectively.</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30"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2019, the Company maintained a $1.0 billion five-year unsecured revolving credit facility (the "Credit Agreement") with a syndicate of banks which expires on November 10, 2020. The Company was in compliance with all covenants in the Credit Agreement and other long-term debt covenants at September 30, 2019 and had an interest coverage ratio of consolidated EBITDA to consolidated net interest expense of 10.5 to 1.0. The Company uses the Credit Agreement as liquidity back-up for its commercial paper program and has not drawn down any loans under the Credit Agreement and does not anticipate doing so. The Company generally uses commercial paper borrowings for general corporate purposes, funding of acquisitions and repurchases of its common stock. On October 4, 2019, the Company entered into a new credit facility and terminated the Credit Agreement, as discussed in Note 22 — Subsequent Events.</w:t>
      </w:r>
    </w:p>
    <w:p>
      <w:pPr>
        <w:spacing w:after="0" w:line="2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September 30, 2019, the Company had approximately $145.5 million outstanding in letters of credit, surety bonds, and performance and other guarantees which expire on various dates through 2028. These letters of credit and bonds are primarily issued as security for insurance, warranty and other performance obligations. In general, we would only be liable for the amount of these guarantees in the event of default in the performance of our obligations.</w:t>
      </w:r>
    </w:p>
    <w:p>
      <w:pPr>
        <w:spacing w:after="0" w:line="170" w:lineRule="exact"/>
        <w:rPr>
          <w:sz w:val="20"/>
          <w:szCs w:val="20"/>
          <w:color w:val="auto"/>
        </w:rPr>
      </w:pPr>
    </w:p>
    <w:p>
      <w:pPr>
        <w:ind w:right="9440" w:firstLine="8"/>
        <w:spacing w:after="0" w:line="566" w:lineRule="auto"/>
        <w:tabs>
          <w:tab w:leader="none" w:pos="270" w:val="left"/>
        </w:tabs>
        <w:numPr>
          <w:ilvl w:val="0"/>
          <w:numId w:val="8"/>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 xml:space="preserve">Financial Instruments </w:t>
      </w:r>
      <w:r>
        <w:rPr>
          <w:rFonts w:ascii="Arial" w:cs="Arial" w:eastAsia="Arial" w:hAnsi="Arial"/>
          <w:sz w:val="17"/>
          <w:szCs w:val="17"/>
          <w:b w:val="1"/>
          <w:bCs w:val="1"/>
          <w:color w:val="auto"/>
        </w:rPr>
        <w:t>Derivatives</w:t>
      </w:r>
    </w:p>
    <w:p>
      <w:pPr>
        <w:jc w:val="both"/>
        <w:spacing w:after="0" w:line="297" w:lineRule="auto"/>
        <w:rPr>
          <w:sz w:val="20"/>
          <w:szCs w:val="20"/>
          <w:color w:val="auto"/>
        </w:rPr>
      </w:pPr>
      <w:r>
        <w:rPr>
          <w:rFonts w:ascii="Arial" w:cs="Arial" w:eastAsia="Arial" w:hAnsi="Arial"/>
          <w:sz w:val="16"/>
          <w:szCs w:val="16"/>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to occur within the next twelve months that are denominated in non-functional currencies, with currency forward contracts designated as cash flow hedges. At September 30, 2019 and December 31, 2018, the Company had contracts with total notional amounts of $182,722 and $193,649, respectively, to exchange currencies, principally the Pound Sterling, Euro, Swedish Krona, Chinese Yuan, Canadian Dollar, and Swiss Franc. The Company believes it is probable that all forecasted cash flow transactions will occur.</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had outstanding contracts with a total notional amount of $88,599 and $66,906 as of September 30, 2019 and December 31, 2018, respectively, that are not designated as hedging instruments. These instruments are used to reduce the Company's exposure for operating receivables and payables that are denominated in non-functional currencies. Gains and losses on these contracts are recorded in other income, net in the Condensed Consolidated Statements of Earnings.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fair values of derivative instruments held by the Company as of September 30, 2019 and December 31, 2018 and the balance sheet lines in which they are recorded:</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80" w:type="dxa"/>
            <w:vAlign w:val="bottom"/>
            <w:gridSpan w:val="5"/>
          </w:tcPr>
          <w:p>
            <w:pPr>
              <w:ind w:left="800"/>
              <w:spacing w:after="0"/>
              <w:rPr>
                <w:sz w:val="20"/>
                <w:szCs w:val="20"/>
                <w:color w:val="auto"/>
              </w:rPr>
            </w:pPr>
            <w:r>
              <w:rPr>
                <w:rFonts w:ascii="Arial" w:cs="Arial" w:eastAsia="Arial" w:hAnsi="Arial"/>
                <w:sz w:val="18"/>
                <w:szCs w:val="18"/>
                <w:b w:val="1"/>
                <w:bCs w:val="1"/>
                <w:color w:val="auto"/>
              </w:rPr>
              <w:t>Fair Value Asset (Liability)</w:t>
            </w:r>
          </w:p>
        </w:tc>
        <w:tc>
          <w:tcPr>
            <w:tcW w:w="288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2019</w:t>
            </w:r>
          </w:p>
        </w:tc>
        <w:tc>
          <w:tcPr>
            <w:tcW w:w="16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Balance Sheet Caption</w:t>
            </w:r>
          </w:p>
        </w:tc>
      </w:tr>
      <w:tr>
        <w:trPr>
          <w:trHeight w:val="27"/>
        </w:trPr>
        <w:tc>
          <w:tcPr>
            <w:tcW w:w="4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forward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 Other current assets</w:t>
            </w: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Foreign currency forward</w:t>
            </w:r>
          </w:p>
        </w:tc>
        <w:tc>
          <w:tcPr>
            <w:tcW w:w="1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1"/>
                <w:szCs w:val="21"/>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Other accrued expenses</w:t>
            </w:r>
          </w:p>
        </w:tc>
      </w:tr>
    </w:tbl>
    <w:p>
      <w:pPr>
        <w:spacing w:after="0" w:line="3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 cash flow hedge, the effective portion of the change in estimated fair value of a hedging instrument is recorded in accumulated other comprehensive loss (earnings) as a separate component of the Condensed Consolidated Statement of Stockholders' Equity and is reclassified into revenues and cost of goods and services in the Condensed Consolidated Statements of Earnings during the period in which the hedged transaction is recognized.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2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designated the €600,000 and €300,000 of euro-denominated notes issued November 9, 2016 and December 4, 2013, respectively, as hedges of a portion of its net investment in euro-denominated operations. Changes in the value of the euro-denominated debt are recognized in foreign currency translation adjustments within other comprehensive earnings of the Condensed Consolidated Statements of Comprehensive Earnings to offset changes in the value of the net investment in euro-denominated operations.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130" w:right="2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earnings for the gains (losses) on net investment hedges were as follows: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10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September 30,</w:t>
            </w:r>
          </w:p>
        </w:tc>
        <w:tc>
          <w:tcPr>
            <w:tcW w:w="300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7"/>
        </w:trPr>
        <w:tc>
          <w:tcPr>
            <w:tcW w:w="5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euro-denominated debt</w:t>
            </w:r>
          </w:p>
        </w:tc>
        <w:tc>
          <w:tcPr>
            <w:tcW w:w="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37,783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(6,155)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36,630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88"/>
              </w:rPr>
              <w:t>7,734</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Tax (expense) benefit</w:t>
            </w:r>
          </w:p>
        </w:tc>
        <w:tc>
          <w:tcPr>
            <w:tcW w:w="320" w:type="dxa"/>
            <w:vAlign w:val="bottom"/>
          </w:tcPr>
          <w:p>
            <w:pPr>
              <w:spacing w:after="0"/>
              <w:rPr>
                <w:sz w:val="21"/>
                <w:szCs w:val="21"/>
                <w:color w:val="auto"/>
              </w:rPr>
            </w:pPr>
          </w:p>
        </w:tc>
        <w:tc>
          <w:tcPr>
            <w:tcW w:w="1120" w:type="dxa"/>
            <w:vAlign w:val="bottom"/>
          </w:tcPr>
          <w:p>
            <w:pPr>
              <w:ind w:left="480"/>
              <w:spacing w:after="0"/>
              <w:rPr>
                <w:sz w:val="20"/>
                <w:szCs w:val="20"/>
                <w:color w:val="auto"/>
              </w:rPr>
            </w:pPr>
            <w:r>
              <w:rPr>
                <w:rFonts w:ascii="Arial" w:cs="Arial" w:eastAsia="Arial" w:hAnsi="Arial"/>
                <w:sz w:val="18"/>
                <w:szCs w:val="18"/>
                <w:color w:val="auto"/>
              </w:rPr>
              <w:t>(7,934)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center"/>
              <w:ind w:left="310"/>
              <w:spacing w:after="0"/>
              <w:rPr>
                <w:sz w:val="20"/>
                <w:szCs w:val="20"/>
                <w:color w:val="auto"/>
              </w:rPr>
            </w:pPr>
            <w:r>
              <w:rPr>
                <w:rFonts w:ascii="Arial" w:cs="Arial" w:eastAsia="Arial" w:hAnsi="Arial"/>
                <w:sz w:val="18"/>
                <w:szCs w:val="18"/>
                <w:color w:val="auto"/>
                <w:w w:val="93"/>
              </w:rPr>
              <w:t>1,293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ind w:left="480"/>
              <w:spacing w:after="0"/>
              <w:rPr>
                <w:sz w:val="20"/>
                <w:szCs w:val="20"/>
                <w:color w:val="auto"/>
              </w:rPr>
            </w:pPr>
            <w:r>
              <w:rPr>
                <w:rFonts w:ascii="Arial" w:cs="Arial" w:eastAsia="Arial" w:hAnsi="Arial"/>
                <w:sz w:val="18"/>
                <w:szCs w:val="18"/>
                <w:color w:val="auto"/>
              </w:rPr>
              <w:t>(7,692)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center"/>
              <w:ind w:left="270"/>
              <w:spacing w:after="0"/>
              <w:rPr>
                <w:sz w:val="20"/>
                <w:szCs w:val="20"/>
                <w:color w:val="auto"/>
              </w:rPr>
            </w:pPr>
            <w:r>
              <w:rPr>
                <w:rFonts w:ascii="Arial" w:cs="Arial" w:eastAsia="Arial" w:hAnsi="Arial"/>
                <w:sz w:val="18"/>
                <w:szCs w:val="18"/>
                <w:color w:val="auto"/>
                <w:w w:val="91"/>
              </w:rPr>
              <w:t>(1,624)</w:t>
            </w:r>
          </w:p>
        </w:tc>
      </w:tr>
      <w:tr>
        <w:trPr>
          <w:trHeight w:val="27"/>
        </w:trPr>
        <w:tc>
          <w:tcPr>
            <w:tcW w:w="5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(loss) on net investment hedges, net of tax</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29,849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(4,862)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28,938</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88"/>
              </w:rPr>
              <w:t>6,110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are unobservable inputs in which little or no market data exists, therefore requiring an entity to develop its own assumptions.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September 30, 2019 and December 31, 2018:</w:t>
      </w:r>
    </w:p>
    <w:p>
      <w:pPr>
        <w:sectPr>
          <w:pgSz w:w="11900" w:h="16838" w:orient="portrait"/>
          <w:cols w:equalWidth="0" w:num="1">
            <w:col w:w="11420"/>
          </w:cols>
          <w:pgMar w:left="240" w:top="130" w:right="239" w:bottom="1440" w:gutter="0" w:footer="0" w:header="0"/>
        </w:sectPr>
      </w:pPr>
    </w:p>
    <w:p>
      <w:pPr>
        <w:spacing w:after="0" w:line="4" w:lineRule="exact"/>
        <w:rPr>
          <w:sz w:val="20"/>
          <w:szCs w:val="20"/>
          <w:color w:val="auto"/>
        </w:rPr>
      </w:pPr>
    </w:p>
    <w:p>
      <w:pPr>
        <w:jc w:val="center"/>
        <w:ind w:left="7440"/>
        <w:spacing w:after="0"/>
        <w:rPr>
          <w:sz w:val="20"/>
          <w:szCs w:val="20"/>
          <w:color w:val="auto"/>
        </w:rPr>
      </w:pPr>
      <w:r>
        <w:rPr>
          <w:rFonts w:ascii="Arial" w:cs="Arial" w:eastAsia="Arial" w:hAnsi="Arial"/>
          <w:sz w:val="16"/>
          <w:szCs w:val="16"/>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48895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84"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Level 2</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Arial" w:cs="Arial" w:eastAsia="Arial" w:hAnsi="Arial"/>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48895</wp:posOffset>
            </wp:positionV>
            <wp:extent cx="1311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8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Level 2</w:t>
      </w:r>
    </w:p>
    <w:p>
      <w:pPr>
        <w:spacing w:after="0" w:line="30" w:lineRule="exact"/>
        <w:rPr>
          <w:sz w:val="20"/>
          <w:szCs w:val="20"/>
          <w:color w:val="auto"/>
        </w:rPr>
      </w:pPr>
    </w:p>
    <w:p>
      <w:pPr>
        <w:sectPr>
          <w:pgSz w:w="11900" w:h="16838" w:orient="portrait"/>
          <w:cols w:equalWidth="0" w:num="2">
            <w:col w:w="8960" w:space="680"/>
            <w:col w:w="1780"/>
          </w:cols>
          <w:pgMar w:left="240" w:top="130" w:right="239" w:bottom="1440" w:gutter="0" w:footer="0" w:header="0"/>
          <w:type w:val="continuous"/>
        </w:sectPr>
      </w:pPr>
    </w:p>
    <w:tbl>
      <w:tblPr>
        <w:tblLayout w:type="fixed"/>
        <w:tblInd w:w="20" w:type="dxa"/>
        <w:tblCellMar>
          <w:top w:w="0" w:type="dxa"/>
          <w:left w:w="0" w:type="dxa"/>
          <w:bottom w:w="0" w:type="dxa"/>
          <w:right w:w="0" w:type="dxa"/>
        </w:tblCellMar>
      </w:tblPr>
      <w:tr>
        <w:trPr>
          <w:trHeight w:val="260"/>
        </w:trPr>
        <w:tc>
          <w:tcPr>
            <w:tcW w:w="7140" w:type="dxa"/>
            <w:vAlign w:val="bottom"/>
          </w:tcPr>
          <w:p>
            <w:pPr>
              <w:ind w:left="20"/>
              <w:spacing w:after="0"/>
              <w:rPr>
                <w:sz w:val="20"/>
                <w:szCs w:val="20"/>
                <w:color w:val="auto"/>
              </w:rPr>
            </w:pPr>
            <w:r>
              <w:rPr>
                <w:rFonts w:ascii="Arial" w:cs="Arial" w:eastAsia="Arial" w:hAnsi="Arial"/>
                <w:sz w:val="18"/>
                <w:szCs w:val="18"/>
                <w:color w:val="auto"/>
              </w:rPr>
              <w:t>Assets:</w:t>
            </w:r>
          </w:p>
        </w:tc>
        <w:tc>
          <w:tcPr>
            <w:tcW w:w="8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60"/>
        </w:trPr>
        <w:tc>
          <w:tcPr>
            <w:tcW w:w="7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currency cash flow hedges</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2,052</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1,874</w:t>
            </w: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cash flow hedges</w:t>
            </w:r>
          </w:p>
        </w:tc>
        <w:tc>
          <w:tcPr>
            <w:tcW w:w="8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1,454</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1,165</w:t>
            </w:r>
          </w:p>
        </w:tc>
      </w:tr>
      <w:tr>
        <w:trPr>
          <w:trHeight w:val="27"/>
        </w:trPr>
        <w:tc>
          <w:tcPr>
            <w:tcW w:w="7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fair value disclosure requirements related to financial instruments carried at fair value, accounting standards require interim disclosures regarding the fair value of all of the Company’s financial instruments.</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estimated fair value of long-term debt, net at September 30, 2019 and December 31, 2018, was $3,296,860 and $3,132,330, respectively. The estimated fair value of long-term debt is based on quoted market prices for similar instruments and is, therefore, classified as Level 2 within the fair value hierarchy.</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trade receivables, accounts payable and notes payable are reasonable estimates of their fair values as of September 30, 2019, and December 31, 2018 due to the short-term nature of these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13. Income Taxes</w:t>
      </w:r>
    </w:p>
    <w:p>
      <w:pPr>
        <w:spacing w:after="0" w:line="25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effective tax rates for the three months ended September 30, 2019 and 2018 were 20.1% and 18.5%, respectively. The increase in the effective tax rate for the three months ended September 30, 2019 relative to the prior comparable period was principally due to a higher benefit from the impact of discrete tax items in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30"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effective tax rates for the nine months ended September 30, 2019 and 2018 were 21.1% and 19.6%, respectively. The increase in the effective tax rate for the nine months ended September 30, 2019 relative to the prior comparable period is primarily driven by the exclusion of capital losses on the sale of Finder under local tax law partially offset by the impact of changes in tax law and the impact of other discrete tax items.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discrete items for the three months ended September 30, 2019 primarily resulted from the net tax benefit from stock exercises and favorable audit settlements. The discrete items for the three months ended September 30, 2018 were driven by the net tax benefit from stock exercises. The discrete items for the nine months ended September 30, 2019 primarily resulted from the benefit of stock exercises and favorable audit settlements partially offset by the exclusion of capital losses on the sale of Finder under local tax law. The discrete items for the nine months ended September 30, 2018 primarily resulted from the benefit of stock exercises and favorable audit settlements.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Dover and its subsidiaries file tax returns in the U.S., including various state and local returns, and in other foreign jurisdictions. We believe adequate provision has been made for all income tax uncertainties. The Company is routinely audited by taxing 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zero to $11.5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14. Equity Incentive Program</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typically grants equity awards annually at its regularly scheduled first quarter meeting of the Compensation Committee of the Board of Directors. Additionally, in the second quarter of 2018, the Company granted equity awards to its new President and Chief Executive Officer. During the nine months ended September 30, 2019, the Company issued stock-settled appreciation rights ("SARs") covering 615,089 shares, performance share awards of 35,172 and restricted stock units ("RSUs") of 124,929.</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SARs is based on the U.S. Treasury yield curve in effect at the time of grant.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range of assumptions used in determining the fair value of the SARs awarded during the respective periods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SARs</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78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782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9"/>
              </w:rPr>
              <w:t>2018</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88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8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880" w:type="dxa"/>
            <w:vAlign w:val="bottom"/>
          </w:tcPr>
          <w:p>
            <w:pPr>
              <w:jc w:val="right"/>
              <w:spacing w:after="0"/>
              <w:rPr>
                <w:sz w:val="20"/>
                <w:szCs w:val="20"/>
                <w:color w:val="auto"/>
              </w:rPr>
            </w:pPr>
            <w:r>
              <w:rPr>
                <w:rFonts w:ascii="Arial" w:cs="Arial" w:eastAsia="Arial" w:hAnsi="Arial"/>
                <w:sz w:val="18"/>
                <w:szCs w:val="18"/>
                <w:color w:val="auto"/>
              </w:rPr>
              <w:t>22.35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8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122"/>
        </w:trPr>
        <w:tc>
          <w:tcPr>
            <w:tcW w:w="78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spacing w:after="0"/>
              <w:rPr>
                <w:sz w:val="10"/>
                <w:szCs w:val="10"/>
                <w:color w:val="auto"/>
              </w:rPr>
            </w:pPr>
          </w:p>
        </w:tc>
      </w:tr>
      <w:tr>
        <w:trPr>
          <w:trHeight w:val="270"/>
        </w:trPr>
        <w:tc>
          <w:tcPr>
            <w:tcW w:w="7820" w:type="dxa"/>
            <w:vAlign w:val="bottom"/>
          </w:tcPr>
          <w:p>
            <w:pPr>
              <w:ind w:left="20"/>
              <w:spacing w:after="0"/>
              <w:rPr>
                <w:sz w:val="20"/>
                <w:szCs w:val="20"/>
                <w:color w:val="auto"/>
              </w:rPr>
            </w:pPr>
            <w:r>
              <w:rPr>
                <w:rFonts w:ascii="Arial" w:cs="Arial" w:eastAsia="Arial" w:hAnsi="Arial"/>
                <w:sz w:val="18"/>
                <w:szCs w:val="18"/>
                <w:color w:val="auto"/>
              </w:rPr>
              <w:t>Grant price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$91.20</w:t>
            </w:r>
          </w:p>
        </w:tc>
        <w:tc>
          <w:tcPr>
            <w:tcW w:w="100" w:type="dxa"/>
            <w:vAlign w:val="bottom"/>
          </w:tcPr>
          <w:p>
            <w:pPr>
              <w:spacing w:after="0"/>
              <w:rPr>
                <w:sz w:val="23"/>
                <w:szCs w:val="23"/>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$79.75</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$82.09</w:t>
            </w:r>
          </w:p>
        </w:tc>
      </w:tr>
      <w:tr>
        <w:trPr>
          <w:trHeight w:val="27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$14.58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$15.41</w:t>
            </w:r>
          </w:p>
        </w:tc>
      </w:tr>
    </w:tbl>
    <w:p>
      <w:pPr>
        <w:spacing w:after="0" w:line="3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performance share awards granted in 2019 and 2018 are considered performance condition awards as attainment is based on Dover's performance relative to established internal metrics. The fair value of these awards was determined using Dover's closing stock price on the date of grant. The expected attainment of the internal metrics for these awards is analyzed each reporting period, and the related expense is adjusted based on expected attainment, if that attainment differs from previous estimates. The cumulative effect on current and prior periods of a change in attainment is recognized in selling, general and administrative expenses in the Condensed Consolidated Statements of Earnings in the period of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and average attainment used in determining stock-based compensation cost for the performance shares issued in 2019 and 2018 were as follows for the nine months ended September 30, 2019:</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2540" w:type="dxa"/>
            <w:vAlign w:val="bottom"/>
            <w:gridSpan w:val="3"/>
          </w:tcPr>
          <w:p>
            <w:pPr>
              <w:jc w:val="right"/>
              <w:spacing w:after="0"/>
              <w:rPr>
                <w:sz w:val="20"/>
                <w:szCs w:val="20"/>
                <w:color w:val="auto"/>
              </w:rPr>
            </w:pPr>
            <w:r>
              <w:rPr>
                <w:rFonts w:ascii="Arial" w:cs="Arial" w:eastAsia="Arial" w:hAnsi="Arial"/>
                <w:sz w:val="18"/>
                <w:szCs w:val="18"/>
                <w:b w:val="1"/>
                <w:bCs w:val="1"/>
                <w:color w:val="auto"/>
              </w:rPr>
              <w:t>Performance Shares</w:t>
            </w:r>
          </w:p>
        </w:tc>
        <w:tc>
          <w:tcPr>
            <w:tcW w:w="82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04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820" w:type="dxa"/>
            <w:vAlign w:val="bottom"/>
          </w:tcPr>
          <w:p>
            <w:pPr>
              <w:spacing w:after="0"/>
              <w:rPr>
                <w:sz w:val="20"/>
                <w:szCs w:val="20"/>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$79.75  -</w:t>
            </w: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8"/>
              </w:rPr>
              <w:t>$82.09</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Average attainment rate reflected in expense</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223.04%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293.36%</w:t>
            </w:r>
          </w:p>
        </w:tc>
        <w:tc>
          <w:tcPr>
            <w:tcW w:w="820" w:type="dxa"/>
            <w:vAlign w:val="bottom"/>
          </w:tcPr>
          <w:p>
            <w:pPr>
              <w:spacing w:after="0"/>
              <w:rPr>
                <w:sz w:val="21"/>
                <w:szCs w:val="2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has granted RSUs, and the fair value of these awards was determined using Dover's closing stock price on the date of grant.</w:t>
      </w:r>
    </w:p>
    <w:p>
      <w:pPr>
        <w:spacing w:after="0" w:line="264"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color w:val="auto"/>
        </w:rPr>
        <w:t>Stock-based compensation is reported within selling, general and administrative expenses of continuing operations in the Condensed Consolidated Statements of Earnings. The following table summarizes the Company’s compensation expense relating to all stock-based incentive plans:</w:t>
      </w: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10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September 30,</w:t>
            </w:r>
          </w:p>
        </w:tc>
        <w:tc>
          <w:tcPr>
            <w:tcW w:w="300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5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Pre-tax stock-based compensation expense (continuing)</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88"/>
              </w:rPr>
              <w:t>5,443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24,493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15,846</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center"/>
              <w:ind w:left="290"/>
              <w:spacing w:after="0"/>
              <w:rPr>
                <w:sz w:val="20"/>
                <w:szCs w:val="20"/>
                <w:color w:val="auto"/>
              </w:rPr>
            </w:pPr>
            <w:r>
              <w:rPr>
                <w:rFonts w:ascii="Arial" w:cs="Arial" w:eastAsia="Arial" w:hAnsi="Arial"/>
                <w:sz w:val="18"/>
                <w:szCs w:val="18"/>
                <w:color w:val="auto"/>
                <w:w w:val="94"/>
              </w:rPr>
              <w:t>(1,207)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ind w:left="480"/>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(3,520)</w:t>
            </w:r>
          </w:p>
        </w:tc>
      </w:tr>
      <w:tr>
        <w:trPr>
          <w:trHeight w:val="27"/>
        </w:trPr>
        <w:tc>
          <w:tcPr>
            <w:tcW w:w="5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 net of tax</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7,387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88"/>
              </w:rPr>
              <w:t>4,236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22,458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12,326</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attributable to Apergy employees for the three and nine months ended September 30, 2018 was $0 and $744,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are reported within earnings from discontinued operations in the Condensed Consolidated Statement of Earnings.</w:t>
      </w:r>
    </w:p>
    <w:p>
      <w:pPr>
        <w:spacing w:after="0" w:line="234" w:lineRule="exact"/>
        <w:rPr>
          <w:sz w:val="20"/>
          <w:szCs w:val="20"/>
          <w:color w:val="auto"/>
        </w:rPr>
      </w:pPr>
    </w:p>
    <w:p>
      <w:pPr>
        <w:ind w:right="8000" w:firstLine="8"/>
        <w:spacing w:after="0" w:line="534" w:lineRule="auto"/>
        <w:tabs>
          <w:tab w:leader="none" w:pos="270" w:val="left"/>
        </w:tabs>
        <w:numPr>
          <w:ilvl w:val="0"/>
          <w:numId w:val="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Commitments and Contingent Liabilities </w:t>
      </w:r>
      <w:r>
        <w:rPr>
          <w:rFonts w:ascii="Arial" w:cs="Arial" w:eastAsia="Arial" w:hAnsi="Arial"/>
          <w:sz w:val="18"/>
          <w:szCs w:val="18"/>
          <w:b w:val="1"/>
          <w:bCs w:val="1"/>
          <w:color w:val="auto"/>
        </w:rPr>
        <w:t>Litigation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the Company’s subsidiaries are involved in legal proceedings relating to the cleanup of waste disposal sites identified under federal and state statutes that provide for the allocation of such costs among "potentially responsible parties." In each instance, the extent of the Company’s liability appears to be very small in relation to the total projected expenditures and the number of other "potentially responsible parties" involved and is anticipated to be immaterial to the Company. In addition, certain of the Company’s subsidiaries are involved in ongoing remedial activities at certain current and former plant sites, in cooperation with regulatory agencies, and appropriate reserves have been established. At September 30, 2019 and December 31, 2018, the Company has reserves totaling $30,926 and $31,797, respectively, for environmental and other matters, including private party claims for exposure to hazardous substances that are probable and estimable.</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and certain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the availability and extent of insurance coverage. The Company has reserves for legal matters that are probable and estimable and not otherwise covered by insurance, and at September 30, 2019 and December 31, 2018, these reserves were not significant.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Accruals</w:t>
      </w:r>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 The changes in the carrying amount of product warranties through September 30, 2019 and 2018,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December 31 of the Prior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50,073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59,403</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Provision for warranties</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46,123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46,076</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made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(50,110)</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Other adjustments, including acquisitions and currency translation</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(770)</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September 30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48,181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54,599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9320" w:firstLine="8"/>
        <w:spacing w:after="0" w:line="534" w:lineRule="auto"/>
        <w:tabs>
          <w:tab w:leader="none" w:pos="270" w:val="left"/>
        </w:tabs>
        <w:numPr>
          <w:ilvl w:val="0"/>
          <w:numId w:val="1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Employee Benefit Plans </w:t>
      </w:r>
      <w:r>
        <w:rPr>
          <w:rFonts w:ascii="Arial" w:cs="Arial" w:eastAsia="Arial" w:hAnsi="Arial"/>
          <w:sz w:val="18"/>
          <w:szCs w:val="18"/>
          <w:b w:val="1"/>
          <w:bCs w:val="1"/>
          <w:color w:val="auto"/>
        </w:rPr>
        <w:t>Retirement Plans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qualified defined benefit pension plans covering certain employees of the Company and its subsidiaries, although the U.S. qualified and non-qualified defined benefit plans are closed to new entrants. The plans’ benefits are generally based on years of service and employee compensation. The Company also provides to certain management employees, through non-qualified plans, supplemental retirement benefits in excess of qualified plan limits imposed by federal tax law.</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tables below set forth the components of the Company’s net periodic (income) expense relating to retirement benefit plans. The service cost component is recognized within selling, general and administrative expenses and cost of goods and services, depending on the functional area of the underlying employees included in the plans, and the non-operating components of pension costs are included within other income, net in the Condensed Consolidated Statements of Earnings. The amounts recorded to discontinued operations represent the net periodic benefit expense for several non-U.S. qualified and U.S. non-qualified plans that were transferred to Apergy at the spin-off date of May 9, 2018.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Defined Benefits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gridSpan w:val="9"/>
          </w:tcPr>
          <w:p>
            <w:pPr>
              <w:jc w:val="right"/>
              <w:ind w:right="99"/>
              <w:spacing w:after="0"/>
              <w:rPr>
                <w:sz w:val="20"/>
                <w:szCs w:val="20"/>
                <w:color w:val="auto"/>
              </w:rPr>
            </w:pPr>
            <w:r>
              <w:rPr>
                <w:rFonts w:ascii="Arial" w:cs="Arial" w:eastAsia="Arial" w:hAnsi="Arial"/>
                <w:sz w:val="16"/>
                <w:szCs w:val="16"/>
                <w:b w:val="1"/>
                <w:bCs w:val="1"/>
                <w:color w:val="auto"/>
              </w:rPr>
              <w:t>Three Months Ended September 30,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8"/>
          </w:tcPr>
          <w:p>
            <w:pPr>
              <w:ind w:left="620"/>
              <w:spacing w:after="0"/>
              <w:rPr>
                <w:sz w:val="20"/>
                <w:szCs w:val="20"/>
                <w:color w:val="auto"/>
              </w:rPr>
            </w:pPr>
            <w:r>
              <w:rPr>
                <w:rFonts w:ascii="Arial" w:cs="Arial" w:eastAsia="Arial" w:hAnsi="Arial"/>
                <w:sz w:val="16"/>
                <w:szCs w:val="16"/>
                <w:b w:val="1"/>
                <w:bCs w:val="1"/>
                <w:color w:val="auto"/>
                <w:w w:val="91"/>
              </w:rPr>
              <w:t>Nine Months Ended September 30,</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U.S. Plan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5"/>
          </w:tcPr>
          <w:p>
            <w:pPr>
              <w:ind w:left="220"/>
              <w:spacing w:after="0"/>
              <w:rPr>
                <w:sz w:val="20"/>
                <w:szCs w:val="20"/>
                <w:color w:val="auto"/>
              </w:rPr>
            </w:pPr>
            <w:r>
              <w:rPr>
                <w:rFonts w:ascii="Arial" w:cs="Arial" w:eastAsia="Arial" w:hAnsi="Arial"/>
                <w:sz w:val="16"/>
                <w:szCs w:val="16"/>
                <w:b w:val="1"/>
                <w:bCs w:val="1"/>
                <w:color w:val="auto"/>
              </w:rPr>
              <w:t>Non-U.S. Plans</w:t>
            </w:r>
          </w:p>
        </w:tc>
        <w:tc>
          <w:tcPr>
            <w:tcW w:w="2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U.S. Plan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Non-U.S. Plans</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1,861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5,262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7,148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4,165</w:t>
            </w: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4,756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5,236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1,193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1,098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14,269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15,491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3,641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3,819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(5,838)</w:t>
            </w: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Prior service cost (credit)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43"/>
        </w:trPr>
        <w:tc>
          <w:tcPr>
            <w:tcW w:w="2880" w:type="dxa"/>
            <w:vAlign w:val="bottom"/>
          </w:tcPr>
          <w:p>
            <w:pPr>
              <w:ind w:left="340"/>
              <w:spacing w:after="0"/>
              <w:rPr>
                <w:sz w:val="20"/>
                <w:szCs w:val="20"/>
                <w:color w:val="auto"/>
              </w:rPr>
            </w:pPr>
            <w:r>
              <w:rPr>
                <w:rFonts w:ascii="Arial" w:cs="Arial" w:eastAsia="Arial" w:hAnsi="Arial"/>
                <w:sz w:val="18"/>
                <w:szCs w:val="18"/>
                <w:color w:val="auto"/>
              </w:rPr>
              <w:t>Recognized actuarial loss</w:t>
            </w:r>
          </w:p>
        </w:tc>
        <w:tc>
          <w:tcPr>
            <w:tcW w:w="20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2,951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2,288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2,258</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Transition obligation</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3"/>
        </w:trPr>
        <w:tc>
          <w:tcPr>
            <w:tcW w:w="2880" w:type="dxa"/>
            <w:vAlign w:val="bottom"/>
          </w:tcPr>
          <w:p>
            <w:pPr>
              <w:ind w:left="20"/>
              <w:spacing w:after="0"/>
              <w:rPr>
                <w:sz w:val="20"/>
                <w:szCs w:val="20"/>
                <w:color w:val="auto"/>
              </w:rPr>
            </w:pPr>
            <w:r>
              <w:rPr>
                <w:rFonts w:ascii="Arial" w:cs="Arial" w:eastAsia="Arial" w:hAnsi="Arial"/>
                <w:sz w:val="18"/>
                <w:szCs w:val="18"/>
                <w:color w:val="auto"/>
              </w:rPr>
              <w:t>Net periodic (income) expense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(1,948)</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(2,202)</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1,745</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1,003</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(5,844)</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(3,389)</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5,232</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4,068</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Discontinued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9"/>
        </w:trPr>
        <w:tc>
          <w:tcPr>
            <w:tcW w:w="2880" w:type="dxa"/>
            <w:vAlign w:val="bottom"/>
          </w:tcPr>
          <w:p>
            <w:pPr>
              <w:ind w:left="20"/>
              <w:spacing w:after="0"/>
              <w:rPr>
                <w:sz w:val="20"/>
                <w:szCs w:val="20"/>
                <w:color w:val="auto"/>
              </w:rPr>
            </w:pPr>
            <w:r>
              <w:rPr>
                <w:rFonts w:ascii="Arial" w:cs="Arial" w:eastAsia="Arial" w:hAnsi="Arial"/>
                <w:sz w:val="18"/>
                <w:szCs w:val="18"/>
                <w:color w:val="auto"/>
              </w:rPr>
              <w:t>Net periodic (income) expense -</w:t>
            </w: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(1,948)</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(2,202)</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1,745</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1,003</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(5,844)</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(4,339)</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5,232</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3,821</w:t>
            </w:r>
          </w:p>
        </w:tc>
        <w:tc>
          <w:tcPr>
            <w:tcW w:w="0" w:type="dxa"/>
            <w:vAlign w:val="bottom"/>
          </w:tcPr>
          <w:p>
            <w:pPr>
              <w:spacing w:after="0"/>
              <w:rPr>
                <w:sz w:val="1"/>
                <w:szCs w:val="1"/>
                <w:color w:val="auto"/>
              </w:rPr>
            </w:pPr>
          </w:p>
        </w:tc>
      </w:tr>
      <w:tr>
        <w:trPr>
          <w:trHeight w:val="235"/>
        </w:trPr>
        <w:tc>
          <w:tcPr>
            <w:tcW w:w="288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20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r>
              <w:rPr>
                <w:rFonts w:ascii="Arial" w:cs="Arial" w:eastAsia="Arial" w:hAnsi="Arial"/>
                <w:sz w:val="18"/>
                <w:szCs w:val="18"/>
                <w:b w:val="1"/>
                <w:bCs w:val="1"/>
                <w:i w:val="1"/>
                <w:iCs w:val="1"/>
                <w:color w:val="auto"/>
              </w:rPr>
              <w:t>Non-Qualified Supplemental Benefits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5300" w:type="dxa"/>
            <w:vAlign w:val="bottom"/>
          </w:tcPr>
          <w:p>
            <w:pPr>
              <w:spacing w:after="0"/>
              <w:rPr>
                <w:sz w:val="23"/>
                <w:szCs w:val="23"/>
                <w:color w:val="auto"/>
              </w:rPr>
            </w:pPr>
          </w:p>
        </w:tc>
        <w:tc>
          <w:tcPr>
            <w:tcW w:w="310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September 30,</w:t>
            </w:r>
          </w:p>
        </w:tc>
        <w:tc>
          <w:tcPr>
            <w:tcW w:w="300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5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1,990</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2,452</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60"/>
              <w:spacing w:after="0"/>
              <w:rPr>
                <w:sz w:val="20"/>
                <w:szCs w:val="20"/>
                <w:color w:val="auto"/>
              </w:rPr>
            </w:pPr>
            <w:r>
              <w:rPr>
                <w:rFonts w:ascii="Arial" w:cs="Arial" w:eastAsia="Arial" w:hAnsi="Arial"/>
                <w:sz w:val="18"/>
                <w:szCs w:val="18"/>
                <w:color w:val="auto"/>
              </w:rPr>
              <w:t>Prior service cost</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3,245</w:t>
            </w: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Recognized actuarial gain</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Net periodic expense</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6,853</w:t>
            </w:r>
          </w:p>
        </w:tc>
      </w:tr>
      <w:tr>
        <w:trPr>
          <w:trHeight w:val="27"/>
        </w:trPr>
        <w:tc>
          <w:tcPr>
            <w:tcW w:w="5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Discontinued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351</w:t>
            </w:r>
          </w:p>
        </w:tc>
      </w:tr>
      <w:tr>
        <w:trPr>
          <w:trHeight w:val="264"/>
        </w:trPr>
        <w:tc>
          <w:tcPr>
            <w:tcW w:w="5300" w:type="dxa"/>
            <w:vAlign w:val="bottom"/>
          </w:tcPr>
          <w:p>
            <w:pPr>
              <w:ind w:left="20"/>
              <w:spacing w:after="0"/>
              <w:rPr>
                <w:sz w:val="20"/>
                <w:szCs w:val="20"/>
                <w:color w:val="auto"/>
              </w:rPr>
            </w:pPr>
            <w:r>
              <w:rPr>
                <w:rFonts w:ascii="Arial" w:cs="Arial" w:eastAsia="Arial" w:hAnsi="Arial"/>
                <w:sz w:val="18"/>
                <w:szCs w:val="18"/>
                <w:color w:val="auto"/>
              </w:rPr>
              <w:t>Net periodic expense - Continuing operations</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6,502</w:t>
            </w:r>
          </w:p>
        </w:tc>
      </w:tr>
      <w:tr>
        <w:trPr>
          <w:trHeight w:val="21"/>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maintains post-retirement benefit plans, although these plans are closed to new entrants. The supplemental and post-retirement benefit plans are supported by the general assets of the Company. The following table sets forth the components of the Company’s net periodic expense relating to its post-retirement benefit plans: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10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September 30,</w:t>
            </w:r>
          </w:p>
        </w:tc>
        <w:tc>
          <w:tcPr>
            <w:tcW w:w="300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53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3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218</w:t>
            </w:r>
          </w:p>
        </w:tc>
      </w:tr>
      <w:tr>
        <w:trPr>
          <w:trHeight w:val="27"/>
        </w:trPr>
        <w:tc>
          <w:tcPr>
            <w:tcW w:w="5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60"/>
              <w:spacing w:after="0"/>
              <w:rPr>
                <w:sz w:val="20"/>
                <w:szCs w:val="20"/>
                <w:color w:val="auto"/>
              </w:rPr>
            </w:pPr>
            <w:r>
              <w:rPr>
                <w:rFonts w:ascii="Arial" w:cs="Arial" w:eastAsia="Arial" w:hAnsi="Arial"/>
                <w:sz w:val="18"/>
                <w:szCs w:val="18"/>
                <w:color w:val="auto"/>
              </w:rPr>
              <w:t>Prior service cost</w:t>
            </w:r>
          </w:p>
        </w:tc>
        <w:tc>
          <w:tcPr>
            <w:tcW w:w="98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10</w:t>
            </w:r>
          </w:p>
        </w:tc>
      </w:tr>
      <w:tr>
        <w:trPr>
          <w:trHeight w:val="27"/>
        </w:trPr>
        <w:tc>
          <w:tcPr>
            <w:tcW w:w="5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Recognized actuarial gain</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64"/>
        </w:trPr>
        <w:tc>
          <w:tcPr>
            <w:tcW w:w="5300" w:type="dxa"/>
            <w:vAlign w:val="bottom"/>
          </w:tcPr>
          <w:p>
            <w:pPr>
              <w:ind w:left="20"/>
              <w:spacing w:after="0"/>
              <w:rPr>
                <w:sz w:val="20"/>
                <w:szCs w:val="20"/>
                <w:color w:val="auto"/>
              </w:rPr>
            </w:pPr>
            <w:r>
              <w:rPr>
                <w:rFonts w:ascii="Arial" w:cs="Arial" w:eastAsia="Arial" w:hAnsi="Arial"/>
                <w:sz w:val="18"/>
                <w:szCs w:val="18"/>
                <w:color w:val="auto"/>
              </w:rPr>
              <w:t>Net periodic expense</w:t>
            </w:r>
          </w:p>
        </w:tc>
        <w:tc>
          <w:tcPr>
            <w:tcW w:w="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228</w:t>
            </w:r>
          </w:p>
        </w:tc>
      </w:tr>
      <w:tr>
        <w:trPr>
          <w:trHeight w:val="21"/>
        </w:trPr>
        <w:tc>
          <w:tcPr>
            <w:tcW w:w="5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amount amortized out of accumulated other comprehensive earnings into net periodic pension and post-retirement expense totaled $856 and $1,407 for the three months ended September 30, 2019 and 2018, respectively, and $2,574 and $7,765 for the nine months ended September 30, 2019 and 2018,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Retirement Plans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offers defined contribution retirement plans which cover the majority of its U.S. employees, as well as employees in certain other countries. The Company’s expense relating to defined contribution plans were $12,188, and $11,230 for the three months ended September 30, 2019 and 2018, respectively, and $38,340 and $35,243 for the nine months ended September 30, 2019 and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17. Other Comprehensive Earnings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other comprehensive (loss) earnings were as follows: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40" w:type="dxa"/>
            <w:vAlign w:val="bottom"/>
          </w:tcPr>
          <w:p>
            <w:pPr>
              <w:spacing w:after="0"/>
              <w:rPr>
                <w:sz w:val="20"/>
                <w:szCs w:val="20"/>
                <w:color w:val="auto"/>
              </w:rPr>
            </w:pPr>
          </w:p>
        </w:tc>
      </w:tr>
      <w:tr>
        <w:trPr>
          <w:trHeight w:val="270"/>
        </w:trPr>
        <w:tc>
          <w:tcPr>
            <w:tcW w:w="4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00" w:type="dxa"/>
            <w:vAlign w:val="bottom"/>
            <w:gridSpan w:val="6"/>
          </w:tcPr>
          <w:p>
            <w:pPr>
              <w:jc w:val="right"/>
              <w:spacing w:after="0"/>
              <w:rPr>
                <w:sz w:val="20"/>
                <w:szCs w:val="20"/>
                <w:color w:val="auto"/>
              </w:rPr>
            </w:pPr>
            <w:r>
              <w:rPr>
                <w:rFonts w:ascii="Arial" w:cs="Arial" w:eastAsia="Arial" w:hAnsi="Arial"/>
                <w:sz w:val="18"/>
                <w:szCs w:val="18"/>
                <w:b w:val="1"/>
                <w:bCs w:val="1"/>
                <w:color w:val="auto"/>
              </w:rPr>
              <w:t>September 30, 2019</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00" w:type="dxa"/>
            <w:vAlign w:val="bottom"/>
            <w:gridSpan w:val="6"/>
          </w:tcPr>
          <w:p>
            <w:pPr>
              <w:jc w:val="right"/>
              <w:spacing w:after="0"/>
              <w:rPr>
                <w:sz w:val="20"/>
                <w:szCs w:val="20"/>
                <w:color w:val="auto"/>
              </w:rPr>
            </w:pPr>
            <w:r>
              <w:rPr>
                <w:rFonts w:ascii="Arial" w:cs="Arial" w:eastAsia="Arial" w:hAnsi="Arial"/>
                <w:sz w:val="18"/>
                <w:szCs w:val="18"/>
                <w:b w:val="1"/>
                <w:bCs w:val="1"/>
                <w:color w:val="auto"/>
              </w:rPr>
              <w:t>September 30, 2018</w:t>
            </w:r>
          </w:p>
        </w:tc>
        <w:tc>
          <w:tcPr>
            <w:tcW w:w="940" w:type="dxa"/>
            <w:vAlign w:val="bottom"/>
          </w:tcPr>
          <w:p>
            <w:pPr>
              <w:spacing w:after="0"/>
              <w:rPr>
                <w:sz w:val="23"/>
                <w:szCs w:val="23"/>
                <w:color w:val="auto"/>
              </w:rPr>
            </w:pPr>
          </w:p>
        </w:tc>
      </w:tr>
      <w:tr>
        <w:trPr>
          <w:trHeight w:val="27"/>
        </w:trPr>
        <w:tc>
          <w:tcPr>
            <w:tcW w:w="4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Pre-tax</w:t>
            </w:r>
          </w:p>
        </w:tc>
        <w:tc>
          <w:tcPr>
            <w:tcW w:w="24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Tax</w:t>
            </w:r>
          </w:p>
        </w:tc>
        <w:tc>
          <w:tcPr>
            <w:tcW w:w="12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of tax</w:t>
            </w:r>
          </w:p>
        </w:tc>
        <w:tc>
          <w:tcPr>
            <w:tcW w:w="18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Pre-tax</w:t>
            </w:r>
          </w:p>
        </w:tc>
        <w:tc>
          <w:tcPr>
            <w:tcW w:w="24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Tax</w:t>
            </w:r>
          </w:p>
        </w:tc>
        <w:tc>
          <w:tcPr>
            <w:tcW w:w="12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Net of tax</w:t>
            </w:r>
          </w:p>
        </w:tc>
      </w:tr>
      <w:tr>
        <w:trPr>
          <w:trHeight w:val="27"/>
        </w:trPr>
        <w:tc>
          <w:tcPr>
            <w:tcW w:w="4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(13,567)</w:t>
            </w: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Pension and other post-retirement benefit plans</w:t>
            </w:r>
          </w:p>
        </w:tc>
        <w:tc>
          <w:tcPr>
            <w:tcW w:w="1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1,106</w:t>
            </w:r>
          </w:p>
        </w:tc>
      </w:tr>
      <w:tr>
        <w:trPr>
          <w:trHeight w:val="27"/>
        </w:trPr>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fair value of cash flow hedges</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r>
      <w:tr>
        <w:trPr>
          <w:trHeight w:val="264"/>
        </w:trPr>
        <w:tc>
          <w:tcPr>
            <w:tcW w:w="4420" w:type="dxa"/>
            <w:vAlign w:val="bottom"/>
          </w:tcPr>
          <w:p>
            <w:pPr>
              <w:spacing w:after="0"/>
              <w:rPr>
                <w:sz w:val="20"/>
                <w:szCs w:val="20"/>
                <w:color w:val="auto"/>
              </w:rPr>
            </w:pPr>
            <w:r>
              <w:rPr>
                <w:rFonts w:ascii="Arial" w:cs="Arial" w:eastAsia="Arial" w:hAnsi="Arial"/>
                <w:sz w:val="18"/>
                <w:szCs w:val="18"/>
                <w:b w:val="1"/>
                <w:bCs w:val="1"/>
                <w:color w:val="auto"/>
              </w:rPr>
              <w:t>Total other comprehensive (loss)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(40,656)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(8,421)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(49,077)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(14,827)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(13,546)</w:t>
            </w:r>
          </w:p>
        </w:tc>
      </w:tr>
      <w:tr>
        <w:trPr>
          <w:trHeight w:val="21"/>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130"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7"/>
          </w:tcPr>
          <w:p>
            <w:pPr>
              <w:jc w:val="right"/>
              <w:ind w:right="1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8"/>
          </w:tcPr>
          <w:p>
            <w:pPr>
              <w:jc w:val="right"/>
              <w:spacing w:after="0"/>
              <w:rPr>
                <w:sz w:val="20"/>
                <w:szCs w:val="20"/>
                <w:color w:val="auto"/>
              </w:rPr>
            </w:pPr>
            <w:r>
              <w:rPr>
                <w:rFonts w:ascii="Arial" w:cs="Arial" w:eastAsia="Arial" w:hAnsi="Arial"/>
                <w:sz w:val="18"/>
                <w:szCs w:val="18"/>
                <w:b w:val="1"/>
                <w:bCs w:val="1"/>
                <w:color w:val="auto"/>
              </w:rPr>
              <w:t>Nine Months Ended</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20" w:type="dxa"/>
            <w:vAlign w:val="bottom"/>
            <w:gridSpan w:val="7"/>
          </w:tcPr>
          <w:p>
            <w:pPr>
              <w:jc w:val="right"/>
              <w:spacing w:after="0"/>
              <w:rPr>
                <w:sz w:val="20"/>
                <w:szCs w:val="20"/>
                <w:color w:val="auto"/>
              </w:rPr>
            </w:pPr>
            <w:r>
              <w:rPr>
                <w:rFonts w:ascii="Arial" w:cs="Arial" w:eastAsia="Arial" w:hAnsi="Arial"/>
                <w:sz w:val="18"/>
                <w:szCs w:val="18"/>
                <w:b w:val="1"/>
                <w:bCs w:val="1"/>
                <w:color w:val="auto"/>
              </w:rPr>
              <w:t>September 30, 2019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gridSpan w:val="8"/>
          </w:tcPr>
          <w:p>
            <w:pPr>
              <w:jc w:val="right"/>
              <w:spacing w:after="0"/>
              <w:rPr>
                <w:sz w:val="20"/>
                <w:szCs w:val="20"/>
                <w:color w:val="auto"/>
              </w:rPr>
            </w:pPr>
            <w:r>
              <w:rPr>
                <w:rFonts w:ascii="Arial" w:cs="Arial" w:eastAsia="Arial" w:hAnsi="Arial"/>
                <w:sz w:val="18"/>
                <w:szCs w:val="18"/>
                <w:b w:val="1"/>
                <w:bCs w:val="1"/>
                <w:color w:val="auto"/>
              </w:rPr>
              <w:t>September 30, 2018</w:t>
            </w: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Pre-tax</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Tax</w:t>
            </w:r>
          </w:p>
        </w:tc>
        <w:tc>
          <w:tcPr>
            <w:tcW w:w="140" w:type="dxa"/>
            <w:vAlign w:val="bottom"/>
          </w:tcPr>
          <w:p>
            <w:pPr>
              <w:spacing w:after="0"/>
              <w:rPr>
                <w:sz w:val="20"/>
                <w:szCs w:val="20"/>
                <w:color w:val="auto"/>
              </w:rPr>
            </w:pPr>
          </w:p>
        </w:tc>
        <w:tc>
          <w:tcPr>
            <w:tcW w:w="10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0"/>
              </w:rPr>
              <w:t>Net of tax</w:t>
            </w:r>
          </w:p>
        </w:tc>
        <w:tc>
          <w:tcPr>
            <w:tcW w:w="10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Pre-tax</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b w:val="1"/>
                <w:bCs w:val="1"/>
                <w:color w:val="auto"/>
              </w:rPr>
              <w:t>Tax</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8"/>
                <w:szCs w:val="18"/>
                <w:b w:val="1"/>
                <w:bCs w:val="1"/>
                <w:color w:val="auto"/>
              </w:rPr>
              <w:t>Net of tax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(8,112)</w:t>
            </w:r>
          </w:p>
        </w:tc>
        <w:tc>
          <w:tcPr>
            <w:tcW w:w="3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(15,804)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92"/>
              </w:rPr>
              <w:t>(24,794)</w:t>
            </w: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(1,624)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(26,418)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Pension and other post-retirement benefit plans</w:t>
            </w:r>
          </w:p>
        </w:tc>
        <w:tc>
          <w:tcPr>
            <w:tcW w:w="1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2,574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3"/>
          </w:tcPr>
          <w:p>
            <w:pPr>
              <w:jc w:val="right"/>
              <w:ind w:right="70"/>
              <w:spacing w:after="0"/>
              <w:rPr>
                <w:sz w:val="20"/>
                <w:szCs w:val="20"/>
                <w:color w:val="auto"/>
              </w:rPr>
            </w:pPr>
            <w:r>
              <w:rPr>
                <w:rFonts w:ascii="Arial" w:cs="Arial" w:eastAsia="Arial" w:hAnsi="Arial"/>
                <w:sz w:val="18"/>
                <w:szCs w:val="18"/>
                <w:color w:val="auto"/>
              </w:rPr>
              <w:t>7,765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3"/>
          </w:tcPr>
          <w:p>
            <w:pPr>
              <w:jc w:val="right"/>
              <w:ind w:right="30"/>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fair value of cash flow hedges</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1,672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Total other comprehensive earnings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(5,906)</w:t>
            </w:r>
          </w:p>
        </w:tc>
        <w:tc>
          <w:tcPr>
            <w:tcW w:w="100" w:type="dxa"/>
            <w:vAlign w:val="bottom"/>
            <w:gridSpan w:val="2"/>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(8,188)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(14,094)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3"/>
          </w:tcPr>
          <w:p>
            <w:pPr>
              <w:jc w:val="center"/>
              <w:ind w:right="10"/>
              <w:spacing w:after="0"/>
              <w:rPr>
                <w:sz w:val="20"/>
                <w:szCs w:val="20"/>
                <w:color w:val="auto"/>
              </w:rPr>
            </w:pPr>
            <w:r>
              <w:rPr>
                <w:rFonts w:ascii="Arial" w:cs="Arial" w:eastAsia="Arial" w:hAnsi="Arial"/>
                <w:sz w:val="18"/>
                <w:szCs w:val="18"/>
                <w:color w:val="auto"/>
                <w:w w:val="92"/>
              </w:rPr>
              <w:t>(14,913)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(18,638)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rPr>
              <w:t>Total comprehensive earnings were as follows:</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44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20" w:type="dxa"/>
            <w:vAlign w:val="bottom"/>
            <w:gridSpan w:val="21"/>
          </w:tcPr>
          <w:p>
            <w:pPr>
              <w:ind w:left="40"/>
              <w:spacing w:after="0"/>
              <w:rPr>
                <w:sz w:val="20"/>
                <w:szCs w:val="20"/>
                <w:color w:val="auto"/>
              </w:rPr>
            </w:pPr>
            <w:r>
              <w:rPr>
                <w:rFonts w:ascii="Arial" w:cs="Arial" w:eastAsia="Arial" w:hAnsi="Arial"/>
                <w:sz w:val="18"/>
                <w:szCs w:val="18"/>
                <w:b w:val="1"/>
                <w:bCs w:val="1"/>
                <w:color w:val="auto"/>
                <w:w w:val="93"/>
              </w:rPr>
              <w:t>Three Months Ended September 30,   Nine Months Ended 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2019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89"/>
              </w:rPr>
              <w:t>206,006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w w:val="89"/>
              </w:rPr>
              <w:t>157,305</w:t>
            </w:r>
          </w:p>
        </w:tc>
        <w:tc>
          <w:tcPr>
            <w:tcW w:w="760" w:type="dxa"/>
            <w:vAlign w:val="bottom"/>
            <w:tcBorders>
              <w:bottom w:val="single" w:sz="8" w:color="CCEEFF"/>
            </w:tcBorders>
            <w:gridSpan w:val="3"/>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509,796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428,698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3"/>
          </w:tcPr>
          <w:p>
            <w:pPr>
              <w:ind w:left="360"/>
              <w:spacing w:after="0"/>
              <w:rPr>
                <w:sz w:val="20"/>
                <w:szCs w:val="20"/>
                <w:color w:val="auto"/>
              </w:rPr>
            </w:pPr>
            <w:r>
              <w:rPr>
                <w:rFonts w:ascii="Arial" w:cs="Arial" w:eastAsia="Arial" w:hAnsi="Arial"/>
                <w:sz w:val="18"/>
                <w:szCs w:val="18"/>
                <w:color w:val="auto"/>
              </w:rPr>
              <w:t>(49,077)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ind w:left="480"/>
              <w:spacing w:after="0"/>
              <w:rPr>
                <w:sz w:val="20"/>
                <w:szCs w:val="20"/>
                <w:color w:val="auto"/>
              </w:rPr>
            </w:pPr>
            <w:r>
              <w:rPr>
                <w:rFonts w:ascii="Arial" w:cs="Arial" w:eastAsia="Arial" w:hAnsi="Arial"/>
                <w:sz w:val="18"/>
                <w:szCs w:val="18"/>
                <w:color w:val="auto"/>
              </w:rPr>
              <w:t>(13,546)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gridSpan w:val="3"/>
          </w:tcPr>
          <w:p>
            <w:pPr>
              <w:jc w:val="right"/>
              <w:ind w:right="30"/>
              <w:spacing w:after="0"/>
              <w:rPr>
                <w:sz w:val="20"/>
                <w:szCs w:val="20"/>
                <w:color w:val="auto"/>
              </w:rPr>
            </w:pPr>
            <w:r>
              <w:rPr>
                <w:rFonts w:ascii="Arial" w:cs="Arial" w:eastAsia="Arial" w:hAnsi="Arial"/>
                <w:sz w:val="18"/>
                <w:szCs w:val="18"/>
                <w:color w:val="auto"/>
              </w:rPr>
              <w:t>(14,094)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(18,638)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earnings</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156,929</w:t>
            </w:r>
          </w:p>
        </w:tc>
        <w:tc>
          <w:tcPr>
            <w:tcW w:w="14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89"/>
              </w:rPr>
              <w:t>143,759</w:t>
            </w:r>
          </w:p>
        </w:tc>
        <w:tc>
          <w:tcPr>
            <w:tcW w:w="760" w:type="dxa"/>
            <w:vAlign w:val="bottom"/>
            <w:gridSpan w:val="3"/>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495,702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410,060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reclassified from accumulated other comprehensive loss to earnings during the three and nine months ended September 30, 2019 and 2018 were as follows: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080" w:type="dxa"/>
            <w:vAlign w:val="bottom"/>
            <w:gridSpan w:val="6"/>
          </w:tcPr>
          <w:p>
            <w:pPr>
              <w:ind w:left="40"/>
              <w:spacing w:after="0"/>
              <w:rPr>
                <w:sz w:val="20"/>
                <w:szCs w:val="20"/>
                <w:color w:val="auto"/>
              </w:rPr>
            </w:pPr>
            <w:r>
              <w:rPr>
                <w:rFonts w:ascii="Arial" w:cs="Arial" w:eastAsia="Arial" w:hAnsi="Arial"/>
                <w:sz w:val="18"/>
                <w:szCs w:val="18"/>
                <w:b w:val="1"/>
                <w:bCs w:val="1"/>
                <w:color w:val="auto"/>
                <w:w w:val="98"/>
              </w:rPr>
              <w:t>Three Months Ended September 30,</w:t>
            </w:r>
          </w:p>
        </w:tc>
        <w:tc>
          <w:tcPr>
            <w:tcW w:w="10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Foreign currency translation:</w:t>
            </w: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8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Reclassification of foreign currency translation losses to earnings for</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25,339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held for sale</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880" w:type="dxa"/>
            <w:vAlign w:val="bottom"/>
          </w:tcPr>
          <w:p>
            <w:pPr>
              <w:spacing w:after="0"/>
              <w:rPr>
                <w:sz w:val="21"/>
                <w:szCs w:val="21"/>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25,339</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Pension and other postretirement benefit plans: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8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actuarial losses</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526</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Amortization of prior service costs</w:t>
            </w:r>
          </w:p>
        </w:tc>
        <w:tc>
          <w:tcPr>
            <w:tcW w:w="880" w:type="dxa"/>
            <w:vAlign w:val="bottom"/>
          </w:tcPr>
          <w:p>
            <w:pPr>
              <w:spacing w:after="0"/>
              <w:rPr>
                <w:sz w:val="21"/>
                <w:szCs w:val="21"/>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890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2,048</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2,574</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7,765</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90"/>
              </w:rPr>
              <w:t>(190)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1,106</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2,002</w:t>
            </w: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6,108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8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losses (gains) reclassified into earnings</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Tax (benefit) provision</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90"/>
              </w:rPr>
              <w:t>(153)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364</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reclassification of foreign currency translation losses to earnings relates to the sale of Finder. See Note 5 — Disposed and Discontinued Operations for further details.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the amortization of net actuarial gains and losses and prior service costs in other income, net within the Condensed Consolidated Statements of Earnings.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18. Segment Information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categorizes its operating companies into three distinct reportable segments. Segment financial information and a reconciliation of segment results to consolidated results is as follows:</w:t>
      </w:r>
    </w:p>
    <w:p>
      <w:pPr>
        <w:sectPr>
          <w:pgSz w:w="11900" w:h="16838" w:orient="portrait"/>
          <w:cols w:equalWidth="0" w:num="1">
            <w:col w:w="11420"/>
          </w:cols>
          <w:pgMar w:left="240" w:top="130" w:right="239" w:bottom="10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130" w:right="239" w:bottom="1032" w:gutter="0" w:footer="0" w:header="0"/>
          <w:type w:val="continuous"/>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ind w:left="660" w:hanging="328"/>
        <w:spacing w:after="0" w:line="26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Engineered Systems segment is comprised of two platforms, Printing &amp; Identification and Industrials, and is focused on the design, manufacture and service of critical equipment and components serving the fast-moving consumer goods, digital textile printing, vehicle service, environmental solutions and industrial end markets.</w:t>
      </w:r>
    </w:p>
    <w:p>
      <w:pPr>
        <w:spacing w:after="0" w:line="20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Fluids segment, serving the Fueling &amp; Transport, Pumps and Process Solutions end markets, is focused on the safe handling of critical fluids, and providing critical components to the retail fueling, chemical, hygienic, oil and gas, power generation and industrial markets.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Refrigeration &amp; Food Equipment segment is a provider of innovative and energy efficient equipment and systems serving the commercial refrigeration and food equipment end markets.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and a reconciliation of segment results to consolidated results was as follows:</w:t>
      </w:r>
    </w:p>
    <w:p>
      <w:pPr>
        <w:spacing w:after="0" w:line="5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Three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41"/>
        </w:trPr>
        <w:tc>
          <w:tcPr>
            <w:tcW w:w="5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7"/>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40"/>
              <w:spacing w:after="0"/>
              <w:rPr>
                <w:sz w:val="20"/>
                <w:szCs w:val="20"/>
                <w:color w:val="auto"/>
              </w:rPr>
            </w:pPr>
            <w:r>
              <w:rPr>
                <w:rFonts w:ascii="Arial" w:cs="Arial" w:eastAsia="Arial" w:hAnsi="Arial"/>
                <w:sz w:val="18"/>
                <w:szCs w:val="18"/>
                <w:color w:val="auto"/>
              </w:rPr>
              <w:t>Engineered Systems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701,791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671,534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2,085,483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2,046,149</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Fluids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753,046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690,065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2,185,703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2,011,829</w:t>
            </w:r>
          </w:p>
        </w:tc>
      </w:tr>
      <w:tr>
        <w:trPr>
          <w:trHeight w:val="243"/>
        </w:trPr>
        <w:tc>
          <w:tcPr>
            <w:tcW w:w="5360" w:type="dxa"/>
            <w:vAlign w:val="bottom"/>
          </w:tcPr>
          <w:p>
            <w:pPr>
              <w:ind w:left="440"/>
              <w:spacing w:after="0"/>
              <w:rPr>
                <w:sz w:val="20"/>
                <w:szCs w:val="20"/>
                <w:color w:val="auto"/>
              </w:rPr>
            </w:pPr>
            <w:r>
              <w:rPr>
                <w:rFonts w:ascii="Arial" w:cs="Arial" w:eastAsia="Arial" w:hAnsi="Arial"/>
                <w:sz w:val="18"/>
                <w:szCs w:val="18"/>
                <w:color w:val="auto"/>
              </w:rPr>
              <w:t>Refrigeration &amp; Food Equipment</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370,335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386,214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1,090,452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1,126,215</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Intra-segment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r>
      <w:tr>
        <w:trPr>
          <w:trHeight w:val="264"/>
        </w:trPr>
        <w:tc>
          <w:tcPr>
            <w:tcW w:w="5360" w:type="dxa"/>
            <w:vAlign w:val="bottom"/>
          </w:tcPr>
          <w:p>
            <w:pPr>
              <w:ind w:left="20"/>
              <w:spacing w:after="0"/>
              <w:rPr>
                <w:sz w:val="20"/>
                <w:szCs w:val="20"/>
                <w:color w:val="auto"/>
              </w:rPr>
            </w:pPr>
            <w:r>
              <w:rPr>
                <w:rFonts w:ascii="Arial" w:cs="Arial" w:eastAsia="Arial" w:hAnsi="Arial"/>
                <w:sz w:val="18"/>
                <w:szCs w:val="18"/>
                <w:color w:val="auto"/>
              </w:rPr>
              <w:t>Total consolidated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1,825,345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1,747,403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5,360,808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5,183,168</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color w:val="auto"/>
              </w:rPr>
              <w:t xml:space="preserve">Segment earnings: </w:t>
            </w:r>
            <w:r>
              <w:rPr>
                <w:rFonts w:ascii="Arial" w:cs="Arial" w:eastAsia="Arial" w:hAnsi="Arial"/>
                <w:sz w:val="23"/>
                <w:szCs w:val="23"/>
                <w:color w:val="auto"/>
                <w:vertAlign w:val="superscript"/>
              </w:rPr>
              <w:t>(1)</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5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Engineered Systems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136,022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108,714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390,866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337,429</w:t>
            </w:r>
          </w:p>
        </w:tc>
      </w:tr>
      <w:tr>
        <w:trPr>
          <w:trHeight w:val="270"/>
        </w:trPr>
        <w:tc>
          <w:tcPr>
            <w:tcW w:w="5360" w:type="dxa"/>
            <w:vAlign w:val="bottom"/>
          </w:tcPr>
          <w:p>
            <w:pPr>
              <w:ind w:left="460"/>
              <w:spacing w:after="0"/>
              <w:rPr>
                <w:sz w:val="20"/>
                <w:szCs w:val="20"/>
                <w:color w:val="auto"/>
              </w:rPr>
            </w:pPr>
            <w:r>
              <w:rPr>
                <w:rFonts w:ascii="Arial" w:cs="Arial" w:eastAsia="Arial" w:hAnsi="Arial"/>
                <w:sz w:val="18"/>
                <w:szCs w:val="18"/>
                <w:color w:val="auto"/>
              </w:rPr>
              <w:t xml:space="preserve">Fluids </w:t>
            </w:r>
            <w:r>
              <w:rPr>
                <w:rFonts w:ascii="Arial" w:cs="Arial" w:eastAsia="Arial" w:hAnsi="Arial"/>
                <w:sz w:val="23"/>
                <w:szCs w:val="23"/>
                <w:color w:val="auto"/>
                <w:vertAlign w:val="superscript"/>
              </w:rPr>
              <w:t>(2)</w:t>
            </w: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145,502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101,207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326,638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261,583</w:t>
            </w:r>
          </w:p>
        </w:tc>
      </w:tr>
      <w:tr>
        <w:trPr>
          <w:trHeight w:val="270"/>
        </w:trPr>
        <w:tc>
          <w:tcPr>
            <w:tcW w:w="5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Refrigeration &amp; Food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35,211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42,434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104,393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122,988</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Total segment earnings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316,735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252,355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821,897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722,000</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Corporate expense / other </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28,658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30,207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84,036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91,020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31,410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31,192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94,972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98,957</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(6,680)</w:t>
            </w:r>
          </w:p>
        </w:tc>
      </w:tr>
      <w:tr>
        <w:trPr>
          <w:trHeight w:val="209"/>
        </w:trPr>
        <w:tc>
          <w:tcPr>
            <w:tcW w:w="5360" w:type="dxa"/>
            <w:vAlign w:val="bottom"/>
          </w:tcPr>
          <w:p>
            <w:pPr>
              <w:ind w:left="20"/>
              <w:spacing w:after="0"/>
              <w:rPr>
                <w:sz w:val="20"/>
                <w:szCs w:val="20"/>
                <w:color w:val="auto"/>
              </w:rPr>
            </w:pPr>
            <w:r>
              <w:rPr>
                <w:rFonts w:ascii="Arial" w:cs="Arial" w:eastAsia="Arial" w:hAnsi="Arial"/>
                <w:sz w:val="18"/>
                <w:szCs w:val="18"/>
                <w:color w:val="auto"/>
              </w:rPr>
              <w:t>Earnings before provision for income taxes and discontinued</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257,930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193,016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645,987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538,703</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51,924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35,711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136,191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105,533</w:t>
            </w:r>
          </w:p>
        </w:tc>
      </w:tr>
      <w:tr>
        <w:trPr>
          <w:trHeight w:val="264"/>
        </w:trPr>
        <w:tc>
          <w:tcPr>
            <w:tcW w:w="5360" w:type="dxa"/>
            <w:vAlign w:val="bottom"/>
          </w:tcPr>
          <w:p>
            <w:pPr>
              <w:ind w:left="20"/>
              <w:spacing w:after="0"/>
              <w:rPr>
                <w:sz w:val="20"/>
                <w:szCs w:val="20"/>
                <w:color w:val="auto"/>
              </w:rPr>
            </w:pPr>
            <w:r>
              <w:rPr>
                <w:rFonts w:ascii="Arial" w:cs="Arial" w:eastAsia="Arial" w:hAnsi="Arial"/>
                <w:sz w:val="18"/>
                <w:szCs w:val="18"/>
                <w:color w:val="auto"/>
              </w:rPr>
              <w:t>Earnings from continuing operations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206,006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157,305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509,796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433,170</w:t>
            </w:r>
          </w:p>
        </w:tc>
      </w:tr>
      <w:tr>
        <w:trPr>
          <w:trHeight w:val="21"/>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80" w:hanging="148"/>
        <w:spacing w:after="0"/>
        <w:tabs>
          <w:tab w:leader="none" w:pos="48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Segment earnings includes non-operating income and expense directly attributable to the segments.</w:t>
      </w:r>
    </w:p>
    <w:p>
      <w:pPr>
        <w:ind w:left="500" w:hanging="168"/>
        <w:spacing w:after="0" w:line="197" w:lineRule="auto"/>
        <w:tabs>
          <w:tab w:leader="none" w:pos="500"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The nine months ended September 30, 2019 includes a $46,946 loss on assets held for sale for Finder. Excluding this loss, Fluids segment earnings was $373,584.</w:t>
      </w:r>
    </w:p>
    <w:p>
      <w:pPr>
        <w:jc w:val="both"/>
        <w:ind w:left="340" w:right="20" w:hanging="8"/>
        <w:spacing w:after="0" w:line="224" w:lineRule="auto"/>
        <w:tabs>
          <w:tab w:leader="none" w:pos="515"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Certain expenses are maintained at the corporate level and not allocated to the segments. These expenses include executive and functional compensation costs, non-service pension costs, non-operating insurance expenses, shared business services overhead costs and various administrative expenses relating to the corporate headquarters.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Effective October 1, 2019, the Company changed its reportable segments from three to five, as discussed in Note 22 —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19. Share Repurchases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prior January 2015 share repurchase authorization expired on January 9, 2018. From January 1 to January 9, 2018, the Company repurchased 440,608 shares of common stock at a total cost of $44,977, or $102.08 per share. There were 5,271,168 shares available for repurchase under this authorization upon expiration.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2018, the Company's Board of Directors approved a new standing share repurchase authorization, whereby the Company may repurchase up to 20 million shares of its common stock through December 31, 2020. This share repurchase authorization replaced the January 2015 share repurchase authorization.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22, 2018, the Company entered into a $700,000 accelerated share repurchase agreement (the “ASR Agreement”) with Goldman Sachs &amp; Co. LLC (“Goldman Sachs”) to repurchase its shares in an accelerated share repurchase program (the “ASR Program”). The Company conducted the ASR Program under the February 2018 share repurchase authorization. The Company funded the ASR Program with funds received from Apergy in connection with the consummation of the Apergy spin-off.</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terms of the ASR Agreement, the Company paid Goldman Sachs $700,000 on May 24, 2018 and on that date received initial deliveries of 7,078,751 shares, representing a substantial majority of the shares expected to be retired over the course of the ASR Agreement. In December 2018, Goldman Sachs delivered a total of 1,463,815 shares which completed the ASR Program. During 2018, the Company received a total of 8,542,566 shares as part of the ASR Agreement. The total number of shares ultimately repurchased under the ASR Agreement was based on the volume-weighted average share price of Dover’s common stock during the calculation period of the ASR Program, less a discount, which was $81.94 over the term of the ASR Program.</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 and nine months ended September 30, 2019 and 2018, under the February 2018 authorization, exclusive of the ASR agreement, the Company repurchased 261,807 and 1,729,048 shares of common stock at a total cost of $23,280 and$147,793, or $88.92 and $85.48 per share,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9,441,859 shares remain authorized for repurchase under the February 2018 share repurchase authorization.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reconciliation of the information used in computing basic and diluted earnings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10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September 30,</w:t>
            </w:r>
          </w:p>
        </w:tc>
        <w:tc>
          <w:tcPr>
            <w:tcW w:w="300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206,006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509,796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433,170</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Loss from discontinued operations, net</w:t>
            </w: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206,006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157,305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509,796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428,698</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earnings (loss)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from continuing operations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5300" w:type="dxa"/>
            <w:vAlign w:val="bottom"/>
          </w:tcPr>
          <w:p>
            <w:pPr>
              <w:ind w:left="220"/>
              <w:spacing w:after="0"/>
              <w:rPr>
                <w:sz w:val="20"/>
                <w:szCs w:val="20"/>
                <w:color w:val="auto"/>
              </w:rPr>
            </w:pPr>
            <w:r>
              <w:rPr>
                <w:rFonts w:ascii="Arial" w:cs="Arial" w:eastAsia="Arial" w:hAnsi="Arial"/>
                <w:sz w:val="18"/>
                <w:szCs w:val="18"/>
                <w:color w:val="auto"/>
              </w:rPr>
              <w:t>Loss from discontinued operations, net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162"/>
        </w:trPr>
        <w:tc>
          <w:tcPr>
            <w:tcW w:w="5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145,372,000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147,344,000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145,276,000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151,177,000</w:t>
            </w: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common share:</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from continuing operations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5300" w:type="dxa"/>
            <w:vAlign w:val="bottom"/>
          </w:tcPr>
          <w:p>
            <w:pPr>
              <w:ind w:left="220"/>
              <w:spacing w:after="0"/>
              <w:rPr>
                <w:sz w:val="20"/>
                <w:szCs w:val="20"/>
                <w:color w:val="auto"/>
              </w:rPr>
            </w:pPr>
            <w:r>
              <w:rPr>
                <w:rFonts w:ascii="Arial" w:cs="Arial" w:eastAsia="Arial" w:hAnsi="Arial"/>
                <w:sz w:val="18"/>
                <w:szCs w:val="18"/>
                <w:color w:val="auto"/>
              </w:rPr>
              <w:t>Loss from discontinued operations, net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162"/>
        </w:trPr>
        <w:tc>
          <w:tcPr>
            <w:tcW w:w="5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147,051,000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149,457,000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147,053,000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153,429,000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the share amounts used in computing earnings per share:</w:t>
      </w:r>
    </w:p>
    <w:p>
      <w:pPr>
        <w:spacing w:after="0" w:line="5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Three Months Ended September 30,</w:t>
      </w:r>
    </w:p>
    <w:p>
      <w:pPr>
        <w:spacing w:after="0" w:line="27" w:lineRule="exact"/>
        <w:rPr>
          <w:sz w:val="20"/>
          <w:szCs w:val="20"/>
          <w:color w:val="auto"/>
        </w:rPr>
      </w:pPr>
    </w:p>
    <w:p>
      <w:pPr>
        <w:jc w:val="right"/>
        <w:ind w:right="240"/>
        <w:spacing w:after="0"/>
        <w:rPr>
          <w:sz w:val="20"/>
          <w:szCs w:val="20"/>
          <w:color w:val="auto"/>
        </w:rPr>
      </w:pPr>
      <w:r>
        <w:rPr>
          <w:rFonts w:ascii="Arial" w:cs="Arial" w:eastAsia="Arial" w:hAnsi="Arial"/>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22860</wp:posOffset>
            </wp:positionV>
            <wp:extent cx="3850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shares outstanding - Basic</w:t>
      </w:r>
    </w:p>
    <w:p>
      <w:pPr>
        <w:spacing w:after="0" w:line="63"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Dilutive effect of assumed exercise of SARs and vesting of performance shares and RSUs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shares outstanding - Diluted</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160"/>
        <w:spacing w:after="0"/>
        <w:tabs>
          <w:tab w:leader="none" w:pos="1680" w:val="left"/>
          <w:tab w:leader="none" w:pos="3220" w:val="left"/>
          <w:tab w:leader="none" w:pos="476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34290</wp:posOffset>
            </wp:positionV>
            <wp:extent cx="723773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61" w:lineRule="exact"/>
        <w:rPr>
          <w:sz w:val="20"/>
          <w:szCs w:val="20"/>
          <w:color w:val="auto"/>
        </w:rPr>
      </w:pPr>
    </w:p>
    <w:p>
      <w:pPr>
        <w:spacing w:after="0"/>
        <w:tabs>
          <w:tab w:leader="none" w:pos="1520" w:val="left"/>
          <w:tab w:leader="none" w:pos="3060" w:val="left"/>
          <w:tab w:leader="none" w:pos="4600" w:val="left"/>
        </w:tabs>
        <w:rPr>
          <w:sz w:val="20"/>
          <w:szCs w:val="20"/>
          <w:color w:val="auto"/>
        </w:rPr>
      </w:pPr>
      <w:r>
        <w:rPr>
          <w:rFonts w:ascii="Arial" w:cs="Arial" w:eastAsia="Arial" w:hAnsi="Arial"/>
          <w:sz w:val="18"/>
          <w:szCs w:val="18"/>
          <w:color w:val="auto"/>
        </w:rPr>
        <w:t>145,372,000</w:t>
      </w:r>
      <w:r>
        <w:rPr>
          <w:sz w:val="20"/>
          <w:szCs w:val="20"/>
          <w:color w:val="auto"/>
        </w:rPr>
        <w:tab/>
      </w:r>
      <w:r>
        <w:rPr>
          <w:rFonts w:ascii="Arial" w:cs="Arial" w:eastAsia="Arial" w:hAnsi="Arial"/>
          <w:sz w:val="18"/>
          <w:szCs w:val="18"/>
          <w:color w:val="auto"/>
        </w:rPr>
        <w:t>147,344,000</w:t>
      </w:r>
      <w:r>
        <w:rPr>
          <w:sz w:val="20"/>
          <w:szCs w:val="20"/>
          <w:color w:val="auto"/>
        </w:rPr>
        <w:tab/>
      </w:r>
      <w:r>
        <w:rPr>
          <w:rFonts w:ascii="Arial" w:cs="Arial" w:eastAsia="Arial" w:hAnsi="Arial"/>
          <w:sz w:val="18"/>
          <w:szCs w:val="18"/>
          <w:color w:val="auto"/>
        </w:rPr>
        <w:t>145,276,000</w:t>
      </w:r>
      <w:r>
        <w:rPr>
          <w:sz w:val="20"/>
          <w:szCs w:val="20"/>
          <w:color w:val="auto"/>
        </w:rPr>
        <w:tab/>
      </w:r>
      <w:r>
        <w:rPr>
          <w:rFonts w:ascii="Arial" w:cs="Arial" w:eastAsia="Arial" w:hAnsi="Arial"/>
          <w:sz w:val="16"/>
          <w:szCs w:val="16"/>
          <w:color w:val="auto"/>
        </w:rPr>
        <w:t>151,177,000</w:t>
      </w:r>
    </w:p>
    <w:p>
      <w:pPr>
        <w:spacing w:after="0" w:line="279" w:lineRule="exact"/>
        <w:rPr>
          <w:sz w:val="20"/>
          <w:szCs w:val="20"/>
          <w:color w:val="auto"/>
        </w:rPr>
      </w:pPr>
    </w:p>
    <w:p>
      <w:pPr>
        <w:ind w:left="180"/>
        <w:spacing w:after="0"/>
        <w:tabs>
          <w:tab w:leader="none" w:pos="1700" w:val="left"/>
          <w:tab w:leader="none" w:pos="3240" w:val="left"/>
          <w:tab w:leader="none" w:pos="4780" w:val="left"/>
        </w:tabs>
        <w:rPr>
          <w:sz w:val="20"/>
          <w:szCs w:val="20"/>
          <w:color w:val="auto"/>
        </w:rPr>
      </w:pPr>
      <w:r>
        <w:rPr>
          <w:rFonts w:ascii="Arial" w:cs="Arial" w:eastAsia="Arial" w:hAnsi="Arial"/>
          <w:sz w:val="18"/>
          <w:szCs w:val="18"/>
          <w:color w:val="auto"/>
        </w:rPr>
        <w:t>1,679,000</w:t>
      </w:r>
      <w:r>
        <w:rPr>
          <w:sz w:val="20"/>
          <w:szCs w:val="20"/>
          <w:color w:val="auto"/>
        </w:rPr>
        <w:tab/>
      </w:r>
      <w:r>
        <w:rPr>
          <w:rFonts w:ascii="Arial" w:cs="Arial" w:eastAsia="Arial" w:hAnsi="Arial"/>
          <w:sz w:val="18"/>
          <w:szCs w:val="18"/>
          <w:color w:val="auto"/>
        </w:rPr>
        <w:t>2,113,000</w:t>
      </w:r>
      <w:r>
        <w:rPr>
          <w:sz w:val="20"/>
          <w:szCs w:val="20"/>
          <w:color w:val="auto"/>
        </w:rPr>
        <w:tab/>
      </w:r>
      <w:r>
        <w:rPr>
          <w:rFonts w:ascii="Arial" w:cs="Arial" w:eastAsia="Arial" w:hAnsi="Arial"/>
          <w:sz w:val="18"/>
          <w:szCs w:val="18"/>
          <w:color w:val="auto"/>
        </w:rPr>
        <w:t>1,777,000</w:t>
      </w:r>
      <w:r>
        <w:rPr>
          <w:sz w:val="20"/>
          <w:szCs w:val="20"/>
          <w:color w:val="auto"/>
        </w:rPr>
        <w:tab/>
      </w:r>
      <w:r>
        <w:rPr>
          <w:rFonts w:ascii="Arial" w:cs="Arial" w:eastAsia="Arial" w:hAnsi="Arial"/>
          <w:sz w:val="16"/>
          <w:szCs w:val="16"/>
          <w:color w:val="auto"/>
        </w:rPr>
        <w:t>2,252,000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31750</wp:posOffset>
            </wp:positionV>
            <wp:extent cx="7237730"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97485"/>
                    </a:xfrm>
                    <a:prstGeom prst="rect">
                      <a:avLst/>
                    </a:prstGeom>
                    <a:noFill/>
                  </pic:spPr>
                </pic:pic>
              </a:graphicData>
            </a:graphic>
          </wp:anchor>
        </w:drawing>
      </w:r>
    </w:p>
    <w:p>
      <w:pPr>
        <w:spacing w:after="0" w:line="57" w:lineRule="exact"/>
        <w:rPr>
          <w:sz w:val="20"/>
          <w:szCs w:val="20"/>
          <w:color w:val="auto"/>
        </w:rPr>
      </w:pPr>
    </w:p>
    <w:p>
      <w:pPr>
        <w:spacing w:after="0"/>
        <w:tabs>
          <w:tab w:leader="none" w:pos="1520" w:val="left"/>
          <w:tab w:leader="none" w:pos="3060" w:val="left"/>
          <w:tab w:leader="none" w:pos="4600" w:val="left"/>
        </w:tabs>
        <w:rPr>
          <w:sz w:val="20"/>
          <w:szCs w:val="20"/>
          <w:color w:val="auto"/>
        </w:rPr>
      </w:pPr>
      <w:r>
        <w:rPr>
          <w:rFonts w:ascii="Arial" w:cs="Arial" w:eastAsia="Arial" w:hAnsi="Arial"/>
          <w:sz w:val="18"/>
          <w:szCs w:val="18"/>
          <w:color w:val="auto"/>
        </w:rPr>
        <w:t>147,051,000</w:t>
      </w:r>
      <w:r>
        <w:rPr>
          <w:sz w:val="20"/>
          <w:szCs w:val="20"/>
          <w:color w:val="auto"/>
        </w:rPr>
        <w:tab/>
      </w:r>
      <w:r>
        <w:rPr>
          <w:rFonts w:ascii="Arial" w:cs="Arial" w:eastAsia="Arial" w:hAnsi="Arial"/>
          <w:sz w:val="18"/>
          <w:szCs w:val="18"/>
          <w:color w:val="auto"/>
        </w:rPr>
        <w:t>149,457,000</w:t>
      </w:r>
      <w:r>
        <w:rPr>
          <w:sz w:val="20"/>
          <w:szCs w:val="20"/>
          <w:color w:val="auto"/>
        </w:rPr>
        <w:tab/>
      </w:r>
      <w:r>
        <w:rPr>
          <w:rFonts w:ascii="Arial" w:cs="Arial" w:eastAsia="Arial" w:hAnsi="Arial"/>
          <w:sz w:val="18"/>
          <w:szCs w:val="18"/>
          <w:color w:val="auto"/>
        </w:rPr>
        <w:t>147,053,000</w:t>
      </w:r>
      <w:r>
        <w:rPr>
          <w:sz w:val="20"/>
          <w:szCs w:val="20"/>
          <w:color w:val="auto"/>
        </w:rPr>
        <w:tab/>
      </w:r>
      <w:r>
        <w:rPr>
          <w:rFonts w:ascii="Arial" w:cs="Arial" w:eastAsia="Arial" w:hAnsi="Arial"/>
          <w:sz w:val="16"/>
          <w:szCs w:val="16"/>
          <w:color w:val="auto"/>
        </w:rPr>
        <w:t>153,429,000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57785</wp:posOffset>
            </wp:positionV>
            <wp:extent cx="3850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5240" w:space="480"/>
            <w:col w:w="5700"/>
          </w:cols>
          <w:pgMar w:left="240" w:top="130" w:right="239" w:bottom="1440" w:gutter="0" w:footer="0" w:header="0"/>
          <w:type w:val="continuous"/>
        </w:sect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spacing w:after="0" w:line="20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weighted average number of anti-dilutive potential common shares excluded from the calculation above were approximately 28,000 and 10,000 for the three months ended September 30, 2019 and 2018, respectively, and 9,000 and 1,000 for the nine months ended September 30, 2019 and 2018, respectively.</w:t>
      </w:r>
    </w:p>
    <w:p>
      <w:pPr>
        <w:spacing w:after="0" w:line="147" w:lineRule="exact"/>
        <w:rPr>
          <w:sz w:val="20"/>
          <w:szCs w:val="20"/>
          <w:color w:val="auto"/>
        </w:rPr>
      </w:pPr>
    </w:p>
    <w:p>
      <w:pPr>
        <w:ind w:right="8360" w:firstLine="8"/>
        <w:spacing w:after="0" w:line="641" w:lineRule="auto"/>
        <w:tabs>
          <w:tab w:leader="none" w:pos="270" w:val="left"/>
        </w:tabs>
        <w:numPr>
          <w:ilvl w:val="0"/>
          <w:numId w:val="13"/>
        </w:numPr>
        <w:rPr>
          <w:rFonts w:ascii="Arial" w:cs="Arial" w:eastAsia="Arial" w:hAnsi="Arial"/>
          <w:sz w:val="15"/>
          <w:szCs w:val="15"/>
          <w:b w:val="1"/>
          <w:bCs w:val="1"/>
          <w:u w:val="single" w:color="auto"/>
          <w:color w:val="auto"/>
        </w:rPr>
      </w:pPr>
      <w:r>
        <w:rPr>
          <w:rFonts w:ascii="Arial" w:cs="Arial" w:eastAsia="Arial" w:hAnsi="Arial"/>
          <w:sz w:val="15"/>
          <w:szCs w:val="15"/>
          <w:b w:val="1"/>
          <w:bCs w:val="1"/>
          <w:u w:val="single" w:color="auto"/>
          <w:color w:val="auto"/>
        </w:rPr>
        <w:t xml:space="preserve">Recent Accounting Pronouncements </w:t>
      </w:r>
      <w:r>
        <w:rPr>
          <w:rFonts w:ascii="Arial" w:cs="Arial" w:eastAsia="Arial" w:hAnsi="Arial"/>
          <w:sz w:val="15"/>
          <w:szCs w:val="15"/>
          <w:b w:val="1"/>
          <w:bCs w:val="1"/>
          <w:color w:val="auto"/>
        </w:rPr>
        <w:t>Recently Issued Accounting Standards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standards, issued by the Financial Accounting Standards Board ("FASB"), will, or are expected to, result in a change in practice and/or have a financial impact to the Company’s Consolidated Financial Statements: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2016, the FASB issued ASU No. 2016-13, Financial Instruments - Credit Losses (Topic 326): Measurement of Credit Losses on Financial Instruments, which amends the impairment model by requiring entities to use a forward-looking approach based on expected losses rather than incurred losses to estimate credit losses on certain types of financial instruments, including trade receivables. This may result in the earlier recognition of allowances for losses. The guidance is effective for interim and annual periods for the Company on January 1, 2020. Management is in the process of its assessment of the impact of the new standard on the Company’s Consolidated Financial Statements. Currently, the Company believes that the most notable impact of this ASU may relate to its processes around the assessment of the adequacy of its allowance for doubtful accounts on trade accounts receivable and the recognition of credit losses. Management does not expect this update to have a material impact to the Company's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2019, the FASB issued ASU 2019-07, Codification Updates to SEC Sections. This ASU amends various SEC paragraphs pursuant to the issuance of SEC Final Rule Releases No. 33-10532, Disclosure Update and Simplification, and Nos. 33-10231 and 33-10442, Investment Company Reporting Modernization. One of the changes in the ASU requires a presentation of changes in stockholders’ equity in the form of a reconciliation, either as a separate financial statement or in the notes to the financial statements, for the current and comparative year-to-date interim periods. The Company presented changes in stockholders' equity as separate financial statements for the current and comparative year-to-date interim periods beginning on January 1, 2019. The additional elements of the ASU did not have a material impact on the Company's Consolidated Financial Statements. This guidance was effective immediately upon issuance.</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August 2018, the FASB issued ASU 2018-15, Intangibles-Goodwill and Other-Internal-Use Software (Subtopic 350-40): Customer’s Accounting for Implementation Costs Incurred in a Cloud Computing Arrangement That Is a Service Contract. The amendments in this update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the amendments in this update. The Company early adopted this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0" w:right="2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guidance prospectively beginning on January 1, 2019. The adoption of this ASU did not have a material impact on the Company's Consolidated Financial Statements.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2017, the FASB issued ASU 2017-12, Derivatives and Hedging (Topic 815): Targeted Improvements to Accounting for Hedging Activities. This ASU provides new guidance about income statement classification and eliminates the requirement to separately measure and report hedge ineffectiveness. The entire change in fair value for qualifying hedge instruments included in the effectiveness will be recorded in Other Comprehensive Income ("OCI") and amounts deferred in OCI will be reclassified to earnings in the same income statement line item in which the earnings effect of the hedged item is reported. The Company adopted this guidance on January 1, 2019. The adoption of this ASU did not have a material impact on the Company's Consolidated Financial Statements.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2016, the FASB issued ASU 2016-02, Leases (Topic 842), which amends existing guidance to require lessees to recognize assets and liabilities on the balance sheet for the rights and obligations created by long-term leases and to disclose additional quantitative and qualitative information about leasing arrangements. This ASU also provides clarifications surrounding the presentation of the effects of leases in the income statement and statement of cash flows. The Company adopted this guidance on January 1, 2019.</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commenced its assessment of ASU 2016-02 in the second half of 2017 and developed a project plan to guide the implementation. The Company completed this project plan, in which it analyzed the ASU's impact on its leases, surveyed the Company's businesses, assessed the portfolio of leases, compiled a central repository of active leases, and established a future lease process to keep the lease accounting portfolio up to date. The Company evaluated the key policy elections and considerations under the standard and completed the internal policy documentation and training to address the new standard requirements. The Company also implemented a new lease accounting software solution to support the new reporting requirements. The Company adopted this new guidance using the updated modified transition method allowed per ASU 2018-11. Upon adoption on January 1, 2019, total assets and liabilities increased due to the recording of right-of-use assets and lease liabilities amounting to approximately $163 million. See Note 8 — Leases for further details.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22. Subsequent Events</w:t>
      </w:r>
    </w:p>
    <w:p>
      <w:pPr>
        <w:spacing w:after="0" w:line="2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Effective October 1, 2019, the Company transitioned from a three-segment to a five-segment structure as a result of a change to its internal organization. This new structure will increase management efficiency and better align the Company’s operations with its strategic initiatives and capital allocation priorities across its businesses. The five reportable segments are as follows: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Engineered Products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Fueling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Imaging &amp; Identification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Pumps &amp; Process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Refrigeration &amp; Food Equipment</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Beginning with the year ending December 31, 2019, the Company's segment results and disclosures will reflect the new segment structure for all periods presented.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4, 2019, the Company entered into a new $1 billion five-year unsecured revolving credit facility with a syndicate of banks on substantially similar terms as the existing Credit Agreement. The new credit facility replaced the existing $1 billion five-year Credit Agreement, which was terminated by the Company upon execution of the new credit facility. The new credit facility will expire on October 4, 2024.</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the section below entitled "Special Notes Regarding Forward-Looking Statements" for a discussion of factors that could cause our actual results to differ from the forward-looking statements contained below and throughout this quarterly report.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Throughout this Management’s Discussion and Analysis of Financial Condition and Results of Operations ("MD&amp;A"), we refer to measures used by management to evaluate performance as well as liquidity, including a number of financial measures that are not defined under accounting principles generally accepted in the United States of America ("GAAP"). We believe these measures provide investors with important information that is useful in understanding our business results and trends. Explanations within this MD&amp;A provide more details on the use and derivation of these measures.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Dover is a diversified global manufacturer delivering innovative equipment and components, specialty systems, consumable supplies, software and digital solutions and support services through three operating segments: Engineered Systems, Fluids, and Refrigeration &amp; Food Equipment.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Dover's three operating segments are as follows:</w:t>
      </w:r>
    </w:p>
    <w:p>
      <w:pPr>
        <w:spacing w:after="0" w:line="252" w:lineRule="exact"/>
        <w:rPr>
          <w:sz w:val="20"/>
          <w:szCs w:val="20"/>
          <w:color w:val="auto"/>
        </w:rPr>
      </w:pPr>
    </w:p>
    <w:p>
      <w:pPr>
        <w:jc w:val="both"/>
        <w:ind w:left="660" w:hanging="328"/>
        <w:spacing w:after="0" w:line="26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Engineered Systems segment is comprised of two platforms, Printing &amp; Identification and Industrials, and is focused on the design, manufacture and service of critical equipment and components serving the fast-moving consumer goods, digital textile printing, vehicle service, environmental solutions and industrial end markets.</w:t>
      </w:r>
    </w:p>
    <w:p>
      <w:pPr>
        <w:spacing w:after="0" w:line="208"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Fluids segment, serving the Fueling &amp; Transport, Pumps and Process Solutions end markets, is focused on the safe handling of critical fluids, and providing critical components to the retail fueling, chemical, hygienic, oil and gas, power generation and industrial markets.</w:t>
      </w:r>
    </w:p>
    <w:p>
      <w:pPr>
        <w:spacing w:after="0" w:line="17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Refrigeration &amp; Food Equipment segment is a provider of innovative and energy efficient equipment and systems serving the commercial refrigeration and food equipment end markets.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third quarter of 2019, revenue was $1.8 billion, which increased $77.9 million, or 4.5%, as compared to the third quarter of 2018. Results were driven by organic revenue growth of 5.6% and acquisition-related revenue growth of 1.0%. This growth was partially offset by an unfavorable impact from foreign currency translation of 1.6% and 0.5% impact due to dispositions.</w:t>
      </w:r>
    </w:p>
    <w:p>
      <w:pPr>
        <w:spacing w:after="0" w:line="20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5.6% organic revenue growth was led by 9.8% organic growth in our Fluids segment, reflecting continued robust trading conditions and solid production across the segment. Engineered Systems segment organic revenue increased 6.3%, which was driven by growth in both our Printing &amp; Identification and Industrial platforms. Organic revenue decreased 3.2% in our Refrigeration &amp; Food Equipment segment driven by softer demand activity in our U.S. commercial refrigeration business and heat exchanger business in Asia, partially offset by growth in our can-shaping equipment business.</w:t>
      </w:r>
    </w:p>
    <w:p>
      <w:pPr>
        <w:spacing w:after="0" w:line="18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From a geographic perspective, organic revenue for the U.S., our largest market, Europe, and Asia grew 7%, 8% and 6%, respectively, year over year. U.S. organic growth was driven by strength across our Fluids and Engineered Systems segments, partially offset by the Refrigeration &amp; Food Equipment segment. The growth in Europe was broad-based across all three segments. The growth in Asia was driven by our Fluids and Engineered Systems segments, partially offset by the Refrigeration &amp; Food Equipment segment. Growth in Asia was driven by organic growth of 20% in China, led principally by our retail fueling and process solutions businesses.</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months ended September 30, 2019, we continued to execute on our previously announced rightsizing initiatives to further optimize operations. Rightsizing programs in 2019 primarily include: 1) broad-based selling, general and administrative expense reduction initiatives and 2) footprint consolidation actions. These actions resulted in approximately $3.8 million of rightsizing and other related costs in the third quarter of 2019 across our segments as well as at the Corporate level, inclusive of restructuring costs. These rightsizing charges relate to employee reductions and facility restructuring costs. We incurred rightsizing and other related costs of $0.9 million in Engineered Systems, $1.8 million in Fluids, $0.8 million in Refrigeration &amp; Food Equipment and $0.3 million at the Corporate level. These charges were recorded in cost of goods and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services and selling, general and administrative expenses in the Condensed Consolidated Statement of Earnings. In 2019 and 2020, we expect to incur total rightsizing and other related charges, inclusive of restructuring costs, of approximately $24 million primarily related to the completion of our selling, general and administrative expense reduction actions and continuation of our footprint consolidation initiatives. We incurred $14 million of charges during the nine months ended September 30, 2019 and expect to incur approximately $6 million during the remainder of 2019 and approximately $4 million in 2020.</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October 1, 2019, the Company transitioned from a three-segment to a five-segment structure as a result of a change to its internal organization. This new structure will increase management efficiency and better align the Company’s operations with its strategic initiatives and capital allocation priorities across its businesses. The five reportable segments are as follows: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Engineered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Fueling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Imaging &amp; Identification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Pumps &amp; Process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Refrigeration &amp; Food Equipment</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Beginning with the year ending December 31, 2019, the Company's segment results and disclosures will reflect the new segment structure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CONSOLIDATED RESULTS OF OPERATIONS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34"/>
        </w:trPr>
        <w:tc>
          <w:tcPr>
            <w:tcW w:w="3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gridSpan w:val="8"/>
          </w:tcPr>
          <w:p>
            <w:pPr>
              <w:jc w:val="right"/>
              <w:ind w:right="430"/>
              <w:spacing w:after="0"/>
              <w:rPr>
                <w:sz w:val="20"/>
                <w:szCs w:val="20"/>
                <w:color w:val="auto"/>
              </w:rPr>
            </w:pPr>
            <w:r>
              <w:rPr>
                <w:rFonts w:ascii="Arial" w:cs="Arial" w:eastAsia="Arial" w:hAnsi="Arial"/>
                <w:sz w:val="18"/>
                <w:szCs w:val="18"/>
                <w:b w:val="1"/>
                <w:bCs w:val="1"/>
                <w:color w:val="auto"/>
                <w:w w:val="92"/>
              </w:rPr>
              <w:t>Three Months Ended September 30,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8"/>
          </w:tcPr>
          <w:p>
            <w:pPr>
              <w:jc w:val="right"/>
              <w:ind w:right="450"/>
              <w:spacing w:after="0"/>
              <w:rPr>
                <w:sz w:val="20"/>
                <w:szCs w:val="20"/>
                <w:color w:val="auto"/>
              </w:rPr>
            </w:pPr>
            <w:r>
              <w:rPr>
                <w:rFonts w:ascii="Arial" w:cs="Arial" w:eastAsia="Arial" w:hAnsi="Arial"/>
                <w:sz w:val="18"/>
                <w:szCs w:val="18"/>
                <w:b w:val="1"/>
                <w:bCs w:val="1"/>
                <w:color w:val="auto"/>
                <w:w w:val="98"/>
              </w:rPr>
              <w:t>Nine Months Ended September 30,</w:t>
            </w:r>
          </w:p>
        </w:tc>
        <w:tc>
          <w:tcPr>
            <w:tcW w:w="180" w:type="dxa"/>
            <w:vAlign w:val="bottom"/>
          </w:tcPr>
          <w:p>
            <w:pPr>
              <w:spacing w:after="0"/>
              <w:rPr>
                <w:sz w:val="24"/>
                <w:szCs w:val="24"/>
                <w:color w:val="auto"/>
              </w:rPr>
            </w:pPr>
          </w:p>
        </w:tc>
      </w:tr>
      <w:tr>
        <w:trPr>
          <w:trHeight w:val="27"/>
        </w:trPr>
        <w:tc>
          <w:tcPr>
            <w:tcW w:w="3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i w:val="1"/>
                <w:iCs w:val="1"/>
                <w:color w:val="auto"/>
                <w:w w:val="96"/>
              </w:rPr>
              <w:t>(dollars in thousands, except per share data)</w:t>
            </w:r>
          </w:p>
        </w:tc>
        <w:tc>
          <w:tcPr>
            <w:tcW w:w="36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ind w:left="120"/>
              <w:spacing w:after="0"/>
              <w:rPr>
                <w:sz w:val="20"/>
                <w:szCs w:val="20"/>
                <w:color w:val="auto"/>
              </w:rPr>
            </w:pPr>
            <w:r>
              <w:rPr>
                <w:rFonts w:ascii="Arial" w:cs="Arial" w:eastAsia="Arial" w:hAnsi="Arial"/>
                <w:sz w:val="18"/>
                <w:szCs w:val="18"/>
                <w:b w:val="1"/>
                <w:bCs w:val="1"/>
                <w:color w:val="auto"/>
              </w:rPr>
              <w:t>% Change</w:t>
            </w:r>
          </w:p>
        </w:tc>
        <w:tc>
          <w:tcPr>
            <w:tcW w:w="26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1,825,345</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1,747,403</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5,360,808</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5,183,168</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Cost of goods and services</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1,151,857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1,100,883</w:t>
            </w: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3,391,185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3,268,583</w:t>
            </w:r>
          </w:p>
        </w:tc>
        <w:tc>
          <w:tcPr>
            <w:tcW w:w="1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673,488</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646,520</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1,969,623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1,914,585</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460" w:type="dxa"/>
            <w:vAlign w:val="bottom"/>
          </w:tcPr>
          <w:p>
            <w:pPr>
              <w:ind w:left="220"/>
              <w:spacing w:after="0"/>
              <w:rPr>
                <w:sz w:val="20"/>
                <w:szCs w:val="20"/>
                <w:color w:val="auto"/>
              </w:rPr>
            </w:pPr>
            <w:r>
              <w:rPr>
                <w:rFonts w:ascii="Arial" w:cs="Arial" w:eastAsia="Arial" w:hAnsi="Arial"/>
                <w:sz w:val="18"/>
                <w:szCs w:val="18"/>
                <w:i w:val="1"/>
                <w:iCs w:val="1"/>
                <w:color w:val="auto"/>
              </w:rPr>
              <w:t>Gross profit margin</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36.9</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37.0</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c>
          <w:tcPr>
            <w:tcW w:w="960" w:type="dxa"/>
            <w:vAlign w:val="bottom"/>
            <w:gridSpan w:val="2"/>
          </w:tcPr>
          <w:p>
            <w:pPr>
              <w:jc w:val="right"/>
              <w:spacing w:after="0"/>
              <w:rPr>
                <w:sz w:val="20"/>
                <w:szCs w:val="20"/>
                <w:color w:val="auto"/>
              </w:rPr>
            </w:pPr>
            <w:r>
              <w:rPr>
                <w:rFonts w:ascii="Arial" w:cs="Arial" w:eastAsia="Arial" w:hAnsi="Arial"/>
                <w:sz w:val="18"/>
                <w:szCs w:val="18"/>
                <w:i w:val="1"/>
                <w:iCs w:val="1"/>
                <w:color w:val="auto"/>
              </w:rPr>
              <w:t>(0.1)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36.7</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36.9</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c>
          <w:tcPr>
            <w:tcW w:w="940" w:type="dxa"/>
            <w:vAlign w:val="bottom"/>
            <w:gridSpan w:val="2"/>
          </w:tcPr>
          <w:p>
            <w:pPr>
              <w:jc w:val="right"/>
              <w:spacing w:after="0"/>
              <w:rPr>
                <w:sz w:val="20"/>
                <w:szCs w:val="20"/>
                <w:color w:val="auto"/>
              </w:rPr>
            </w:pPr>
            <w:r>
              <w:rPr>
                <w:rFonts w:ascii="Arial" w:cs="Arial" w:eastAsia="Arial" w:hAnsi="Arial"/>
                <w:sz w:val="18"/>
                <w:szCs w:val="18"/>
                <w:i w:val="1"/>
                <w:iCs w:val="1"/>
                <w:color w:val="auto"/>
              </w:rPr>
              <w:t>(0.2)</w:t>
            </w:r>
          </w:p>
        </w:tc>
        <w:tc>
          <w:tcPr>
            <w:tcW w:w="180" w:type="dxa"/>
            <w:vAlign w:val="bottom"/>
          </w:tcPr>
          <w:p>
            <w:pPr>
              <w:spacing w:after="0"/>
              <w:rPr>
                <w:sz w:val="21"/>
                <w:szCs w:val="21"/>
                <w:color w:val="auto"/>
              </w:rPr>
            </w:pPr>
          </w:p>
        </w:tc>
      </w:tr>
      <w:tr>
        <w:trPr>
          <w:trHeight w:val="27"/>
        </w:trPr>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216"/>
        </w:trPr>
        <w:tc>
          <w:tcPr>
            <w:tcW w:w="3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w w:val="95"/>
              </w:rPr>
              <w:t>Selling, general and administrative expenses</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390,775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426,445</w:t>
            </w: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1,195,875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1,290,246</w:t>
            </w:r>
          </w:p>
        </w:tc>
        <w:tc>
          <w:tcPr>
            <w:tcW w:w="1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9"/>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Selling, general and administrative</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7"/>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i w:val="1"/>
                <w:iCs w:val="1"/>
                <w:color w:val="auto"/>
              </w:rPr>
              <w:t>expenses as a percent of revenue</w:t>
            </w:r>
          </w:p>
        </w:tc>
        <w:tc>
          <w:tcPr>
            <w:tcW w:w="3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(3.0)</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(2.6)</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16"/>
        </w:trPr>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assets held for sale</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46,946</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70"/>
        </w:trPr>
        <w:tc>
          <w:tcPr>
            <w:tcW w:w="3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spacing w:after="0"/>
              <w:rPr>
                <w:sz w:val="23"/>
                <w:szCs w:val="23"/>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31,192</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94,972</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98,957</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(2,060)</w:t>
            </w: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(6,680)</w:t>
            </w:r>
          </w:p>
        </w:tc>
        <w:tc>
          <w:tcPr>
            <w:tcW w:w="1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(53.6)%</w:t>
            </w:r>
          </w:p>
        </w:tc>
      </w:tr>
      <w:tr>
        <w:trPr>
          <w:trHeight w:val="27"/>
        </w:trPr>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(11,059)</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16"/>
        </w:trPr>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provision for income taxes</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discontinued operations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257,930</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193,016</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645,987</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538,703</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51,924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35,711</w:t>
            </w: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136,191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105,533</w:t>
            </w:r>
          </w:p>
        </w:tc>
        <w:tc>
          <w:tcPr>
            <w:tcW w:w="1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i w:val="1"/>
                <w:iCs w:val="1"/>
                <w:color w:val="auto"/>
              </w:rPr>
              <w:t>Effective tax rate</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16"/>
        </w:trPr>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206,006</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157,305</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509,796</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433,170</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Loss from discontinued operations, net</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r>
      <w:tr>
        <w:trPr>
          <w:trHeight w:val="27"/>
        </w:trPr>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206,006</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157,305</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509,796</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428,698</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Earnings from continuing operations per</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common share - 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3.47</w:t>
            </w: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per common share - diluted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324"/>
        </w:trPr>
        <w:tc>
          <w:tcPr>
            <w:tcW w:w="3460" w:type="dxa"/>
            <w:vAlign w:val="bottom"/>
          </w:tcPr>
          <w:p>
            <w:pPr>
              <w:spacing w:after="0"/>
              <w:rPr>
                <w:sz w:val="20"/>
                <w:szCs w:val="20"/>
                <w:color w:val="auto"/>
              </w:rPr>
            </w:pPr>
            <w:r>
              <w:rPr>
                <w:rFonts w:ascii="Arial" w:cs="Arial" w:eastAsia="Arial" w:hAnsi="Arial"/>
                <w:sz w:val="18"/>
                <w:szCs w:val="18"/>
                <w:color w:val="auto"/>
              </w:rPr>
              <w:t>* nm - not meaningful</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quarter of 2019, revenue increased $77.9 million, or 4.5%, from the comparable period. Results included organic revenue growth of 5.6% led by our Fluids and Engineered Systems segments and acquisition-related revenue growth of 1.0% from our Fluids segment. This growth was partially offset by an unfavorable impact from foreign currency translation of 1.6% and a 0.5% impact from dispositions within the Fluids segment. Customer pricing favorably impacted revenue by approximately 1.0% in the third quarter of 2019.</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for the nine months ended September 30, 2019 increased $177.6 million, or 3.4%, from the comparable period. The increase primarily reflects organic revenue growth of 5.5%, led by our Fluids and Engineered Systems segments and acquisition-related growth of 0.8% from our Fluids segment. This growth was partially offset by an unfavorable impact from foreign currency translation of 2.5% and a 0.4% impact from dispositions within the Fluids segment. Customer pricing favorably impacted revenue by approximately 1.1% for the nine months ended September 30,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for the three months ended September 30, 2019 increased $27.0 million, or 4.2%, from the comparable period, primarily due to pricing initiatives and benefits from productivity initiatives and rightsizing actions, partially offset by increased</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130" w:right="239" w:bottom="1440" w:gutter="0" w:footer="0" w:header="0"/>
          <w:type w:val="continuous"/>
        </w:sectPr>
      </w:pPr>
    </w:p>
    <w:bookmarkStart w:id="33" w:name="page34"/>
    <w:bookmarkEnd w:id="33"/>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material costs and unfavorable business and regional mix. Gross profit margin remained relatively flat for the three months ended September 30, 2019 from the comparable period.</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Gross profit for the nine months ended September 30, 2019 increased $55.0 million, or 2.9%, from the comparable period, primarily due to organic revenue growth of 5.5% and benefits from productivity initiatives and rightsizing actions, partially offset by increased material costs and unfavorable business and regional mix. Gross profit margin decreased by 20 basis points for the nine months ended September 30, 2019 from the comparable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Selling, general and administrative expenses for the three months ended September 30, 2019 decreased $35.7 million, or 8.4%, from the comparable period, primarily due to benefits from rightsizing actions started in 2018. As a percentage of revenue, selling, general and administrative expenses decreased 300 basis points to 21.4%, reflecting the leverage of costs on a higher revenue base and the decrease in expenses.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for the nine months ended September 30, 2019 decreased $94.4 million, or 7.3%, from the comparable period, reflecting benefits from rightsizing actions started in 2018. Selling, general and administrative expenses as a percentage of revenue improved 260 basis points as compared to the prior year comparable period.</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costs, including qualifying engineering costs, are expensed when incurred and amounted to $32.1 million and $34.8 million for the three months ended September 30, 2019 and 2018, respectively, and $102.0 million and $106.1 million, for the nine months ended September 30, 2019 and 2018, respectively. These costs as a percent of revenue were 1.8% and 2.0% for the three months ended September 30, 2019 and 2018, respectively, and 1.9% and 2.0% for the nine months ended September 30, 2019 and 2018,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assets held for sale</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29, 2019, the Company entered into a definitive agreement to sell Finder for total consideration of approximately $23.6 million net of estimated selling costs. As of March 31, 2019, Finder met the criteria to be classified as held for sale and based on the total consideration from the sale, net of selling costs, the Company recorded a loss on the assets held for sale of $46.9 million. The loss was comprised of an impairment on assets held for sale of $21.6 million and foreign currency translation losses reclassified from accumulated other comprehensive losses to current earnings of $25.3 million. The Company subsequently sold Finder on April 2, 2019, which generated total cash proceeds of $24.2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net for the three months ended September 30, 2019 increased $3.3 million primarily due to increased earnings from our equity method investments and a reduction in foreign currency exchange losses from the remeasurement of foreign currency denominated balances.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for the nine months ended September 30, 2019 increased $4.4 million primarily due to increased earnings from our equity method investments and a reduction in foreign currency exchange losses from the remeasurement of foreign currency denominated balances.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effective tax rates for the three months ended September 30, 2019 and 2018 were 20.1% and 18.5%, respectively. The increase in the effective tax rate for the three months ended September 30, 2019 relative to the prior comparable period was principally due to a higher benefit from the impact of discrete tax items in the prior period.</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effective tax rates for the nine months ended September 30, 2019 and 2018 were 21.1% and 19.6%, respectively. The increase in the effective tax rate for the nine months ended September 30, 2019 relative to the prior comparable period is primarily driven by the exclusion of capital losses on the sale of Finder under local tax law partially offset by the impact of changes in tax law and the impact of other discrete tax items.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discrete items for the three months ended September 30, 2019 primarily resulted from the net tax benefit from stock exercises and favorable audit settlements. The discrete items for the three months ended September 30, 2018 were driven by the net tax benefit from stock exercises. The discrete items for the nine months ended September 30, 2019 primarily resulted from</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benefit of stock exercises and favorable audit settlements partially offset by the exclusion of capital losses on the sale of Finder under local tax law. The discrete items for the nine months ended September 30, 2018 primarily resulted from the benefit of stock exercises and favorable audit settlements.</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Dover and its subsidiaries file tax returns in the U.S., including various state and local returns, and in other foreign jurisdictions. We believe adequate provision has been made for all income tax uncertainties. The Company is routinely audited by taxing 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zero to $11.5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Continuing Operations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Earnings from continuing operations for the three months ended September 30, 2019 increased 31.0% to $206.0 million, or $1.40 diluted earnings per share, from $157.3 million, or $1.05 diluted earnings per share, from the comparable period. The increase in earnings from continuing operations was mainly attributable to volume leverage, pricing initiatives, productivity actions and benefits from rightsizing actions. These benefits were partially offset by increased material costs, as well as unfavorable business and regional mix.</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Earnings from continuing operations for the nine months ended September 30, 2019 increased 17.7% to $509.8 million, or $3.47 diluted earnings per share, from $433.2 million, or $2.82 diluted earnings per share from the comparable period. Excluding the $46.9 million loss on sale of assets held for sale for Finder, earnings from continuing operations increased by $123.5 million or 28.5% or $3.79 diluted earnings per share. This increase in earnings from continuing operations was principally attributable to volume leverage, pricing initiatives, productivity actions and benefits from rightsizing actions. These benefits were partially offset by increased material costs, as well as unfavorable business and regional mix.</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2019, there were no earnings or losses presented as discontinued operations.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and nine months ended September 30, 2018, the historical results of Apergy were presented as discontinued operations as the spin-off on May 9, 2018 represented a strategic shift in operations with a major impact on our operations and financial results. For the three months ended September 30, 2018, there were no earnings or losses presented as discontinued operations. For the nine months ended September 30, 2018, losses from discontinued operations were $4.5 million which included costs incurred by Dover to complete the spin-off of Apergy amounting to $46.4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summary that follows provides a discussion of the results of operations of each of our three reportable operating segments (Engineered Systems, Fluids, and Refrigeration &amp; Food Equipment). Each of these segments is comprised of various product and service offerings that serve multiple end markets. See Note 18 — Segment Information in the Condensed Consolidated Financial Statements in Item 1 of this Form 10-Q for a reconciliation of segment revenue, earnings and margin to our consolidated revenue, earnings from continuing operations and margin. For further information, see "Non-GAAP Disclosures" at the end of this Item 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Systems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Engineered Systems segment is comprised of two platforms, Printing &amp; Identification and Industrials, and is focused on the design, manufacture and service of critical equipment and components serving the fast-moving consumer goods, digital textile printing, vehicle service, environmental solutions and industrial end markets.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0" w:type="dxa"/>
            <w:vAlign w:val="bottom"/>
            <w:gridSpan w:val="6"/>
          </w:tcPr>
          <w:p>
            <w:pPr>
              <w:jc w:val="right"/>
              <w:ind w:right="490"/>
              <w:spacing w:after="0"/>
              <w:rPr>
                <w:sz w:val="20"/>
                <w:szCs w:val="20"/>
                <w:color w:val="auto"/>
              </w:rPr>
            </w:pPr>
            <w:r>
              <w:rPr>
                <w:rFonts w:ascii="Arial" w:cs="Arial" w:eastAsia="Arial" w:hAnsi="Arial"/>
                <w:sz w:val="18"/>
                <w:szCs w:val="18"/>
                <w:b w:val="1"/>
                <w:bCs w:val="1"/>
                <w:color w:val="auto"/>
                <w:w w:val="98"/>
              </w:rPr>
              <w:t>Three Months Ended September 30,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60" w:type="dxa"/>
            <w:vAlign w:val="bottom"/>
            <w:gridSpan w:val="6"/>
          </w:tcPr>
          <w:p>
            <w:pPr>
              <w:jc w:val="right"/>
              <w:ind w:right="530"/>
              <w:spacing w:after="0"/>
              <w:rPr>
                <w:sz w:val="20"/>
                <w:szCs w:val="20"/>
                <w:color w:val="auto"/>
              </w:rPr>
            </w:pPr>
            <w:r>
              <w:rPr>
                <w:rFonts w:ascii="Arial" w:cs="Arial" w:eastAsia="Arial" w:hAnsi="Arial"/>
                <w:sz w:val="18"/>
                <w:szCs w:val="18"/>
                <w:b w:val="1"/>
                <w:bCs w:val="1"/>
                <w:color w:val="auto"/>
              </w:rPr>
              <w:t>Nine Months Ended September 30,</w:t>
            </w:r>
          </w:p>
        </w:tc>
        <w:tc>
          <w:tcPr>
            <w:tcW w:w="200" w:type="dxa"/>
            <w:vAlign w:val="bottom"/>
          </w:tcPr>
          <w:p>
            <w:pPr>
              <w:spacing w:after="0"/>
              <w:rPr>
                <w:sz w:val="20"/>
                <w:szCs w:val="20"/>
                <w:color w:val="auto"/>
              </w:rPr>
            </w:pPr>
          </w:p>
        </w:tc>
      </w:tr>
      <w:tr>
        <w:trPr>
          <w:trHeight w:val="27"/>
        </w:trPr>
        <w:tc>
          <w:tcPr>
            <w:tcW w:w="312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12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Printing &amp; Identification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287,157</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283,232</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848,056</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865,588</w:t>
            </w:r>
          </w:p>
        </w:tc>
        <w:tc>
          <w:tcPr>
            <w:tcW w:w="12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Industrials</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414,634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388,302</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1,237,427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1,180,561</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4"/>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701,791</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671,534</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2,085,483</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2,046,149</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3"/>
        </w:trPr>
        <w:tc>
          <w:tcPr>
            <w:tcW w:w="3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Segment earnings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136,022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108,714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390,866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337,429</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153,477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126,918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443,981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394,075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12.7 %</w:t>
            </w: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Segment EBITDA margin</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18.9 %</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19.3 %</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17,455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18,204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53,115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56,646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Bookings: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gridSpan w:val="2"/>
          </w:tcPr>
          <w:p>
            <w:pPr>
              <w:ind w:left="340"/>
              <w:spacing w:after="0"/>
              <w:rPr>
                <w:sz w:val="20"/>
                <w:szCs w:val="20"/>
                <w:color w:val="auto"/>
              </w:rPr>
            </w:pPr>
            <w:r>
              <w:rPr>
                <w:rFonts w:ascii="Arial" w:cs="Arial" w:eastAsia="Arial" w:hAnsi="Arial"/>
                <w:sz w:val="18"/>
                <w:szCs w:val="18"/>
                <w:color w:val="auto"/>
              </w:rPr>
              <w:t>Printing &amp; Identification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296,654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271,367</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853,714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862,574</w:t>
            </w:r>
          </w:p>
        </w:tc>
        <w:tc>
          <w:tcPr>
            <w:tcW w:w="1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70"/>
        </w:trPr>
        <w:tc>
          <w:tcPr>
            <w:tcW w:w="3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Industrials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413,925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390,606</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1,213,892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1,270,108</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64"/>
        </w:trPr>
        <w:tc>
          <w:tcPr>
            <w:tcW w:w="3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710,579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661,973</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2,067,606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2,132,682</w:t>
            </w:r>
          </w:p>
        </w:tc>
        <w:tc>
          <w:tcPr>
            <w:tcW w:w="12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17"/>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243"/>
        </w:trPr>
        <w:tc>
          <w:tcPr>
            <w:tcW w:w="3120" w:type="dxa"/>
            <w:vAlign w:val="bottom"/>
            <w:gridSpan w:val="2"/>
          </w:tcPr>
          <w:p>
            <w:pPr>
              <w:ind w:left="340"/>
              <w:spacing w:after="0"/>
              <w:rPr>
                <w:sz w:val="20"/>
                <w:szCs w:val="20"/>
                <w:color w:val="auto"/>
              </w:rPr>
            </w:pPr>
            <w:r>
              <w:rPr>
                <w:rFonts w:ascii="Arial" w:cs="Arial" w:eastAsia="Arial" w:hAnsi="Arial"/>
                <w:sz w:val="18"/>
                <w:szCs w:val="18"/>
                <w:color w:val="auto"/>
              </w:rPr>
              <w:t>Printing &amp; Identification</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125,084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126,609</w:t>
            </w:r>
          </w:p>
        </w:tc>
        <w:tc>
          <w:tcPr>
            <w:tcW w:w="1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3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Industrials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412,817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367,963</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4"/>
        </w:trPr>
        <w:tc>
          <w:tcPr>
            <w:tcW w:w="3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537,901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494,572</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3"/>
        </w:trPr>
        <w:tc>
          <w:tcPr>
            <w:tcW w:w="3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Components of revenue growth:</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Organic growth</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12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289"/>
        </w:trPr>
        <w:tc>
          <w:tcPr>
            <w:tcW w:w="30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2019 Compared to the Third Quarter 2018</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Engineered Systems revenue for the third quarter of 2019 increased $30.3 million, or 4.5%, as compared to the third quarter of 2018, comprised of organic growth of 6.3% offset by an unfavorable impact from foreign currency translation of 1.8%. Customer pricing favorably impacted revenue by approximately 1.3% in the third quarter of 2019.</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130" w:right="239" w:bottom="1440" w:gutter="0" w:footer="0" w:header="0"/>
          <w:type w:val="continuous"/>
        </w:sectPr>
      </w:pPr>
    </w:p>
    <w:bookmarkStart w:id="36" w:name="page37"/>
    <w:bookmarkEnd w:id="36"/>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660" w:hanging="328"/>
        <w:spacing w:after="0" w:line="25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Printing &amp; Identification revenue (representing 40.9% of segment revenue) increased $3.9 million, or 1.4%, as compared to the prior year quarter. The increase was primarily driven by an organic revenue growth of 4.1%, partially offset by an unfavorable impact from foreign currency translation of 2.7%. The organic revenue growth was primarily driven by volume growth in digital printing, resulting from strong activity after a major industry trade show and increasing market demand for digital printing solutions. Organic revenue growth was also driven by our marking and coding business.</w:t>
      </w:r>
    </w:p>
    <w:p>
      <w:pPr>
        <w:spacing w:after="0" w:line="21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Industrials revenue (representing 59.1% of segment revenue) increased $26.3 million, or 6.8%, as compared to the prior year quarter. The increase was primarily driven by organic revenue growth of 7.8% partially offset by an unfavorable impact of foreign currency translation of 1.0%. Organic revenue growth was driven principally by strong activity in the refuse truck and digital solutions product lines in our environmental solutions business, as well as growth in our vehicle service business.</w:t>
      </w:r>
    </w:p>
    <w:p>
      <w:pPr>
        <w:spacing w:after="0" w:line="21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Engineered Systems segment earnings increased $27.3 million, or 25.1%, compared to the third quarter of 2018. This increase was primarily driven by conversion on volume growth in digital print and refuse trucks, pricing actions, and productivity initiatives including the benefits from rightsizing actions and cost reduction initiatives across both platforms. These benefits more than offset increases in material costs, driven by U.S. Section 232 tariffs, most notably commodity cost increases impacting steel, U.S. Section 301 tariffs, along with unfavorable foreign currency translation. Segment margins increased 320 basis points to 19.4% from 16.2% as compared to the prior year quarter.</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Bookings increased 7.3% for the segment, including organic growth of 9.3% partially offset by an unfavorable impact from foreign currency of 2.0%. Our Printing &amp; Identification bookings increased 9.3% compared to the prior year quarter, with an organic increase of 12.3% primarily due to increased order activity in our digital printing business after an industry trade show, partially offset by an unfavorable impact from foreign currency translation of 3.0%. Bookings in our Industrials platform increased 6.0%, with an organic increase of 7.1%, compared to the prior year quarter. This increase was principally</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driven by strong demand for refuse trucks in our environmental solutions business. This growth was offset by an unfavorable impact from foreign currency translation of 1.2%. Segment book-to-bill was 1.01.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Compared to the Nine Months Ended September 30, 2018</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Engineered Systems revenue for the nine months ended September 30, 2019 increased $39.3 million, or 1.9%, compared to the prior year comparable period. This was comprised of 4.5% organic revenue growth offset by an unfavorable impact from foreign currency translation of 2.6%. Organic revenue growth was driven by strong activity in the refuse truck and digital solutions product lines within our environmental solutions business, continued expansion in our digital printing business and growth in our global marking and coding business, as well as growth in our vehicle service business. Customer pricing favorably impacted revenue by approximately 1.7% for the nine months ended September 30, 2019.</w:t>
      </w:r>
    </w:p>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Segment earnings for the nine months ended September 30, 2019 increased $53.4 million, or 15.8% as compared to the 2018 period. This increase was primarily driven by solid conversion on organic volume growth, pricing actions, and productivity initiatives including the benefits of rightsizing actions and cost reduction initiatives across both platforms. These benefits more than offset increases in material costs driven by U.S. Section 232 tariffs, most notably commodity cost increases impacting steel and U.S. Section 301 tariffs, along with unfavorable foreign currency translation. Segment margin increased from 16.5% to 18.7% as compared to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Fluids segment, serving the Fueling &amp; Transport, Pumps and Process Solutions end markets, is focused on the safe handling of critical fluids, and providing critical components to the retail fueling, chemical, hygienic, oil and gas, power generation and industrial markets.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0" w:type="dxa"/>
            <w:vAlign w:val="bottom"/>
            <w:gridSpan w:val="6"/>
          </w:tcPr>
          <w:p>
            <w:pPr>
              <w:jc w:val="right"/>
              <w:ind w:right="490"/>
              <w:spacing w:after="0"/>
              <w:rPr>
                <w:sz w:val="20"/>
                <w:szCs w:val="20"/>
                <w:color w:val="auto"/>
              </w:rPr>
            </w:pPr>
            <w:r>
              <w:rPr>
                <w:rFonts w:ascii="Arial" w:cs="Arial" w:eastAsia="Arial" w:hAnsi="Arial"/>
                <w:sz w:val="18"/>
                <w:szCs w:val="18"/>
                <w:b w:val="1"/>
                <w:bCs w:val="1"/>
                <w:color w:val="auto"/>
                <w:w w:val="98"/>
              </w:rPr>
              <w:t>Three Months Ended September 30,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60" w:type="dxa"/>
            <w:vAlign w:val="bottom"/>
            <w:gridSpan w:val="6"/>
          </w:tcPr>
          <w:p>
            <w:pPr>
              <w:jc w:val="right"/>
              <w:ind w:right="530"/>
              <w:spacing w:after="0"/>
              <w:rPr>
                <w:sz w:val="20"/>
                <w:szCs w:val="20"/>
                <w:color w:val="auto"/>
              </w:rPr>
            </w:pPr>
            <w:r>
              <w:rPr>
                <w:rFonts w:ascii="Arial" w:cs="Arial" w:eastAsia="Arial" w:hAnsi="Arial"/>
                <w:sz w:val="18"/>
                <w:szCs w:val="18"/>
                <w:b w:val="1"/>
                <w:bCs w:val="1"/>
                <w:color w:val="auto"/>
              </w:rPr>
              <w:t>Nine Months Ended September 30,</w:t>
            </w:r>
          </w:p>
        </w:tc>
        <w:tc>
          <w:tcPr>
            <w:tcW w:w="200" w:type="dxa"/>
            <w:vAlign w:val="bottom"/>
          </w:tcPr>
          <w:p>
            <w:pPr>
              <w:spacing w:after="0"/>
              <w:rPr>
                <w:sz w:val="20"/>
                <w:szCs w:val="20"/>
                <w:color w:val="auto"/>
              </w:rPr>
            </w:pPr>
          </w:p>
        </w:tc>
      </w:tr>
      <w:tr>
        <w:trPr>
          <w:trHeight w:val="27"/>
        </w:trPr>
        <w:tc>
          <w:tcPr>
            <w:tcW w:w="312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12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Fueling &amp; Transport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411,769</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367,617</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1,175,405</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1,050,276</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Pumps</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169,678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167,542</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523,730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503,157</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31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Process Solutions</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171,599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154,906</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486,568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458,396</w:t>
            </w: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r>
      <w:tr>
        <w:trPr>
          <w:trHeight w:val="284"/>
        </w:trPr>
        <w:tc>
          <w:tcPr>
            <w:tcW w:w="3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753,046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690,065</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2,185,703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2,011,829</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63"/>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7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Segment earnings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145,502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101,207</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326,638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261,583</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 xml:space="preserve">Segment margin </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14.7 %</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13.0 %</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16"/>
        </w:trPr>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7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 xml:space="preserve">Segment EBITDA </w:t>
            </w:r>
            <w:r>
              <w:rPr>
                <w:rFonts w:ascii="Arial" w:cs="Arial" w:eastAsia="Arial" w:hAnsi="Arial"/>
                <w:sz w:val="23"/>
                <w:szCs w:val="23"/>
                <w:color w:val="auto"/>
                <w:vertAlign w:val="superscript"/>
              </w:rPr>
              <w:t>(2)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180,264</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136,161</w:t>
            </w:r>
          </w:p>
        </w:tc>
        <w:tc>
          <w:tcPr>
            <w:tcW w:w="10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32.4 %</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431,972</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365,967</w:t>
            </w:r>
          </w:p>
        </w:tc>
        <w:tc>
          <w:tcPr>
            <w:tcW w:w="12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18.0 %</w:t>
            </w:r>
          </w:p>
        </w:tc>
      </w:tr>
      <w:tr>
        <w:trPr>
          <w:trHeight w:val="27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Segment EBITDA margin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34,762</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34,954</w:t>
            </w:r>
          </w:p>
        </w:tc>
        <w:tc>
          <w:tcPr>
            <w:tcW w:w="10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105,334</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104,384</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780,320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723,996</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2,263,267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2,164,797</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584,539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588,632</w:t>
            </w:r>
          </w:p>
        </w:tc>
        <w:tc>
          <w:tcPr>
            <w:tcW w:w="12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Components of revenue growth:</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Organic growth</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120" w:type="dxa"/>
            <w:vAlign w:val="bottom"/>
            <w:gridSpan w:val="2"/>
          </w:tcPr>
          <w:p>
            <w:pPr>
              <w:ind w:left="34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12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289"/>
        </w:trPr>
        <w:tc>
          <w:tcPr>
            <w:tcW w:w="30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firstLine="8"/>
        <w:spacing w:after="0" w:line="233" w:lineRule="auto"/>
        <w:tabs>
          <w:tab w:leader="none" w:pos="176" w:val="left"/>
        </w:tabs>
        <w:numPr>
          <w:ilvl w:val="0"/>
          <w:numId w:val="18"/>
        </w:numPr>
        <w:rPr>
          <w:rFonts w:ascii="Arial" w:cs="Arial" w:eastAsia="Arial" w:hAnsi="Arial"/>
          <w:sz w:val="20"/>
          <w:szCs w:val="20"/>
          <w:color w:val="auto"/>
          <w:vertAlign w:val="superscript"/>
        </w:rPr>
      </w:pPr>
      <w:r>
        <w:rPr>
          <w:rFonts w:ascii="Arial" w:cs="Arial" w:eastAsia="Arial" w:hAnsi="Arial"/>
          <w:sz w:val="15"/>
          <w:szCs w:val="15"/>
          <w:color w:val="auto"/>
        </w:rPr>
        <w:t>Excluding a loss on assets held for sale for Finder, segment earnings was $373,584 and $261,583 for the nine months ended September 30, 2019 and 2018, respectively. Segment margin was 17.1% and 13.0% for the nine months ended September 30, 2019 and 2018, respectively.</w:t>
      </w:r>
    </w:p>
    <w:p>
      <w:pPr>
        <w:spacing w:after="0" w:line="1" w:lineRule="exact"/>
        <w:rPr>
          <w:rFonts w:ascii="Arial" w:cs="Arial" w:eastAsia="Arial" w:hAnsi="Arial"/>
          <w:sz w:val="20"/>
          <w:szCs w:val="20"/>
          <w:color w:val="auto"/>
          <w:vertAlign w:val="superscript"/>
        </w:rPr>
      </w:pPr>
    </w:p>
    <w:p>
      <w:pPr>
        <w:ind w:firstLine="8"/>
        <w:spacing w:after="0" w:line="227" w:lineRule="auto"/>
        <w:tabs>
          <w:tab w:leader="none" w:pos="174" w:val="left"/>
        </w:tabs>
        <w:numPr>
          <w:ilvl w:val="0"/>
          <w:numId w:val="18"/>
        </w:numPr>
        <w:rPr>
          <w:rFonts w:ascii="Arial" w:cs="Arial" w:eastAsia="Arial" w:hAnsi="Arial"/>
          <w:sz w:val="20"/>
          <w:szCs w:val="20"/>
          <w:color w:val="auto"/>
          <w:vertAlign w:val="superscript"/>
        </w:rPr>
      </w:pPr>
      <w:r>
        <w:rPr>
          <w:rFonts w:ascii="Arial" w:cs="Arial" w:eastAsia="Arial" w:hAnsi="Arial"/>
          <w:sz w:val="15"/>
          <w:szCs w:val="15"/>
          <w:color w:val="auto"/>
        </w:rPr>
        <w:t>Excluding a loss on assets held for sale for Finder, segment EBITDA was $478,918 and $365,967 for the nine months ended September 30, 2019 and 2018, respectively. Segment EBITDA margin was 21.9% and 18.2% for the nine months ended September 30, 2019 and 2018,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2019 Compared to the Third Quarter 2018</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Fluids revenue for the third quarter of 2019 increased $63.0 million, or 9.1%, comprised of organic growth of 9.8% and acquisition-related growth of 2.6%, partially offset by an unfavorable impact from foreign currency translation of 2.0% and a 1.3% impact from dispositions. Customer pricing favorably impacted revenue by approximately 1.3% in the third quarter of 2019.</w:t>
      </w:r>
    </w:p>
    <w:p>
      <w:pPr>
        <w:spacing w:after="0" w:line="208" w:lineRule="exact"/>
        <w:rPr>
          <w:sz w:val="20"/>
          <w:szCs w:val="20"/>
          <w:color w:val="auto"/>
        </w:rPr>
      </w:pPr>
    </w:p>
    <w:p>
      <w:pPr>
        <w:jc w:val="both"/>
        <w:ind w:left="660" w:hanging="328"/>
        <w:spacing w:after="0" w:line="312"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Fueling &amp; Transport revenue (representing 54.7% of segment revenue) increased $44.2 million, or 12.0%, as compared to the prior year quarter. Growth was driven by a 10.7% organic increase primarily due to continued strong demand in the global retail fueling industry, particularly in the US and Europe, and growth in transportation components volume. Growth was also driven by the acquisition of Belanger, Inc. ("Belanger").</w:t>
      </w:r>
    </w:p>
    <w:p>
      <w:pPr>
        <w:spacing w:after="0" w:line="173"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Pumps revenue (representing 22.5% of segment revenue) increased $2.1 million, or 1.3%, as compared to the prior year quarter. This increase reflects organic growth of 5.0% driven by strong activity in industrial, biopharma and thermal management markets.</w:t>
      </w:r>
    </w:p>
    <w:p>
      <w:pPr>
        <w:spacing w:after="0" w:line="197" w:lineRule="exact"/>
        <w:rPr>
          <w:rFonts w:ascii="Arial" w:cs="Arial" w:eastAsia="Arial" w:hAnsi="Arial"/>
          <w:sz w:val="18"/>
          <w:szCs w:val="18"/>
          <w:color w:val="auto"/>
        </w:rPr>
      </w:pPr>
    </w:p>
    <w:p>
      <w:pPr>
        <w:jc w:val="both"/>
        <w:ind w:left="660" w:hanging="328"/>
        <w:spacing w:after="0" w:line="312"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Process Solutions revenue (representing 22.8% of segment revenue) increased $16.7 million, or 10.8%, as compared to the prior year quarter. This revenue increase was driven by organic growth of 12.7% supported by continued strong demand from our original equipment manufacturer ("OEM") customers for rotating equipment components, as well as pump and other equipment for plastics and polymer production.</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130" w:right="239" w:bottom="1440" w:gutter="0" w:footer="0" w:header="0"/>
          <w:type w:val="continuous"/>
        </w:sectPr>
      </w:pPr>
    </w:p>
    <w:bookmarkStart w:id="38" w:name="page39"/>
    <w:bookmarkEnd w:id="38"/>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Fluids segment earnings increased $44.3 million, or 43.8%, over the prior year quarter. The increase was driven by volume leverage, pricing initiatives, productivity actions and benefits of selling, general and administrative cost reduction realized. These benefits were partially offset by increased material costs driven by U.S. Section 232 tariffs, U.S. Section 301 tariffs, inflation costs and unfavorable product and regional mix. Segment margin increased 460 basis points over the prior year quarter.</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Overall bookings increased 7.8% as compared to the prior year quarter, driven by growth of 17.5% from our Fueling &amp; Transport end market. Segment book to bill was 1.04.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Compared to the Nine Months Ended September 30, 2018</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Fluids segment revenue increased $173.9 million, or 8.6%, as compared to the nine months ended September 30, 2018, attributable to organic growth of 10.7% and acquisition-related growth of 2.0%, partially offset by an unfavorable impact from foreign currency translation of 3.1% and a 1.0% impact from dispositions. All businesses drove organic growth. Customer pricing favorably impacted revenue by approximately 1.1% for the nine months ended September 30, 2019.</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Fluids segment earnings increased $65.1 million, or 24.9%, for the nine months ended September 30, 2019. Excluding the loss on assets held for sale for Finder in the first quarter, segment earnings increased $112.0 million predominantly driven by volume leverage, pricing initiatives, productivity actions and acquisitions. These benefits were partially offset by increased material costs driven by U.S. Section 232 tariffs, U.S. Section 301 tariffs, inflation costs, and unfavorable product and regional mix. Excluding the previously mentioned loss on assets held for sale, segment margin improved 410 basis points over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Refrigeration &amp; Food Equipment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Refrigeration &amp; Food Equipment segment is a provider of innovative and energy efficient equipment and systems serving the commercial refrigeration and food equipment end markets.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80" w:type="dxa"/>
            <w:vAlign w:val="bottom"/>
            <w:gridSpan w:val="6"/>
          </w:tcPr>
          <w:p>
            <w:pPr>
              <w:jc w:val="right"/>
              <w:ind w:right="670"/>
              <w:spacing w:after="0"/>
              <w:rPr>
                <w:sz w:val="20"/>
                <w:szCs w:val="20"/>
                <w:color w:val="auto"/>
              </w:rPr>
            </w:pPr>
            <w:r>
              <w:rPr>
                <w:rFonts w:ascii="Arial" w:cs="Arial" w:eastAsia="Arial" w:hAnsi="Arial"/>
                <w:sz w:val="18"/>
                <w:szCs w:val="18"/>
                <w:b w:val="1"/>
                <w:bCs w:val="1"/>
                <w:color w:val="auto"/>
                <w:w w:val="98"/>
              </w:rPr>
              <w:t>Three Months Ended September 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gridSpan w:val="6"/>
          </w:tcPr>
          <w:p>
            <w:pPr>
              <w:jc w:val="right"/>
              <w:ind w:right="710"/>
              <w:spacing w:after="0"/>
              <w:rPr>
                <w:sz w:val="20"/>
                <w:szCs w:val="20"/>
                <w:color w:val="auto"/>
              </w:rPr>
            </w:pPr>
            <w:r>
              <w:rPr>
                <w:rFonts w:ascii="Arial" w:cs="Arial" w:eastAsia="Arial" w:hAnsi="Arial"/>
                <w:sz w:val="18"/>
                <w:szCs w:val="18"/>
                <w:b w:val="1"/>
                <w:bCs w:val="1"/>
                <w:color w:val="auto"/>
              </w:rPr>
              <w:t>Nine Months Ended September 30,</w:t>
            </w:r>
          </w:p>
        </w:tc>
      </w:tr>
      <w:tr>
        <w:trPr>
          <w:trHeight w:val="27"/>
        </w:trPr>
        <w:tc>
          <w:tcPr>
            <w:tcW w:w="31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14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70"/>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Refrigeration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313,908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328,281</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905,084</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937,168</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Food Equipment</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56,427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57,933</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185,368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189,047</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64"/>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370,335</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386,214</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1,090,452</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1,126,215</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183"/>
        </w:trPr>
        <w:tc>
          <w:tcPr>
            <w:tcW w:w="3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Segment earnings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35,211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42,434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104,393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122,988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16"/>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48,258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55,967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143,228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163,624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Segment EBITDA margin</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14.5 %</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14.5 %</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6"/>
        </w:trPr>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3"/>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Other measures: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13,047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13,533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38,835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40,636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3140" w:type="dxa"/>
            <w:vAlign w:val="bottom"/>
            <w:gridSpan w:val="2"/>
          </w:tcPr>
          <w:p>
            <w:pPr>
              <w:ind w:left="340"/>
              <w:spacing w:after="0"/>
              <w:rPr>
                <w:sz w:val="20"/>
                <w:szCs w:val="20"/>
                <w:color w:val="auto"/>
              </w:rPr>
            </w:pPr>
            <w:r>
              <w:rPr>
                <w:rFonts w:ascii="Arial" w:cs="Arial" w:eastAsia="Arial" w:hAnsi="Arial"/>
                <w:sz w:val="18"/>
                <w:szCs w:val="18"/>
                <w:color w:val="auto"/>
              </w:rPr>
              <w:t>Bookings</w:t>
            </w:r>
          </w:p>
        </w:tc>
        <w:tc>
          <w:tcPr>
            <w:tcW w:w="28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323,422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331,979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1,084,785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1,133,496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Backlog</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262,870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255,783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16"/>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Components of revenue decline: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140" w:type="dxa"/>
            <w:vAlign w:val="bottom"/>
            <w:gridSpan w:val="2"/>
          </w:tcPr>
          <w:p>
            <w:pPr>
              <w:ind w:left="440"/>
              <w:spacing w:after="0"/>
              <w:rPr>
                <w:sz w:val="20"/>
                <w:szCs w:val="20"/>
                <w:color w:val="auto"/>
              </w:rPr>
            </w:pPr>
            <w:r>
              <w:rPr>
                <w:rFonts w:ascii="Arial" w:cs="Arial" w:eastAsia="Arial" w:hAnsi="Arial"/>
                <w:sz w:val="18"/>
                <w:szCs w:val="18"/>
                <w:color w:val="auto"/>
              </w:rPr>
              <w:t>Organic decline</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1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2019 Compared to the Third Quarter 2018</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Refrigeration &amp; Food Equipment revenue decreased $15.9 million, or 4.1%, as compared to the third quarter of 2018, reflecting organic revenue decline of 3.2% and an unfavorable impact from foreign currency translation of 0.9%. Customer pricing did not have a significant impact on revenue in the third quarter of 2019.</w:t>
      </w:r>
    </w:p>
    <w:p>
      <w:pPr>
        <w:spacing w:after="0" w:line="208" w:lineRule="exact"/>
        <w:rPr>
          <w:sz w:val="20"/>
          <w:szCs w:val="20"/>
          <w:color w:val="auto"/>
        </w:rPr>
      </w:pPr>
    </w:p>
    <w:p>
      <w:pPr>
        <w:jc w:val="both"/>
        <w:ind w:left="660" w:hanging="328"/>
        <w:spacing w:after="0" w:line="25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Refrigeration revenue (representing 84.8% of segment revenue) decreased $14.4 million, or 4.4%, as compared to the prior year quarter, reflecting an organic revenue decline of 3.3% and an unfavorable impact of foreign currency translation of 1.1%. Solid store remodel activity drove growth in our core door case product line, which was more than offset by soft demand for commercial refrigeration equipment and shift in timing of several orders, as new store build activity in food retail continues to be slow. The organic decline was also driven by continued weakness in demand for heat exchanger products in Asia.</w:t>
      </w:r>
    </w:p>
    <w:p>
      <w:pPr>
        <w:spacing w:after="0" w:line="134"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Food Equipment revenue (representing 15.2% of segment revenue) decreased $1.5 million, or 2.6%, as compared to the prior year quarter, reflecting an organic decline of 2.8% with growth in our can-shaping equipment business offset by slower activity in our foodservice equipment business due to reduced restaurant chain equipment roll-out programs compared to the prior year.</w:t>
      </w:r>
    </w:p>
    <w:p>
      <w:pPr>
        <w:spacing w:after="0" w:line="127"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color w:val="auto"/>
        </w:rPr>
        <w:t>Refrigeration &amp; Food Equipment segment earnings decreased $7.2 million, or 17.0%, as compared to the third quarter of 2018. Segment margin decreased to 9.5% from 11.0% in the prior year quarter due to reduced overall volume and increased costs associated with facility restructuring, partially offset by benefits from prior year restructuring actions.</w:t>
      </w:r>
    </w:p>
    <w:p>
      <w:pPr>
        <w:jc w:val="both"/>
        <w:spacing w:after="0" w:line="254" w:lineRule="auto"/>
        <w:rPr>
          <w:sz w:val="20"/>
          <w:szCs w:val="20"/>
          <w:color w:val="auto"/>
        </w:rPr>
      </w:pPr>
      <w:r>
        <w:rPr>
          <w:rFonts w:ascii="Arial" w:cs="Arial" w:eastAsia="Arial" w:hAnsi="Arial"/>
          <w:sz w:val="18"/>
          <w:szCs w:val="18"/>
          <w:color w:val="auto"/>
        </w:rPr>
        <w:t>Bookings in the third quarter of 2019 decreased 2.6% (organic decline of 2.3%) from the prior year quarter driven primarily by slower activity in retail refrigeration. Segment book to bill for the third quarter of 2019 was 0.87. Backlog increased 2.8% over the prior year quarter due to strengthening demand in our heat exchanger and can-shaping equipment businesses.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130" w:right="239" w:bottom="1440" w:gutter="0" w:footer="0" w:header="0"/>
          <w:type w:val="continuous"/>
        </w:sectPr>
      </w:pPr>
    </w:p>
    <w:bookmarkStart w:id="40" w:name="page41"/>
    <w:bookmarkEnd w:id="40"/>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Compared to the Nine Months Ended September 30, 2018</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Refrigeration &amp; Food Equipment segment revenue decreased $35.8 million, or 3.2%, compared to the nine months ended September 30, 2018, reflecting an organic revenue decline of 1.9% and an unfavorable foreign currency translation of 1.3%. The organic revenue decrease for the nine months ended September 30, 2019 was driven primarily by softer heat exchanger, retail refrigeration, and foodservice equipment market activity. Customer pricing did not have a significant impact on revenue for the nine months ended September 30, 2019.</w:t>
      </w:r>
    </w:p>
    <w:p>
      <w:pPr>
        <w:spacing w:after="0" w:line="21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Refrigeration &amp; Food Equipment segment earnings decreased $18.6 million, or 15.1%, for the nine months ended September 30, 2019, as compared to the prior year period. Segment margin decreased to 9.6% from 10.9% in the prior year period due to reduced volumes and unfavorable business mix in retail refrigeration and foodservice equipment, partially offset by increased earnings in the can-shaping business as well as improved productivity and benefits from prior year restructuring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repurchases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 while managing our capital structure on a short and long-term basis.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Cash Flow Summary</w:t>
            </w:r>
          </w:p>
        </w:tc>
        <w:tc>
          <w:tcPr>
            <w:tcW w:w="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59"/>
        </w:trPr>
        <w:tc>
          <w:tcPr>
            <w:tcW w:w="7280" w:type="dxa"/>
            <w:vAlign w:val="bottom"/>
          </w:tcPr>
          <w:p>
            <w:pPr>
              <w:spacing w:after="0"/>
              <w:rPr>
                <w:sz w:val="20"/>
                <w:szCs w:val="20"/>
                <w:color w:val="auto"/>
              </w:rPr>
            </w:pPr>
            <w:r>
              <w:rPr>
                <w:rFonts w:ascii="Arial" w:cs="Arial" w:eastAsia="Arial" w:hAnsi="Arial"/>
                <w:sz w:val="18"/>
                <w:szCs w:val="18"/>
                <w:color w:val="auto"/>
                <w:w w:val="99"/>
              </w:rPr>
              <w:t>The following table is derived from our Condensed Consolidated Statements of Cash Flows:</w:t>
            </w: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7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7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7"/>
        </w:trPr>
        <w:tc>
          <w:tcPr>
            <w:tcW w:w="7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Cash Flows from Continuing Operations </w:t>
            </w:r>
            <w:r>
              <w:rPr>
                <w:rFonts w:ascii="Arial" w:cs="Arial" w:eastAsia="Arial" w:hAnsi="Arial"/>
                <w:sz w:val="18"/>
                <w:szCs w:val="18"/>
                <w:i w:val="1"/>
                <w:i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r>
      <w:tr>
        <w:trPr>
          <w:trHeight w:val="244"/>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w:t>
            </w: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ind w:left="650"/>
              <w:spacing w:after="0"/>
              <w:rPr>
                <w:sz w:val="20"/>
                <w:szCs w:val="20"/>
                <w:color w:val="auto"/>
              </w:rPr>
            </w:pPr>
            <w:r>
              <w:rPr>
                <w:rFonts w:ascii="Arial" w:cs="Arial" w:eastAsia="Arial" w:hAnsi="Arial"/>
                <w:sz w:val="18"/>
                <w:szCs w:val="18"/>
                <w:color w:val="auto"/>
                <w:w w:val="92"/>
              </w:rPr>
              <w:t>584,098</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center"/>
              <w:ind w:left="550"/>
              <w:spacing w:after="0"/>
              <w:rPr>
                <w:sz w:val="20"/>
                <w:szCs w:val="20"/>
                <w:color w:val="auto"/>
              </w:rPr>
            </w:pPr>
            <w:r>
              <w:rPr>
                <w:rFonts w:ascii="Arial" w:cs="Arial" w:eastAsia="Arial" w:hAnsi="Arial"/>
                <w:sz w:val="18"/>
                <w:szCs w:val="18"/>
                <w:color w:val="auto"/>
                <w:w w:val="89"/>
              </w:rPr>
              <w:t>418,684</w:t>
            </w:r>
          </w:p>
        </w:tc>
      </w:tr>
      <w:tr>
        <w:trPr>
          <w:trHeight w:val="27"/>
        </w:trPr>
        <w:tc>
          <w:tcPr>
            <w:tcW w:w="7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color w:val="auto"/>
                <w:w w:val="90"/>
              </w:rPr>
              <w:t>(336,057)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0"/>
              </w:rPr>
              <w:t>(210,125)</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1"/>
                <w:szCs w:val="21"/>
                <w:color w:val="auto"/>
              </w:rPr>
            </w:pPr>
          </w:p>
        </w:tc>
        <w:tc>
          <w:tcPr>
            <w:tcW w:w="1620" w:type="dxa"/>
            <w:vAlign w:val="bottom"/>
          </w:tcPr>
          <w:p>
            <w:pPr>
              <w:jc w:val="center"/>
              <w:ind w:left="630"/>
              <w:spacing w:after="0"/>
              <w:rPr>
                <w:sz w:val="20"/>
                <w:szCs w:val="20"/>
                <w:color w:val="auto"/>
              </w:rPr>
            </w:pPr>
            <w:r>
              <w:rPr>
                <w:rFonts w:ascii="Arial" w:cs="Arial" w:eastAsia="Arial" w:hAnsi="Arial"/>
                <w:sz w:val="18"/>
                <w:szCs w:val="18"/>
                <w:color w:val="auto"/>
                <w:w w:val="90"/>
              </w:rPr>
              <w:t>(302,430)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center"/>
              <w:ind w:left="510"/>
              <w:spacing w:after="0"/>
              <w:rPr>
                <w:sz w:val="20"/>
                <w:szCs w:val="20"/>
                <w:color w:val="auto"/>
              </w:rPr>
            </w:pPr>
            <w:r>
              <w:rPr>
                <w:rFonts w:ascii="Arial" w:cs="Arial" w:eastAsia="Arial" w:hAnsi="Arial"/>
                <w:sz w:val="18"/>
                <w:szCs w:val="18"/>
                <w:color w:val="auto"/>
                <w:w w:val="90"/>
              </w:rPr>
              <w:t>(749,313)</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provided by operating activities for the nine months ended September 30, 2019 increased approximately $165.4 million compared to the comparable period in 2018. This increase was primarily driven by higher continuing earnings before the impact of depreciation, amortization and loss on sale of assets. The increase was also attributable to improvements in working capital of $16.3 million relative to the prior year.</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Adjusted Working Capital: </w:t>
      </w:r>
      <w:r>
        <w:rPr>
          <w:rFonts w:ascii="Arial" w:cs="Arial" w:eastAsia="Arial" w:hAnsi="Arial"/>
          <w:sz w:val="18"/>
          <w:szCs w:val="18"/>
          <w:color w:val="auto"/>
        </w:rPr>
        <w:t>We believe adjusted working capital (a non-GAAP measure calculated as accounts receivable, plus inventory, less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provides a meaningful measure of our operational results by showing changes caused solely by revenue.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Working Capital </w:t>
            </w:r>
            <w:r>
              <w:rPr>
                <w:rFonts w:ascii="Arial" w:cs="Arial" w:eastAsia="Arial" w:hAnsi="Arial"/>
                <w:sz w:val="18"/>
                <w:szCs w:val="18"/>
                <w:i w:val="1"/>
                <w:iCs w:val="1"/>
                <w:color w:val="auto"/>
              </w:rPr>
              <w:t>(dollars in thousands)</w:t>
            </w:r>
          </w:p>
        </w:tc>
        <w:tc>
          <w:tcPr>
            <w:tcW w:w="180" w:type="dxa"/>
            <w:vAlign w:val="bottom"/>
          </w:tcPr>
          <w:p>
            <w:pPr>
              <w:spacing w:after="0"/>
              <w:rPr>
                <w:sz w:val="22"/>
                <w:szCs w:val="22"/>
                <w:color w:val="auto"/>
              </w:rPr>
            </w:pPr>
          </w:p>
        </w:tc>
        <w:tc>
          <w:tcPr>
            <w:tcW w:w="19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2019</w:t>
            </w:r>
          </w:p>
        </w:tc>
        <w:tc>
          <w:tcPr>
            <w:tcW w:w="200" w:type="dxa"/>
            <w:vAlign w:val="bottom"/>
          </w:tcPr>
          <w:p>
            <w:pPr>
              <w:spacing w:after="0"/>
              <w:rPr>
                <w:sz w:val="22"/>
                <w:szCs w:val="22"/>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2018</w:t>
            </w:r>
          </w:p>
        </w:tc>
      </w:tr>
      <w:tr>
        <w:trPr>
          <w:trHeight w:val="244"/>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1,269,150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1,231,859</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816,563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748,796</w:t>
            </w:r>
          </w:p>
        </w:tc>
      </w:tr>
      <w:tr>
        <w:trPr>
          <w:trHeight w:val="27"/>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Accounts payable</w:t>
            </w: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952,708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969,531</w:t>
            </w: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Adjusted working capital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1,133,005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1,011,124</w:t>
            </w:r>
          </w:p>
        </w:tc>
      </w:tr>
    </w:tbl>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working capital increased from December 31, 2018 by $121.9 million, or 12.1%, to $1.1 billion at September 30, 2019, which reflected an increase of $37.3 million in accounts receivable, an increase of $67.8 million in inventory, and a decrease in accounts payable of $16.8 million. Excluding acquisitions, dispositions, and the effects of foreign currency translation, adjusted working capital increased by $145.9 million, or 14.4%, for the nine months ended September 30, 2019 primarily driven by increases in working capital to support strong sales during the period, and, with respect to inventory, to also support anticipated shipping activity in the fourth quarter.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provided by or used in investing activities generally results from cash outflows for capital expenditures and acquisitions, offset by proceeds from sales of businesses and property, plant and equipment. For the nine months ended September 30, 2019 and 2018, we used cash in investing activities of $336.1 million and $210.1 million, respectively, driven mainly by the following factors:</w:t>
      </w:r>
    </w:p>
    <w:p>
      <w:pPr>
        <w:spacing w:after="0" w:line="208" w:lineRule="exact"/>
        <w:rPr>
          <w:sz w:val="20"/>
          <w:szCs w:val="20"/>
          <w:color w:val="auto"/>
        </w:rPr>
      </w:pPr>
    </w:p>
    <w:p>
      <w:pPr>
        <w:jc w:val="both"/>
        <w:ind w:left="660" w:hanging="328"/>
        <w:spacing w:after="0" w:line="259" w:lineRule="auto"/>
        <w:tabs>
          <w:tab w:leader="none" w:pos="655"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nine months ended September 30, 2019, we acquired Belanger, All-Flo and an immaterial business within the Fluids</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for $215.7 million, net of cash acquired, respectively. During the nine months ended September 30, 2018, we acquired Ettlinger, within the Fluids segment, for $53.2 million, net of cash acquired, and Rosario, within the Refrigeration &amp; Food Equipment segment, for $15.3 million, net of cash acquired.</w:t>
      </w:r>
    </w:p>
    <w:p>
      <w:pPr>
        <w:spacing w:after="0" w:line="213" w:lineRule="exact"/>
        <w:rPr>
          <w:rFonts w:ascii="Arial" w:cs="Arial" w:eastAsia="Arial" w:hAnsi="Arial"/>
          <w:sz w:val="18"/>
          <w:szCs w:val="18"/>
          <w:i w:val="1"/>
          <w:iCs w:val="1"/>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Capital spending: </w:t>
      </w:r>
      <w:r>
        <w:rPr>
          <w:rFonts w:ascii="Arial" w:cs="Arial" w:eastAsia="Arial" w:hAnsi="Arial"/>
          <w:sz w:val="18"/>
          <w:szCs w:val="18"/>
          <w:color w:val="auto"/>
        </w:rPr>
        <w:t>Our capital expenditures increased $2.7 million during the nine months ended September 30, 2019 compared to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130" w:right="239" w:bottom="1440" w:gutter="0" w:footer="0" w:header="0"/>
          <w:type w:val="continuous"/>
        </w:sectPr>
      </w:pPr>
    </w:p>
    <w:bookmarkStart w:id="42" w:name="page43"/>
    <w:bookmarkEnd w:id="42"/>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660" w:right="20" w:hanging="328"/>
        <w:spacing w:after="0" w:line="264" w:lineRule="auto"/>
        <w:tabs>
          <w:tab w:leader="none" w:pos="65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sale of businesses: </w:t>
      </w:r>
      <w:r>
        <w:rPr>
          <w:rFonts w:ascii="Arial" w:cs="Arial" w:eastAsia="Arial" w:hAnsi="Arial"/>
          <w:sz w:val="18"/>
          <w:szCs w:val="18"/>
          <w:color w:val="auto"/>
        </w:rPr>
        <w:t>For the nine months ended September 30, 2019, we received proceeds of $24.2 million from the sale of Finder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2019. For the nine months ended September 30, 2018, we generated cash of $2.1 million primarily from the sale of a small business in the fourth quarter of 2017.</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anticipate that capital expenditures and any acquisitions we make through the remainder of 2019 will be funded from available cash and internally generated funds and through the issuance of commercial paper, use of established lines of credit or public or private debt or equity markets, as necessary.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cash flow from financing activities generally relates to the use of cash for the repurchase of our common stock and payments of dividends, offset by net borrowing activity. For the nine months ended September 30, 2019 and 2018, we used cash totaling $302.4 million and $749.3 million, respectively, for financing activities, with the activity primarily attributable to the following:</w:t>
      </w:r>
    </w:p>
    <w:p>
      <w:pPr>
        <w:spacing w:after="0" w:line="208" w:lineRule="exact"/>
        <w:rPr>
          <w:sz w:val="20"/>
          <w:szCs w:val="20"/>
          <w:color w:val="auto"/>
        </w:rPr>
      </w:pPr>
    </w:p>
    <w:p>
      <w:pPr>
        <w:jc w:val="both"/>
        <w:ind w:left="660" w:hanging="328"/>
        <w:spacing w:after="0" w:line="25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Repurchase of common stock: </w:t>
      </w:r>
      <w:r>
        <w:rPr>
          <w:rFonts w:ascii="Arial" w:cs="Arial" w:eastAsia="Arial" w:hAnsi="Arial"/>
          <w:sz w:val="18"/>
          <w:szCs w:val="18"/>
          <w:color w:val="auto"/>
        </w:rPr>
        <w:t>During the nine months ended September 30, 2019, we used $23.3 million to repurchase 261,807 shares.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2018, we used $45.0 million to repurchase 440,608 shares under the January 2015 authorization, which expired on January 9, 2018 and, under a new share repurchase authorization adopted by the Board of Directors in February 2018, we repurchased 1,729,048 shares of common stock at a total cost of $147.8 million and used $700 million to repurchase a variable number of shares through an accelerated share repurchase transaction.</w:t>
      </w:r>
    </w:p>
    <w:p>
      <w:pPr>
        <w:spacing w:after="0" w:line="21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Long-term debt, commercial paper and notes payable: </w:t>
      </w:r>
      <w:r>
        <w:rPr>
          <w:rFonts w:ascii="Arial" w:cs="Arial" w:eastAsia="Arial" w:hAnsi="Arial"/>
          <w:sz w:val="18"/>
          <w:szCs w:val="18"/>
          <w:color w:val="auto"/>
        </w:rPr>
        <w:t>During the nine months ended September 30, 2019, we repaid $37.7 million of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paper and notes payable. During the nine months ended September 30, 2018, commercial paper and notes payable increased by $67.6 million to partially fund the repayment of the Company's $350.0 million 5.45% notes, which matured on March 15, 2018, offset by a decrease in net borrowings from commercial paper paid down by cash repatriated to the U.S.</w:t>
      </w:r>
    </w:p>
    <w:p>
      <w:pPr>
        <w:spacing w:after="0" w:line="213" w:lineRule="exact"/>
        <w:rPr>
          <w:rFonts w:ascii="Arial" w:cs="Arial" w:eastAsia="Arial" w:hAnsi="Arial"/>
          <w:sz w:val="18"/>
          <w:szCs w:val="18"/>
          <w:i w:val="1"/>
          <w:iCs w:val="1"/>
          <w:color w:val="auto"/>
        </w:rPr>
      </w:pPr>
    </w:p>
    <w:p>
      <w:pPr>
        <w:jc w:val="both"/>
        <w:ind w:left="660" w:hanging="328"/>
        <w:spacing w:after="0" w:line="279"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Dividend payments: </w:t>
      </w:r>
      <w:r>
        <w:rPr>
          <w:rFonts w:ascii="Arial" w:cs="Arial" w:eastAsia="Arial" w:hAnsi="Arial"/>
          <w:sz w:val="17"/>
          <w:szCs w:val="17"/>
          <w:color w:val="auto"/>
        </w:rPr>
        <w:t>Dividends paid to shareholders during the nine months ended September 30, 2019 totaled $211.1 million as compared to $213.1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during the same period in 2018. Our dividends paid per common share increased 2.1% to $1.45 during the nine months ended September 30, 2019 compared to $1.42 during the same period in 2018. The number of common shares outstanding decreased during the nine months ended September 30, 2019 compared to the same period in 2018 as a result of share repurchases completed in 2019 and 2018.</w:t>
      </w:r>
    </w:p>
    <w:p>
      <w:pPr>
        <w:spacing w:after="0" w:line="198" w:lineRule="exact"/>
        <w:rPr>
          <w:rFonts w:ascii="Arial" w:cs="Arial" w:eastAsia="Arial" w:hAnsi="Arial"/>
          <w:sz w:val="17"/>
          <w:szCs w:val="17"/>
          <w:color w:val="auto"/>
        </w:rPr>
      </w:pPr>
    </w:p>
    <w:p>
      <w:pPr>
        <w:jc w:val="both"/>
        <w:ind w:left="660" w:hanging="328"/>
        <w:spacing w:after="0" w:line="264" w:lineRule="auto"/>
        <w:tabs>
          <w:tab w:leader="none" w:pos="65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to settle employee tax obligations: </w:t>
      </w:r>
      <w:r>
        <w:rPr>
          <w:rFonts w:ascii="Arial" w:cs="Arial" w:eastAsia="Arial" w:hAnsi="Arial"/>
          <w:sz w:val="18"/>
          <w:szCs w:val="18"/>
          <w:color w:val="auto"/>
        </w:rPr>
        <w:t>Payments to settle tax obligations from the exercise of share based awards declined $15.4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prior year period. The decrease is primarily due to the number of shares exercised as well as a decrease in the average stock price compared to the prior year period.</w:t>
      </w:r>
    </w:p>
    <w:p>
      <w:pPr>
        <w:spacing w:after="0" w:line="208" w:lineRule="exact"/>
        <w:rPr>
          <w:rFonts w:ascii="Arial" w:cs="Arial" w:eastAsia="Arial" w:hAnsi="Arial"/>
          <w:sz w:val="18"/>
          <w:szCs w:val="18"/>
          <w:i w:val="1"/>
          <w:iCs w:val="1"/>
          <w:color w:val="auto"/>
        </w:rPr>
      </w:pPr>
    </w:p>
    <w:p>
      <w:pPr>
        <w:jc w:val="both"/>
        <w:ind w:left="660" w:hanging="328"/>
        <w:spacing w:after="0" w:line="25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Cash received from Apergy, net of cash distributed: </w:t>
      </w:r>
      <w:r>
        <w:rPr>
          <w:rFonts w:ascii="Arial" w:cs="Arial" w:eastAsia="Arial" w:hAnsi="Arial"/>
          <w:sz w:val="18"/>
          <w:szCs w:val="18"/>
          <w:color w:val="auto"/>
        </w:rPr>
        <w:t>In 2018, in connection with the separation of Apergy from Dover, Apergy incurred borrowings to</w:t>
      </w:r>
      <w:r>
        <w:rPr>
          <w:rFonts w:ascii="Arial" w:cs="Arial" w:eastAsia="Arial" w:hAnsi="Arial"/>
          <w:sz w:val="18"/>
          <w:szCs w:val="18"/>
          <w:i w:val="1"/>
          <w:iCs w:val="1"/>
          <w:color w:val="auto"/>
        </w:rPr>
        <w:t xml:space="preserve"> </w:t>
      </w:r>
      <w:r>
        <w:rPr>
          <w:rFonts w:ascii="Arial" w:cs="Arial" w:eastAsia="Arial" w:hAnsi="Arial"/>
          <w:sz w:val="18"/>
          <w:szCs w:val="18"/>
          <w:color w:val="auto"/>
        </w:rPr>
        <w:t>fund a one-time cash payment of $700.0 million to Dover in connection with Dover's contribution to Apergy of stock and assets relating to the businesses spun off with Apergy. Dover received net cash of $689.6 million upon separation, which reflects $10.4 million of cash held by Apergy at the time of distribution and retained by it in connection with its separation from Dover.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Discontinued Operations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flows from discontinued operations for the nine months ended September 30, 2018 used $7.9 million. These cash flows reflect the operating results of Apergy prior to its separation during the second quarter of 2018. Cash flow used in discontinued operations for the nine months ended September 30, 2018 primarily reflects cash payments of spin-off costs of $46.0 million and capital expenditures, partially offset by cash provided by operations of approximately $61.8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We believe that free cash flow is an important measure of operating performance because it provides management and investors a measurement of cash generated from operations that is available for mandatory payment obligations and investment opportunities, such as funding acquisitions, paying dividends, repaying debt and repurchasing our common stock.</w:t>
      </w:r>
    </w:p>
    <w:p>
      <w:pPr>
        <w:sectPr>
          <w:pgSz w:w="11900" w:h="16838" w:orient="portrait"/>
          <w:cols w:equalWidth="0" w:num="1">
            <w:col w:w="11420"/>
          </w:cols>
          <w:pgMar w:left="240" w:top="130" w:right="2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our free cash flow to cash flow provided by operating activities:</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 provided by operating activities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Free cash flow as a percentage of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22809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r>
      <w:tr>
        <w:trPr>
          <w:trHeight w:val="27"/>
        </w:trPr>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584,098</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418,684</w:t>
            </w:r>
          </w:p>
        </w:tc>
      </w:tr>
      <w:tr>
        <w:trPr>
          <w:trHeight w:val="270"/>
        </w:trPr>
        <w:tc>
          <w:tcPr>
            <w:tcW w:w="400" w:type="dxa"/>
            <w:vAlign w:val="bottom"/>
          </w:tcPr>
          <w:p>
            <w:pPr>
              <w:spacing w:after="0"/>
              <w:rPr>
                <w:sz w:val="23"/>
                <w:szCs w:val="23"/>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(137,276)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(134,556)</w:t>
            </w:r>
          </w:p>
        </w:tc>
      </w:tr>
      <w:tr>
        <w:trPr>
          <w:trHeight w:val="27"/>
        </w:trPr>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446,822</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284,128</w:t>
            </w:r>
          </w:p>
        </w:tc>
      </w:tr>
      <w:tr>
        <w:trPr>
          <w:trHeight w:val="27"/>
        </w:trPr>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31"/>
        </w:trPr>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5.5 %</w:t>
            </w:r>
          </w:p>
        </w:tc>
      </w:tr>
    </w:tbl>
    <w:p>
      <w:pPr>
        <w:spacing w:after="0" w:line="200" w:lineRule="exact"/>
        <w:rPr>
          <w:sz w:val="20"/>
          <w:szCs w:val="20"/>
          <w:color w:val="auto"/>
        </w:rPr>
      </w:pPr>
    </w:p>
    <w:p>
      <w:pPr>
        <w:sectPr>
          <w:pgSz w:w="11900" w:h="16838" w:orient="portrait"/>
          <w:cols w:equalWidth="0" w:num="2">
            <w:col w:w="7080" w:space="720"/>
            <w:col w:w="3620"/>
          </w:cols>
          <w:pgMar w:left="240" w:top="130" w:right="239" w:bottom="1440" w:gutter="0" w:footer="0" w:header="0"/>
          <w:type w:val="continuous"/>
        </w:sectPr>
      </w:pP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2019, we generated free cash flow of $446.8 million, representing 8.3% of revenue. Free cash flow for the nine months ended September 30, 2019 increased $162.7 million compared to the prior year period, primarily due to higher cash flow provided by operations, as previously noted, partially offset by higher capital expenditures. The adoption of Accounting Standard Codification Topic 842 - Leases on January 1, 2019 did not did not materially impact free cash flow.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use commercial paper borrowings for general corporate purposes, including the funding of acquisitions and the repurchase of our common stock. As of September 30, 2019, we maintained a $1.0 billion, five-year, unsecured committed revolving credit facility (the "Credit Agreement") with a syndicate of banks with an expiration date of November 10, 2020. The Credit Agreement is used as liquidity back-up for our commercial paper program. We have not drawn down any loans under the Credit Agreement nor do we anticipate doing so. Under the Credit Agreement, we are required to pay a facility fee and to maintain an interest coverage ratio of consolidated EBITDA to consolidated net interest expense of not less than 3.0 to 1.0. We were in compliance with this covenant and our other long-term debt covenants at September 30, 2019 and had a coverage ratio of 10.5 to 1.0. We are not aware of any potential impairment to our liquidity and expect to remain in compliance with all of our debt covenants.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4, 2019, we entered into a new $1 billion five-year unsecured revolving credit facility with a syndicate of banks on substantially similar terms as the existing Credit Agreement. The new credit facility replaced the existing $1 billion five-year Credit Agreement noted above, which was terminated by the Company upon execution of the new credit facility. The new credit facility will expire on October 4, 2024.</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 current shelf registration statement filed with the Securities and Exchange Commission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2019, our cash and cash equivalents totaled $340.5 million, of which $308.5 million was held outside the United States. At December 31, 2018, our cash and cash equivalents totaled $396.2 million, of which $247.5 million was held outside the United States. Cash and cash equivalents are invested in highly liquid investment-grade money market instruments and bank deposits with maturities of three months or less. We invest any cash in excess of near-term requirements in money market instruments or short-term investments, which consist of investment grade time deposits with original maturity dates at the time of purchase of no greater than three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30" w:right="239" w:bottom="1440" w:gutter="0" w:footer="0" w:header="0"/>
          <w:type w:val="continuous"/>
        </w:sectPr>
      </w:pPr>
    </w:p>
    <w:bookmarkStart w:id="44" w:name="page45"/>
    <w:bookmarkEnd w:id="44"/>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reconciliation of net debt to net capitalization to the most directly comparable GAAP measures: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 xml:space="preserve">Net Debt to Net Capitalization Ratio </w:t>
            </w:r>
            <w:r>
              <w:rPr>
                <w:rFonts w:ascii="Arial" w:cs="Arial" w:eastAsia="Arial" w:hAnsi="Arial"/>
                <w:sz w:val="18"/>
                <w:szCs w:val="18"/>
                <w:i w:val="1"/>
                <w:iCs w:val="1"/>
                <w:color w:val="auto"/>
              </w:rPr>
              <w:t>(dollars in thousands)</w:t>
            </w: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September 30, 2019</w:t>
            </w: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December 31, 2018</w:t>
            </w:r>
          </w:p>
        </w:tc>
        <w:tc>
          <w:tcPr>
            <w:tcW w:w="180" w:type="dxa"/>
            <w:vAlign w:val="bottom"/>
            <w:tcBorders>
              <w:bottom w:val="single" w:sz="8" w:color="auto"/>
            </w:tcBorders>
          </w:tcPr>
          <w:p>
            <w:pPr>
              <w:spacing w:after="0"/>
              <w:rPr>
                <w:sz w:val="22"/>
                <w:szCs w:val="22"/>
                <w:color w:val="auto"/>
              </w:rPr>
            </w:pPr>
          </w:p>
        </w:tc>
      </w:tr>
      <w:tr>
        <w:trPr>
          <w:trHeight w:val="244"/>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182,700</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220,318</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2,908,729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2,943,660</w:t>
            </w:r>
          </w:p>
        </w:tc>
        <w:tc>
          <w:tcPr>
            <w:tcW w:w="180" w:type="dxa"/>
            <w:vAlign w:val="bottom"/>
          </w:tcPr>
          <w:p>
            <w:pPr>
              <w:spacing w:after="0"/>
              <w:rPr>
                <w:sz w:val="21"/>
                <w:szCs w:val="2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3,091,429</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3,163,978</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Less: Cash and cash equivalents</w:t>
            </w: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(340,532)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(396,221)</w:t>
            </w:r>
          </w:p>
        </w:tc>
        <w:tc>
          <w:tcPr>
            <w:tcW w:w="180" w:type="dxa"/>
            <w:vAlign w:val="bottom"/>
          </w:tcPr>
          <w:p>
            <w:pPr>
              <w:spacing w:after="0"/>
              <w:rPr>
                <w:sz w:val="21"/>
                <w:szCs w:val="2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debt</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2,750,897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2,767,757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Add: Stockholders' equity</w:t>
            </w: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3,017,643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2,768,666</w:t>
            </w:r>
          </w:p>
        </w:tc>
        <w:tc>
          <w:tcPr>
            <w:tcW w:w="180" w:type="dxa"/>
            <w:vAlign w:val="bottom"/>
          </w:tcPr>
          <w:p>
            <w:pPr>
              <w:spacing w:after="0"/>
              <w:rPr>
                <w:sz w:val="21"/>
                <w:szCs w:val="2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4"/>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capitalization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5,768,540</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5,536,423</w:t>
            </w:r>
          </w:p>
        </w:tc>
        <w:tc>
          <w:tcPr>
            <w:tcW w:w="180" w:type="dxa"/>
            <w:vAlign w:val="bottom"/>
            <w:shd w:val="clear" w:color="auto" w:fill="CCEEFF"/>
          </w:tcPr>
          <w:p>
            <w:pPr>
              <w:spacing w:after="0"/>
              <w:rPr>
                <w:sz w:val="24"/>
                <w:szCs w:val="24"/>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820" w:type="dxa"/>
            <w:vAlign w:val="bottom"/>
          </w:tcPr>
          <w:p>
            <w:pPr>
              <w:ind w:left="20"/>
              <w:spacing w:after="0"/>
              <w:rPr>
                <w:sz w:val="20"/>
                <w:szCs w:val="20"/>
                <w:color w:val="auto"/>
              </w:rPr>
            </w:pPr>
            <w:r>
              <w:rPr>
                <w:rFonts w:ascii="Arial" w:cs="Arial" w:eastAsia="Arial" w:hAnsi="Arial"/>
                <w:sz w:val="18"/>
                <w:szCs w:val="18"/>
                <w:color w:val="auto"/>
              </w:rPr>
              <w:t>Net debt to net capitalization</w:t>
            </w:r>
          </w:p>
        </w:tc>
        <w:tc>
          <w:tcPr>
            <w:tcW w:w="2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1"/>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net debt to net capitalization ratio decreased to 47.7% at September 30, 2019 compared to 50.0% at December 31, 2018. Net debt decreased $16.9 million during the period primarily due to a decrease in both commercial paper and long-term debt, primarily as a result of foreign currency translation on our euro-denominated debt. Stockholders' equity increased $249.0 million primarily as a result of higher earnings during the period partially offset by dividends paid.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Operating cash flow and access to capital markets are expected to satisfy our various cash flow requirements, including acquisitions and capital expenditures.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Acquisition spending and/or share repurchases could potentially increase our debt.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are consistently applied. We review valuations based on estimates for reasonableness on a consistent basis.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Part 1, Notes to Condensed Consolidated Financial Statements, Note 21 — Recent Accounting Pronouncements. The adoption of recent accounting standards as included in Note 21 — Recent Accounting Pronouncements in the Condensed Consolidated Financial Statements has not had and is not expected to have a significant impact on our revenue, earnings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Notes Regarding Forward-Looking Statements</w:t>
      </w:r>
    </w:p>
    <w:p>
      <w:pPr>
        <w:spacing w:after="0" w:line="25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This Quarterly Report on Form 10-Q, especially "Management’s Discussion and Analysis of Financial Condition and Results of Operations," contains "forward-looking" statements within the meaning of the Private Securities Litigation Reform Act of 1995. All statements in this document other than statements of historical fact are statements that are, or could be deemed, “forward-looking” statements. Some of these statements may be indicated by words such as “may”, “anticipate”, “expect”, believe”, “intend”, “guidance”, “estimates”, “suggest”, “will”, “plan”, “should”, “would”, “could”, “forecast” and other words and terms that use the future tense or have a similar meaning. Forward-looking statements are based on current expectations and are subject to numerous important risks, uncertainties, assumptions and other factors, some of which are beyond the Company’s control. Factors that could cause actual results to differ materially from current expectations include, among other things, general economic conditions and conditions in the particular markets in which we operate, changes in customer demand and capital spending, competitive factors and pricing pressures, our ability to develop and launch new products in a cost-effective manner, changes in law, including the effect of U.S. tax reform and developments with respect to trade policy and tariffs, our ability to identify and complete acquisitions and integrate and realize synergies from newly acquired businesses, the impact of interest rate and currency exchange rate fluctuations, capital allocation plans and changes in those plans, including with respect to dividends, share repurchases, investments in research and development, capital expenditures and acquisitions, our ability to derive expected benefits from restructuring, productivity initiatives and other cost reduction actions, changes in material costs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130" w:right="239" w:bottom="1440" w:gutter="0" w:footer="0" w:header="0"/>
          <w:type w:val="continuous"/>
        </w:sectPr>
      </w:pPr>
    </w:p>
    <w:bookmarkStart w:id="45" w:name="page46"/>
    <w:bookmarkEnd w:id="45"/>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or the supply of input materials, the impact of legal compliance risks and litigation, including with respect to product quality and safety, cybersecurity and privacy, our ability to capture and protect intellectual property rights, and various other factors that are described in our periodic reports filed with or furnished to the Securities and Exchange Commission, including our Annual Report on Form 10-K for the year ended December 31, 2018. The Company undertakes no obligation to publicly update any forward-looking statement, whether as a result of new information, future events or otherwise.</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Disclosures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an effort to provide investors with additional information regarding our results as determined by GAAP, we also disclose non-GAAP information that we believe provides useful information to investors. Segment EBITDA, segment EBITDA margin, free cash flow, net debt, net capitalization, the net debt to net capitalization ratio, adjusted working capital and organic revenue growth are not financial measures under GAAP and should not be considered as a substitute for cash flows from operating activities, debt or equity, earnings, revenue or working capital as determined in accordance with GAAP, and they may not be comparable to similarly titled measures reported by other companies. We believe that segment EBITDA and segment EBITDA margin are useful to investors and other users of our financial information in evaluating ongoing operating profitability as they exclude the depreciation and amortization expense related primarily to capital expenditures and acquisitions that occurred in prior years, as well as in evaluating operating performance in relation to our competitors. Segment EBITDA is calculated by adding back depreciation and amortization expense to segment earnings, which is the most directly comparable GAAP measure. We do not present segment net income because corporate expenses, interest and taxes are not allocated at a segment level. Segment EBITDA margin is calculated as segment EBITDA divided by segment revenue.</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believe the net debt to net capitalization ratio and free cash flow are important measures of liquidity. Net debt to net capitalization is helpful in evaluating our capital structure and the amount of leverage we employ. Free cash flow provides both management and investors a measurement of cash generated from operations that is available to fund acquisitions, pay dividends, repay debt and repurchase our common stock. Reconciliations of free cash flow, net debt and net capitalization can be found above in this Item 2, MD&amp;A. We believe that reporting adjusted working capital, which is calculated as accounts receivable, plus inventory, less accounts payable, provides a meaningful measure of our operational results by showing the changes caused solely by revenue. We believe that reporting organic revenue and organic revenue growth, which exclude the impact of foreign currency exchange rates and the impact of acquisitions and divestitures, provides a useful comparison of our revenue performance and trends between periods.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has been no significant change in our exposure to market risk during the nine months ended September 30, 2019. For a discussion of our exposure to market risk, refer to Item 7A, "Quantitative and Qualitative Disclosures about Market Risk," contained in our Annual Report on Form 10-K for the fiscal year ended December 31,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disclosure controls and procedures were effective as of September 30, 2019.</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third quarter of 2019, there were no changes in the Company’s internal control over financial reporting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Part I, Notes to Condensed Consolidated Financial Statements, Note 15 — Commitments and Contingent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previously disclosed in our Annual Report on Form 10-K for the year ended December 31, 2018.</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table below presents shares of Dover stock that we acquired during the quarter.</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r>
      <w:tr>
        <w:trPr>
          <w:trHeight w:val="216"/>
        </w:trPr>
        <w:tc>
          <w:tcPr>
            <w:tcW w:w="4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r>
      <w:tr>
        <w:trPr>
          <w:trHeight w:val="216"/>
        </w:trPr>
        <w:tc>
          <w:tcPr>
            <w:tcW w:w="424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Average Price</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Paid per Share</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r>
      <w:tr>
        <w:trPr>
          <w:trHeight w:val="27"/>
        </w:trPr>
        <w:tc>
          <w:tcPr>
            <w:tcW w:w="42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July 1 to July 31</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August 1 to August 31</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261,807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88.92</w:t>
            </w:r>
          </w:p>
        </w:tc>
        <w:tc>
          <w:tcPr>
            <w:tcW w:w="100" w:type="dxa"/>
            <w:vAlign w:val="bottom"/>
          </w:tcPr>
          <w:p>
            <w:pPr>
              <w:spacing w:after="0"/>
              <w:rPr>
                <w:sz w:val="23"/>
                <w:szCs w:val="23"/>
                <w:color w:val="auto"/>
              </w:rPr>
            </w:pP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261,807</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September 1 to September 30</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4"/>
        </w:trPr>
        <w:tc>
          <w:tcPr>
            <w:tcW w:w="4240" w:type="dxa"/>
            <w:vAlign w:val="bottom"/>
          </w:tcPr>
          <w:p>
            <w:pPr>
              <w:spacing w:after="0"/>
              <w:rPr>
                <w:sz w:val="20"/>
                <w:szCs w:val="20"/>
                <w:color w:val="auto"/>
              </w:rPr>
            </w:pPr>
            <w:r>
              <w:rPr>
                <w:rFonts w:ascii="Arial" w:cs="Arial" w:eastAsia="Arial" w:hAnsi="Arial"/>
                <w:sz w:val="18"/>
                <w:szCs w:val="18"/>
                <w:b w:val="1"/>
                <w:bCs w:val="1"/>
                <w:color w:val="auto"/>
              </w:rPr>
              <w:t>For the Third Quarter</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261,807</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88.92</w:t>
            </w:r>
          </w:p>
        </w:tc>
        <w:tc>
          <w:tcPr>
            <w:tcW w:w="100" w:type="dxa"/>
            <w:vAlign w:val="bottom"/>
          </w:tcPr>
          <w:p>
            <w:pPr>
              <w:spacing w:after="0"/>
              <w:rPr>
                <w:sz w:val="22"/>
                <w:szCs w:val="22"/>
                <w:color w:val="auto"/>
              </w:rPr>
            </w:pPr>
          </w:p>
        </w:tc>
        <w:tc>
          <w:tcPr>
            <w:tcW w:w="1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261,807</w:t>
            </w:r>
          </w:p>
        </w:tc>
      </w:tr>
      <w:tr>
        <w:trPr>
          <w:trHeight w:val="21"/>
        </w:trPr>
        <w:tc>
          <w:tcPr>
            <w:tcW w:w="4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2377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23773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Maximum Number (or</w:t>
      </w:r>
    </w:p>
    <w:p>
      <w:pPr>
        <w:jc w:val="center"/>
        <w:ind w:left="-19"/>
        <w:spacing w:after="0" w:line="222" w:lineRule="auto"/>
        <w:rPr>
          <w:sz w:val="20"/>
          <w:szCs w:val="20"/>
          <w:color w:val="auto"/>
        </w:rPr>
      </w:pPr>
      <w:r>
        <w:rPr>
          <w:rFonts w:ascii="Arial" w:cs="Arial" w:eastAsia="Arial" w:hAnsi="Arial"/>
          <w:sz w:val="17"/>
          <w:szCs w:val="17"/>
          <w:b w:val="1"/>
          <w:bCs w:val="1"/>
          <w:color w:val="auto"/>
        </w:rPr>
        <w:t xml:space="preserve">Approximate Dollar Value) of Shares that May Yet Be Purchased under the Plans or Programs </w:t>
      </w:r>
      <w:r>
        <w:rPr>
          <w:rFonts w:ascii="Arial" w:cs="Arial" w:eastAsia="Arial" w:hAnsi="Arial"/>
          <w:sz w:val="22"/>
          <w:szCs w:val="22"/>
          <w:b w:val="1"/>
          <w:bCs w:val="1"/>
          <w:color w:val="auto"/>
          <w:vertAlign w:val="superscript"/>
        </w:rPr>
        <w:t>(1)</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9,703,666</w:t>
      </w:r>
    </w:p>
    <w:p>
      <w:pPr>
        <w:spacing w:after="0" w:line="5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9,441,859</w:t>
      </w:r>
    </w:p>
    <w:p>
      <w:pPr>
        <w:spacing w:after="0" w:line="7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9,441,859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39370</wp:posOffset>
            </wp:positionV>
            <wp:extent cx="1252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6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9,441,859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39370</wp:posOffset>
            </wp:positionV>
            <wp:extent cx="1252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52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64770</wp:posOffset>
            </wp:positionV>
            <wp:extent cx="1252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9320" w:space="220"/>
            <w:col w:w="1880"/>
          </w:cols>
          <w:pgMar w:left="240" w:top="130" w:right="239" w:bottom="1440" w:gutter="0" w:footer="0" w:header="0"/>
          <w:type w:val="continuous"/>
        </w:sectPr>
      </w:pPr>
    </w:p>
    <w:p>
      <w:pPr>
        <w:spacing w:after="0" w:line="29" w:lineRule="exact"/>
        <w:rPr>
          <w:sz w:val="20"/>
          <w:szCs w:val="20"/>
          <w:color w:val="auto"/>
        </w:rPr>
      </w:pPr>
    </w:p>
    <w:p>
      <w:pPr>
        <w:jc w:val="both"/>
        <w:ind w:firstLine="8"/>
        <w:spacing w:after="0" w:line="273" w:lineRule="auto"/>
        <w:tabs>
          <w:tab w:leader="none" w:pos="182"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In February 2018, the Company's Board of Directors approved a new standing share repurchase authorization, whereby the Company may repurchase up to 20 million shares of its common stock through December 31, 2020. The Company repurchased 261,807 shares under the February 2018 authorization during the three months ended September 30, 2019. As of September 30, 2019, the number of shares still available for repurchase under the February 2018 share repurchase authorization was 9,441,859.</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30" w:right="239" w:bottom="1440" w:gutter="0" w:footer="0" w:header="0"/>
          <w:type w:val="continuous"/>
        </w:sectPr>
      </w:pPr>
    </w:p>
    <w:bookmarkStart w:id="47" w:name="page48"/>
    <w:bookmarkEnd w:id="47"/>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54" w:lineRule="exact"/>
        <w:rPr>
          <w:sz w:val="20"/>
          <w:szCs w:val="20"/>
          <w:color w:val="auto"/>
        </w:rPr>
      </w:pPr>
    </w:p>
    <w:p>
      <w:pPr>
        <w:ind w:left="960" w:right="360" w:hanging="26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 </w:t>
      </w:r>
      <w:hyperlink r:id="rId27">
        <w:r>
          <w:rPr>
            <w:rFonts w:ascii="Arial" w:cs="Arial" w:eastAsia="Arial" w:hAnsi="Arial"/>
            <w:sz w:val="18"/>
            <w:szCs w:val="18"/>
            <w:u w:val="single" w:color="auto"/>
            <w:color w:val="0000FF"/>
          </w:rPr>
          <w:t>Amended and Restated Bylaws of Dover Corporation (as amended through August 1, 2019), filed as Exhibit 3.1 to the Company's Current</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FF"/>
          </w:rPr>
          <w:t>Report on Form 8-K filed August 2, 2019 (SEC File No. 001-04018), is incorporated by reference.</w:t>
        </w:r>
      </w:hyperlink>
    </w:p>
    <w:p>
      <w:pPr>
        <w:spacing w:after="0" w:line="108" w:lineRule="exact"/>
        <w:rPr>
          <w:sz w:val="20"/>
          <w:szCs w:val="20"/>
          <w:color w:val="auto"/>
        </w:rPr>
      </w:pPr>
    </w:p>
    <w:p>
      <w:pPr>
        <w:jc w:val="both"/>
        <w:ind w:left="960" w:hanging="35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28">
        <w:r>
          <w:rPr>
            <w:rFonts w:ascii="Arial" w:cs="Arial" w:eastAsia="Arial" w:hAnsi="Arial"/>
            <w:sz w:val="18"/>
            <w:szCs w:val="18"/>
            <w:u w:val="single" w:color="auto"/>
            <w:color w:val="0000FF"/>
          </w:rPr>
          <w:t>Credit Agreement, dated as of October 4, 2019, among Dover Corporation, the Lenders party thereto, the Borrowing Subsidiaries party thereto</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FF"/>
          </w:rPr>
          <w:t>from time to time and JPMorgan Chase Bank, N.A. as Administrative Agent, filed as Exhibit 10.1 to the Company's Current Report on Form 8-</w:t>
        </w:r>
      </w:hyperlink>
      <w:hyperlink r:id="rId28">
        <w:r>
          <w:rPr>
            <w:rFonts w:ascii="Arial" w:cs="Arial" w:eastAsia="Arial" w:hAnsi="Arial"/>
            <w:sz w:val="18"/>
            <w:szCs w:val="18"/>
            <w:u w:val="single" w:color="auto"/>
            <w:color w:val="0000FF"/>
          </w:rPr>
          <w:t>K filed October 10, 2019 (SEC File No. 001-04018), is incorporated by reference.</w:t>
        </w:r>
      </w:hyperlink>
    </w:p>
    <w:p>
      <w:pPr>
        <w:spacing w:after="0" w:line="123" w:lineRule="exact"/>
        <w:rPr>
          <w:rFonts w:ascii="Arial" w:cs="Arial" w:eastAsia="Arial" w:hAnsi="Arial"/>
          <w:sz w:val="18"/>
          <w:szCs w:val="18"/>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 xml:space="preserve">31.1 </w:t>
      </w:r>
      <w:hyperlink w:anchor="page50">
        <w:r>
          <w:rPr>
            <w:rFonts w:ascii="Arial" w:cs="Arial" w:eastAsia="Arial" w:hAnsi="Arial"/>
            <w:sz w:val="17"/>
            <w:szCs w:val="17"/>
            <w:u w:val="single" w:color="auto"/>
            <w:color w:val="0000FF"/>
          </w:rPr>
          <w:t>Certification pursuant to Rule 13a-14(a) of the Securities Exchange Act of 1934, as amended, signed and dated by Brad M. Cerepak.</w:t>
        </w:r>
      </w:hyperlink>
    </w:p>
    <w:p>
      <w:pPr>
        <w:spacing w:after="0" w:line="196" w:lineRule="exact"/>
        <w:rPr>
          <w:rFonts w:ascii="Arial" w:cs="Arial" w:eastAsia="Arial" w:hAnsi="Arial"/>
          <w:sz w:val="18"/>
          <w:szCs w:val="18"/>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 xml:space="preserve">31.2 </w:t>
      </w:r>
      <w:hyperlink w:anchor="page51">
        <w:r>
          <w:rPr>
            <w:rFonts w:ascii="Arial" w:cs="Arial" w:eastAsia="Arial" w:hAnsi="Arial"/>
            <w:sz w:val="17"/>
            <w:szCs w:val="17"/>
            <w:u w:val="single" w:color="auto"/>
            <w:color w:val="0000FF"/>
          </w:rPr>
          <w:t>Certification pursuant to Rule 13a-14(a) of the Securities Exchange Act of 1934, as amended, signed and dated by Richard J. Tobin.</w:t>
        </w:r>
      </w:hyperlink>
    </w:p>
    <w:p>
      <w:pPr>
        <w:spacing w:after="0" w:line="183" w:lineRule="exact"/>
        <w:rPr>
          <w:rFonts w:ascii="Arial" w:cs="Arial" w:eastAsia="Arial" w:hAnsi="Arial"/>
          <w:sz w:val="18"/>
          <w:szCs w:val="18"/>
          <w:color w:val="auto"/>
        </w:rPr>
      </w:pPr>
    </w:p>
    <w:p>
      <w:pPr>
        <w:ind w:left="960" w:right="140" w:hanging="215"/>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w:anchor="page52">
        <w:r>
          <w:rPr>
            <w:rFonts w:ascii="Arial" w:cs="Arial" w:eastAsia="Arial" w:hAnsi="Arial"/>
            <w:sz w:val="18"/>
            <w:szCs w:val="18"/>
            <w:u w:val="single" w:color="auto"/>
            <w:color w:val="0000FF"/>
          </w:rPr>
          <w:t>Certification pursuant to 18 U.S.C. Section 1350, as adopted pursuant to Section 906 of the Sarbanes-Oxley Act of 2002, signed and dated by</w:t>
        </w:r>
      </w:hyperlink>
      <w:r>
        <w:rPr>
          <w:rFonts w:ascii="Arial" w:cs="Arial" w:eastAsia="Arial" w:hAnsi="Arial"/>
          <w:sz w:val="18"/>
          <w:szCs w:val="18"/>
          <w:color w:val="auto"/>
        </w:rPr>
        <w:t xml:space="preserve"> </w:t>
      </w:r>
      <w:hyperlink w:anchor="page52">
        <w:r>
          <w:rPr>
            <w:rFonts w:ascii="Arial" w:cs="Arial" w:eastAsia="Arial" w:hAnsi="Arial"/>
            <w:sz w:val="18"/>
            <w:szCs w:val="18"/>
            <w:u w:val="single" w:color="auto"/>
            <w:color w:val="0000FF"/>
          </w:rPr>
          <w:t>Richard J. Tobin and Brad M. Cerepak.</w:t>
        </w:r>
      </w:hyperlink>
    </w:p>
    <w:p>
      <w:pPr>
        <w:spacing w:after="0" w:line="162" w:lineRule="exact"/>
        <w:rPr>
          <w:sz w:val="20"/>
          <w:szCs w:val="20"/>
          <w:color w:val="auto"/>
        </w:rPr>
      </w:pPr>
    </w:p>
    <w:p>
      <w:pPr>
        <w:ind w:left="960" w:right="140" w:hanging="443"/>
        <w:spacing w:after="0" w:line="25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materials from Dover Corporation’s Quarterly Report on Form 10-Q for the quarter ended September 30, 2019 formatted in iXBRL (Inline eXtensible Business Reporting Language): (i) the Condensed Consolidated Statements of Earnings, (ii) the Condensed Consolidated Statements of Comprehensive Earnings, (iii) the Condensed Consolidated Balance Sheets, (iv) the Condensed Consolidated Statement of Stockholders’ Equity, (v) the Condensed Consolidated Statements of Cash Flows, and (vi) Notes to the Condensed Consolidated Financial Statements.</w:t>
      </w:r>
    </w:p>
    <w:p>
      <w:pPr>
        <w:spacing w:after="0" w:line="175"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formatted in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00"/>
          </w:cols>
          <w:pgMar w:left="240" w:top="130" w:right="359" w:bottom="1440" w:gutter="0" w:footer="0" w:header="0"/>
        </w:sectPr>
      </w:pPr>
    </w:p>
    <w:bookmarkStart w:id="48" w:name="page49"/>
    <w:bookmarkEnd w:id="48"/>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DOVER CORPORATION</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480" w:type="dxa"/>
            <w:vAlign w:val="bottom"/>
          </w:tcPr>
          <w:p>
            <w:pPr>
              <w:ind w:left="120"/>
              <w:spacing w:after="0"/>
              <w:rPr>
                <w:sz w:val="20"/>
                <w:szCs w:val="20"/>
                <w:color w:val="auto"/>
              </w:rPr>
            </w:pPr>
            <w:r>
              <w:rPr>
                <w:rFonts w:ascii="Arial" w:cs="Arial" w:eastAsia="Arial" w:hAnsi="Arial"/>
                <w:sz w:val="18"/>
                <w:szCs w:val="18"/>
                <w:color w:val="auto"/>
              </w:rPr>
              <w:t>October 17, 2019</w:t>
            </w:r>
          </w:p>
        </w:tc>
        <w:tc>
          <w:tcPr>
            <w:tcW w:w="5340" w:type="dxa"/>
            <w:vAlign w:val="bottom"/>
          </w:tcPr>
          <w:p>
            <w:pPr>
              <w:ind w:left="20"/>
              <w:spacing w:after="0"/>
              <w:rPr>
                <w:sz w:val="20"/>
                <w:szCs w:val="20"/>
                <w:color w:val="auto"/>
              </w:rPr>
            </w:pPr>
            <w:r>
              <w:rPr>
                <w:rFonts w:ascii="Arial" w:cs="Arial" w:eastAsia="Arial" w:hAnsi="Arial"/>
                <w:sz w:val="18"/>
                <w:szCs w:val="18"/>
                <w:color w:val="auto"/>
              </w:rPr>
              <w:t>/s/ Brad M. Cerepak</w:t>
            </w:r>
          </w:p>
        </w:tc>
      </w:tr>
      <w:tr>
        <w:trPr>
          <w:trHeight w:val="27"/>
        </w:trPr>
        <w:tc>
          <w:tcPr>
            <w:tcW w:w="5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70"/>
        </w:trPr>
        <w:tc>
          <w:tcPr>
            <w:tcW w:w="52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70"/>
        </w:trPr>
        <w:tc>
          <w:tcPr>
            <w:tcW w:w="52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480" w:type="dxa"/>
            <w:vAlign w:val="bottom"/>
          </w:tcPr>
          <w:p>
            <w:pPr>
              <w:ind w:left="120"/>
              <w:spacing w:after="0"/>
              <w:rPr>
                <w:sz w:val="20"/>
                <w:szCs w:val="20"/>
                <w:color w:val="auto"/>
              </w:rPr>
            </w:pPr>
            <w:r>
              <w:rPr>
                <w:rFonts w:ascii="Arial" w:cs="Arial" w:eastAsia="Arial" w:hAnsi="Arial"/>
                <w:sz w:val="18"/>
                <w:szCs w:val="18"/>
                <w:color w:val="auto"/>
              </w:rPr>
              <w:t>October 17, 2019</w:t>
            </w:r>
          </w:p>
        </w:tc>
        <w:tc>
          <w:tcPr>
            <w:tcW w:w="5340" w:type="dxa"/>
            <w:vAlign w:val="bottom"/>
          </w:tcPr>
          <w:p>
            <w:pPr>
              <w:ind w:left="20"/>
              <w:spacing w:after="0"/>
              <w:rPr>
                <w:sz w:val="20"/>
                <w:szCs w:val="20"/>
                <w:color w:val="auto"/>
              </w:rPr>
            </w:pPr>
            <w:r>
              <w:rPr>
                <w:rFonts w:ascii="Arial" w:cs="Arial" w:eastAsia="Arial" w:hAnsi="Arial"/>
                <w:sz w:val="18"/>
                <w:szCs w:val="18"/>
                <w:color w:val="auto"/>
              </w:rPr>
              <w:t>/s/ Ryan W. Paulson</w:t>
            </w:r>
          </w:p>
        </w:tc>
      </w:tr>
      <w:tr>
        <w:trPr>
          <w:trHeight w:val="27"/>
        </w:trPr>
        <w:tc>
          <w:tcPr>
            <w:tcW w:w="5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Ryan W. Paulson</w:t>
            </w:r>
          </w:p>
        </w:tc>
      </w:tr>
      <w:tr>
        <w:trPr>
          <w:trHeight w:val="270"/>
        </w:trPr>
        <w:tc>
          <w:tcPr>
            <w:tcW w:w="52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Vice President, Controller</w:t>
            </w:r>
          </w:p>
        </w:tc>
      </w:tr>
      <w:tr>
        <w:trPr>
          <w:trHeight w:val="270"/>
        </w:trPr>
        <w:tc>
          <w:tcPr>
            <w:tcW w:w="52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3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Brad M. Cerepak, certify that:</w:t>
      </w:r>
    </w:p>
    <w:p>
      <w:pPr>
        <w:spacing w:after="0" w:line="171" w:lineRule="exact"/>
        <w:rPr>
          <w:sz w:val="20"/>
          <w:szCs w:val="20"/>
          <w:color w:val="auto"/>
        </w:rPr>
      </w:pPr>
    </w:p>
    <w:p>
      <w:pPr>
        <w:ind w:left="500" w:hanging="330"/>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Dover Corporation;</w:t>
      </w:r>
    </w:p>
    <w:p>
      <w:pPr>
        <w:spacing w:after="0" w:line="171"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3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4" w:lineRule="auto"/>
        <w:tabs>
          <w:tab w:leader="none" w:pos="7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0"/>
        <w:spacing w:after="0"/>
        <w:tabs>
          <w:tab w:leader="none" w:pos="660" w:val="left"/>
          <w:tab w:leader="none" w:pos="5720" w:val="left"/>
        </w:tabs>
        <w:rPr>
          <w:sz w:val="20"/>
          <w:szCs w:val="20"/>
          <w:color w:val="auto"/>
        </w:rPr>
      </w:pPr>
      <w:r>
        <w:rPr>
          <w:rFonts w:ascii="Arial" w:cs="Arial" w:eastAsia="Arial" w:hAnsi="Arial"/>
          <w:sz w:val="18"/>
          <w:szCs w:val="18"/>
          <w:color w:val="auto"/>
        </w:rPr>
        <w:t>Date:</w:t>
        <w:tab/>
        <w:t>October 17, 2019</w:t>
      </w:r>
      <w:r>
        <w:rPr>
          <w:sz w:val="20"/>
          <w:szCs w:val="20"/>
          <w:color w:val="auto"/>
        </w:rPr>
        <w:tab/>
      </w:r>
      <w:r>
        <w:rPr>
          <w:rFonts w:ascii="Arial" w:cs="Arial" w:eastAsia="Arial" w:hAnsi="Arial"/>
          <w:sz w:val="16"/>
          <w:szCs w:val="16"/>
          <w:color w:val="auto"/>
        </w:rPr>
        <w:t>/s/ Brad M. Cerepak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601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Brad M. Cerepak</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&amp; 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89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Dover Corporation;</w:t>
      </w:r>
    </w:p>
    <w:p>
      <w:pPr>
        <w:spacing w:after="0" w:line="171"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3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4" w:lineRule="auto"/>
        <w:tabs>
          <w:tab w:leader="none" w:pos="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640" w:val="left"/>
          <w:tab w:leader="none" w:pos="5700" w:val="left"/>
        </w:tabs>
        <w:rPr>
          <w:sz w:val="20"/>
          <w:szCs w:val="20"/>
          <w:color w:val="auto"/>
        </w:rPr>
      </w:pPr>
      <w:r>
        <w:rPr>
          <w:rFonts w:ascii="Arial" w:cs="Arial" w:eastAsia="Arial" w:hAnsi="Arial"/>
          <w:sz w:val="18"/>
          <w:szCs w:val="18"/>
          <w:color w:val="auto"/>
        </w:rPr>
        <w:t>Date:</w:t>
        <w:tab/>
        <w:t>October 17, 2019</w:t>
      </w:r>
      <w:r>
        <w:rPr>
          <w:sz w:val="20"/>
          <w:szCs w:val="20"/>
          <w:color w:val="auto"/>
        </w:rPr>
        <w:tab/>
      </w:r>
      <w:r>
        <w:rPr>
          <w:rFonts w:ascii="Arial" w:cs="Arial" w:eastAsia="Arial" w:hAnsi="Arial"/>
          <w:sz w:val="16"/>
          <w:szCs w:val="16"/>
          <w:color w:val="auto"/>
        </w:rPr>
        <w:t>/s/ Richard J.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01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J. Tobin</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89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Dover Corporation</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89" w:lineRule="exact"/>
        <w:rPr>
          <w:sz w:val="20"/>
          <w:szCs w:val="20"/>
          <w:color w:val="auto"/>
        </w:rPr>
      </w:pPr>
    </w:p>
    <w:p>
      <w:pPr>
        <w:ind w:left="660" w:right="20" w:hanging="328"/>
        <w:spacing w:after="0" w:line="28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2019 (the “Form 10-Q</w:t>
      </w:r>
      <w:r>
        <w:rPr>
          <w:rFonts w:ascii="Arial" w:cs="Arial" w:eastAsia="Arial" w:hAnsi="Arial"/>
          <w:sz w:val="18"/>
          <w:szCs w:val="18"/>
          <w:b w:val="1"/>
          <w:bCs w:val="1"/>
          <w:color w:val="auto"/>
        </w:rPr>
        <w:t>”</w:t>
      </w:r>
      <w:r>
        <w:rPr>
          <w:rFonts w:ascii="Arial" w:cs="Arial" w:eastAsia="Arial" w:hAnsi="Arial"/>
          <w:sz w:val="18"/>
          <w:szCs w:val="18"/>
          <w:color w:val="auto"/>
        </w:rPr>
        <w:t>) fully complies with the requirements of Section 13(a) of the Securities Exchange Act of 1934, as amended; and</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48" w:lineRule="exact"/>
        <w:rPr>
          <w:sz w:val="20"/>
          <w:szCs w:val="20"/>
          <w:color w:val="auto"/>
        </w:rPr>
      </w:pPr>
    </w:p>
    <w:p>
      <w:pPr>
        <w:ind w:left="20"/>
        <w:spacing w:after="0"/>
        <w:tabs>
          <w:tab w:leader="none" w:pos="760" w:val="left"/>
          <w:tab w:leader="none" w:pos="5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17, 2019</w:t>
      </w:r>
      <w:r>
        <w:rPr>
          <w:sz w:val="20"/>
          <w:szCs w:val="20"/>
          <w:color w:val="auto"/>
        </w:rPr>
        <w:tab/>
      </w:r>
      <w:r>
        <w:rPr>
          <w:rFonts w:ascii="Arial" w:cs="Arial" w:eastAsia="Arial" w:hAnsi="Arial"/>
          <w:sz w:val="16"/>
          <w:szCs w:val="16"/>
          <w:color w:val="auto"/>
        </w:rPr>
        <w:t>/s/ Richard J.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01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J. Tobin</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20"/>
        <w:spacing w:after="0"/>
        <w:tabs>
          <w:tab w:leader="none" w:pos="760" w:val="left"/>
          <w:tab w:leader="none" w:pos="5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17, 2019</w:t>
      </w:r>
      <w:r>
        <w:rPr>
          <w:sz w:val="20"/>
          <w:szCs w:val="20"/>
          <w:color w:val="auto"/>
        </w:rPr>
        <w:tab/>
      </w:r>
      <w:r>
        <w:rPr>
          <w:rFonts w:ascii="Arial" w:cs="Arial" w:eastAsia="Arial" w:hAnsi="Arial"/>
          <w:sz w:val="16"/>
          <w:szCs w:val="16"/>
          <w:color w:val="auto"/>
        </w:rPr>
        <w:t>/s/ Brad M. Cerepak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01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 M. Cerepak</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&amp; 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lvl w:ilvl="1">
      <w:lvlJc w:val="left"/>
      <w:lvlText w:val="(%2)"/>
      <w:numFmt w:val="decimal"/>
      <w:start w:val="1"/>
    </w:lvl>
  </w:abstractNum>
  <w:abstractNum w:abstractNumId="5">
    <w:nsid w:val="519B500D"/>
    <w:multiLevelType w:val="hybridMultilevel"/>
    <w:lvl w:ilvl="0">
      <w:lvlJc w:val="left"/>
      <w:lvlText w:val="%1."/>
      <w:numFmt w:val="decimal"/>
      <w:start w:val="11"/>
    </w:lvl>
    <w:lvl w:ilvl="1">
      <w:lvlJc w:val="left"/>
      <w:lvlText w:val="%2"/>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2"/>
    </w:lvl>
  </w:abstractNum>
  <w:abstractNum w:abstractNumId="8">
    <w:nsid w:val="7C83E458"/>
    <w:multiLevelType w:val="hybridMultilevel"/>
    <w:lvl w:ilvl="0">
      <w:lvlJc w:val="left"/>
      <w:lvlText w:val="%1."/>
      <w:numFmt w:val="decimal"/>
      <w:start w:val="15"/>
    </w:lvl>
  </w:abstractNum>
  <w:abstractNum w:abstractNumId="9">
    <w:nsid w:val="257130A3"/>
    <w:multiLevelType w:val="hybridMultilevel"/>
    <w:lvl w:ilvl="0">
      <w:lvlJc w:val="left"/>
      <w:lvlText w:val="%1."/>
      <w:numFmt w:val="decimal"/>
      <w:start w:val="16"/>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2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0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27" Type="http://schemas.openxmlformats.org/officeDocument/2006/relationships/hyperlink" Target="http://www.sec.gov/Archives/edgar/data/29905/000119312519212039/d732008dex31.htm" TargetMode="External"/><Relationship Id="rId28" Type="http://schemas.openxmlformats.org/officeDocument/2006/relationships/hyperlink" Target="http://www.sec.gov/Archives/edgar/data/29905/000119312519265497/d81901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2019-12-28T05:26:07Z</dcterms:created>
  <dcterms:modified xsi:type="dcterms:W3CDTF">2019-12-28T05:26:07Z</dcterms:modified>
</cp:coreProperties>
</file>