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color w:val="000000"/>
          <w:sz w:val="20"/>
          <w:shd w:fill="FFFFFF" w:val="clear"/>
        </w:rPr>
        <w:t>September 30, 2026</w:t>
      </w:r>
      <w:r>
        <w:rPr>
          <w:color w:val="000000"/>
          <w:shd w:fill="FFFFFF" w:val="clear"/>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80" w:after="283"/>
        <w:jc w:val="left"/>
        <w:rPr/>
      </w:pPr>
      <w:r>
        <w:rPr>
          <w:color w:val="000000"/>
        </w:rPr>
        <w:t xml:space="preserve">☐ </w:t>
      </w:r>
      <w:r>
        <w:rPr>
          <w:rFonts w:ascii="Times New Roman;serif" w:hAnsi="Times New Roman;serif"/>
          <w:b/>
          <w:color w:val="000000"/>
          <w:sz w:val="20"/>
        </w:rPr>
        <w:t xml:space="preserve">TRANSITION REPORT PURSUANT TO SECTION 13 OR 15(d) OF THE SECURITIES EXCHANGE ACT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1-4018</w:t>
      </w:r>
    </w:p>
    <w:p>
      <w:pPr>
        <w:pStyle w:val="TextBody"/>
        <w:bidi w:val="0"/>
        <w:spacing w:before="0" w:after="0"/>
        <w:jc w:val="center"/>
        <w:rPr/>
      </w:pPr>
      <w:r>
        <w:rPr/>
        <w:drawing>
          <wp:inline distT="0" distB="0" distL="0" distR="0">
            <wp:extent cx="4191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0" cy="6477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1"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53-0257888</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3005 Highland Parkway</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Downers Grove, Illinois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60515</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(630) 541-1540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749"/>
        <w:gridCol w:w="656"/>
        <w:gridCol w:w="664"/>
        <w:gridCol w:w="539"/>
        <w:gridCol w:w="539"/>
        <w:gridCol w:w="541"/>
        <w:gridCol w:w="1085"/>
        <w:gridCol w:w="1085"/>
        <w:gridCol w:w="1535"/>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 Notes due 2026</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26</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Notes due 2027</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27</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06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 Notes due 2033</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DOV 33</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849"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808"/>
        <w:gridCol w:w="808"/>
        <w:gridCol w:w="813"/>
        <w:gridCol w:w="109"/>
        <w:gridCol w:w="109"/>
        <w:gridCol w:w="109"/>
        <w:gridCol w:w="794"/>
        <w:gridCol w:w="794"/>
        <w:gridCol w:w="797"/>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8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as of October 16, 2026 was 133,007,687.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555"/>
        <w:gridCol w:w="487"/>
        <w:gridCol w:w="487"/>
        <w:gridCol w:w="2825"/>
        <w:gridCol w:w="2613"/>
        <w:gridCol w:w="2665"/>
        <w:gridCol w:w="167"/>
        <w:gridCol w:w="167"/>
        <w:gridCol w:w="239"/>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7">
              <w:r>
                <w:rPr>
                  <w:rStyle w:val="InternetLink"/>
                  <w:rFonts w:ascii="Times New Roman;serif" w:hAnsi="Times New Roman;serif"/>
                  <w:b/>
                  <w:color w:val="0000FF"/>
                  <w:sz w:val="20"/>
                  <w:u w:val="single"/>
                </w:rPr>
                <w:t>PART I —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3">
              <w:r>
                <w:rPr>
                  <w:rStyle w:val="InternetLink"/>
                  <w:rFonts w:ascii="Times New Roman;serif" w:hAnsi="Times New Roman;serif"/>
                  <w:b w:val="false"/>
                  <w:color w:val="0000FF"/>
                  <w:sz w:val="20"/>
                  <w:u w:val="single"/>
                </w:rPr>
                <w:t>Item 1.</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3">
              <w:r>
                <w:rPr>
                  <w:rStyle w:val="InternetLink"/>
                  <w:rFonts w:ascii="Times New Roman;serif" w:hAnsi="Times New Roman;serif"/>
                  <w:b w:val="false"/>
                  <w:color w:val="0000FF"/>
                  <w:sz w:val="20"/>
                  <w:u w:val="single"/>
                </w:rPr>
                <w:t>Financial Statements (unaudited)</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9">
              <w:r>
                <w:rPr>
                  <w:rStyle w:val="InternetLink"/>
                  <w:rFonts w:ascii="Times New Roman;serif" w:hAnsi="Times New Roman;serif"/>
                  <w:b w:val="false"/>
                  <w:color w:val="000080"/>
                  <w:sz w:val="20"/>
                  <w:u w:val="single"/>
                </w:rPr>
                <w:t xml:space="preserve">Condensed Consolidated Statements of Earnings for the three and </w:t>
              </w:r>
            </w:hyperlink>
            <w:hyperlink w:anchor="ibfee7e2eec0e480ea362604fd1d3cc3e_19">
              <w:r>
                <w:rPr>
                  <w:rStyle w:val="InternetLink"/>
                  <w:rFonts w:ascii="Times New Roman;serif" w:hAnsi="Times New Roman;serif"/>
                  <w:b w:val="false"/>
                  <w:color w:val="000080"/>
                  <w:sz w:val="20"/>
                  <w:u w:val="single"/>
                </w:rPr>
                <w:t>nine</w:t>
              </w:r>
            </w:hyperlink>
            <w:hyperlink w:anchor="ibfee7e2eec0e480ea362604fd1d3cc3e_19">
              <w:r>
                <w:rPr>
                  <w:rStyle w:val="InternetLink"/>
                  <w:rFonts w:ascii="Times New Roman;serif" w:hAnsi="Times New Roman;serif"/>
                  <w:b w:val="false"/>
                  <w:color w:val="000080"/>
                  <w:sz w:val="20"/>
                  <w:u w:val="single"/>
                </w:rPr>
                <w:t xml:space="preserve"> months ended </w:t>
              </w:r>
            </w:hyperlink>
            <w:hyperlink w:anchor="ibfee7e2eec0e480ea362604fd1d3cc3e_19">
              <w:r>
                <w:rPr>
                  <w:rStyle w:val="InternetLink"/>
                  <w:rFonts w:ascii="Times New Roman;serif" w:hAnsi="Times New Roman;serif"/>
                  <w:b w:val="false"/>
                  <w:color w:val="000080"/>
                  <w:sz w:val="20"/>
                  <w:u w:val="single"/>
                </w:rPr>
                <w:t>September</w:t>
              </w:r>
            </w:hyperlink>
            <w:hyperlink w:anchor="ibfee7e2eec0e480ea362604fd1d3cc3e_19">
              <w:r>
                <w:rPr>
                  <w:rStyle w:val="InternetLink"/>
                  <w:rFonts w:ascii="Times New Roman;serif" w:hAnsi="Times New Roman;serif"/>
                  <w:b w:val="false"/>
                  <w:color w:val="000080"/>
                  <w:sz w:val="20"/>
                  <w:u w:val="single"/>
                </w:rPr>
                <w:t xml:space="preserv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9">
              <w:r>
                <w:rPr>
                  <w:rStyle w:val="InternetLink"/>
                  <w:rFonts w:ascii="Times New Roman;serif" w:hAnsi="Times New Roman;serif"/>
                  <w:b w:val="false"/>
                  <w:color w:val="0000FF"/>
                  <w:sz w:val="20"/>
                  <w:u w:val="single"/>
                </w:rPr>
                <w:t>1</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
              <w:r>
                <w:rPr>
                  <w:rStyle w:val="InternetLink"/>
                  <w:rFonts w:ascii="Times New Roman;serif" w:hAnsi="Times New Roman;serif"/>
                  <w:b w:val="false"/>
                  <w:color w:val="000080"/>
                  <w:sz w:val="20"/>
                  <w:u w:val="single"/>
                </w:rPr>
                <w:t xml:space="preserve">Condensed Consolidated Statements of Comprehensive Earnings for the three and </w:t>
              </w:r>
            </w:hyperlink>
            <w:hyperlink w:anchor="ibfee7e2eec0e480ea362604fd1d3cc3e_22">
              <w:r>
                <w:rPr>
                  <w:rStyle w:val="InternetLink"/>
                  <w:rFonts w:ascii="Times New Roman;serif" w:hAnsi="Times New Roman;serif"/>
                  <w:b w:val="false"/>
                  <w:color w:val="000080"/>
                  <w:sz w:val="20"/>
                  <w:u w:val="single"/>
                </w:rPr>
                <w:t>nine</w:t>
              </w:r>
            </w:hyperlink>
            <w:hyperlink w:anchor="ibfee7e2eec0e480ea362604fd1d3cc3e_22">
              <w:r>
                <w:rPr>
                  <w:rStyle w:val="InternetLink"/>
                  <w:rFonts w:ascii="Times New Roman;serif" w:hAnsi="Times New Roman;serif"/>
                  <w:b w:val="false"/>
                  <w:color w:val="000080"/>
                  <w:sz w:val="20"/>
                  <w:u w:val="single"/>
                </w:rPr>
                <w:t xml:space="preserve"> months ended </w:t>
              </w:r>
            </w:hyperlink>
            <w:hyperlink w:anchor="ibfee7e2eec0e480ea362604fd1d3cc3e_22">
              <w:r>
                <w:rPr>
                  <w:rStyle w:val="InternetLink"/>
                  <w:rFonts w:ascii="Times New Roman;serif" w:hAnsi="Times New Roman;serif"/>
                  <w:b w:val="false"/>
                  <w:color w:val="000080"/>
                  <w:sz w:val="20"/>
                  <w:u w:val="single"/>
                </w:rPr>
                <w:t>September</w:t>
              </w:r>
            </w:hyperlink>
            <w:hyperlink w:anchor="ibfee7e2eec0e480ea362604fd1d3cc3e_22">
              <w:r>
                <w:rPr>
                  <w:rStyle w:val="InternetLink"/>
                  <w:rFonts w:ascii="Times New Roman;serif" w:hAnsi="Times New Roman;serif"/>
                  <w:b w:val="false"/>
                  <w:color w:val="000080"/>
                  <w:sz w:val="20"/>
                  <w:u w:val="single"/>
                </w:rPr>
                <w:t xml:space="preserv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2">
              <w:r>
                <w:rPr>
                  <w:rStyle w:val="InternetLink"/>
                  <w:rFonts w:ascii="Times New Roman;serif" w:hAnsi="Times New Roman;serif"/>
                  <w:b w:val="false"/>
                  <w:color w:val="0000FF"/>
                  <w:sz w:val="20"/>
                  <w:u w:val="single"/>
                </w:rPr>
                <w:t>2</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5">
              <w:r>
                <w:rPr>
                  <w:rStyle w:val="InternetLink"/>
                  <w:rFonts w:ascii="Times New Roman;serif" w:hAnsi="Times New Roman;serif"/>
                  <w:b w:val="false"/>
                  <w:color w:val="000080"/>
                  <w:sz w:val="20"/>
                  <w:u w:val="single"/>
                </w:rPr>
                <w:t xml:space="preserve">Condensed Consolidated Balance Sheets at </w:t>
              </w:r>
            </w:hyperlink>
            <w:hyperlink w:anchor="ibfee7e2eec0e480ea362604fd1d3cc3e_25">
              <w:r>
                <w:rPr>
                  <w:rStyle w:val="InternetLink"/>
                  <w:rFonts w:ascii="Times New Roman;serif" w:hAnsi="Times New Roman;serif"/>
                  <w:b w:val="false"/>
                  <w:color w:val="000080"/>
                  <w:sz w:val="20"/>
                  <w:u w:val="single"/>
                </w:rPr>
                <w:t>September</w:t>
              </w:r>
            </w:hyperlink>
            <w:hyperlink w:anchor="ibfee7e2eec0e480ea362604fd1d3cc3e_25">
              <w:r>
                <w:rPr>
                  <w:rStyle w:val="InternetLink"/>
                  <w:rFonts w:ascii="Times New Roman;serif" w:hAnsi="Times New Roman;serif"/>
                  <w:b w:val="false"/>
                  <w:color w:val="000080"/>
                  <w:sz w:val="20"/>
                  <w:u w:val="single"/>
                </w:rPr>
                <w:t xml:space="preserve"> 30,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5">
              <w:r>
                <w:rPr>
                  <w:rStyle w:val="InternetLink"/>
                  <w:rFonts w:ascii="Times New Roman;serif" w:hAnsi="Times New Roman;serif"/>
                  <w:b w:val="false"/>
                  <w:color w:val="0000FF"/>
                  <w:sz w:val="20"/>
                  <w:u w:val="single"/>
                </w:rPr>
                <w:t>3</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8">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bfee7e2eec0e480ea362604fd1d3cc3e_28">
              <w:r>
                <w:rPr>
                  <w:rStyle w:val="InternetLink"/>
                  <w:rFonts w:ascii="Times New Roman;serif" w:hAnsi="Times New Roman;serif"/>
                  <w:b w:val="false"/>
                  <w:color w:val="000080"/>
                  <w:sz w:val="20"/>
                  <w:u w:val="single"/>
                </w:rPr>
                <w:t>nine</w:t>
              </w:r>
            </w:hyperlink>
            <w:hyperlink w:anchor="ibfee7e2eec0e480ea362604fd1d3cc3e_28">
              <w:r>
                <w:rPr>
                  <w:rStyle w:val="InternetLink"/>
                  <w:rFonts w:ascii="Times New Roman;serif" w:hAnsi="Times New Roman;serif"/>
                  <w:b w:val="false"/>
                  <w:color w:val="000080"/>
                  <w:sz w:val="20"/>
                  <w:u w:val="single"/>
                </w:rPr>
                <w:t xml:space="preserve"> months ended </w:t>
              </w:r>
            </w:hyperlink>
            <w:hyperlink w:anchor="ibfee7e2eec0e480ea362604fd1d3cc3e_28">
              <w:r>
                <w:rPr>
                  <w:rStyle w:val="InternetLink"/>
                  <w:rFonts w:ascii="Times New Roman;serif" w:hAnsi="Times New Roman;serif"/>
                  <w:b w:val="false"/>
                  <w:color w:val="000080"/>
                  <w:sz w:val="20"/>
                  <w:u w:val="single"/>
                </w:rPr>
                <w:t>September</w:t>
              </w:r>
            </w:hyperlink>
            <w:hyperlink w:anchor="ibfee7e2eec0e480ea362604fd1d3cc3e_28">
              <w:r>
                <w:rPr>
                  <w:rStyle w:val="InternetLink"/>
                  <w:rFonts w:ascii="Times New Roman;serif" w:hAnsi="Times New Roman;serif"/>
                  <w:b w:val="false"/>
                  <w:color w:val="000080"/>
                  <w:sz w:val="20"/>
                  <w:u w:val="single"/>
                </w:rPr>
                <w:t xml:space="preserv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8">
              <w:r>
                <w:rPr>
                  <w:rStyle w:val="InternetLink"/>
                  <w:rFonts w:ascii="Times New Roman;serif" w:hAnsi="Times New Roman;serif"/>
                  <w:b w:val="false"/>
                  <w:color w:val="0000FF"/>
                  <w:sz w:val="20"/>
                  <w:u w:val="single"/>
                </w:rPr>
                <w:t>4</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34">
              <w:r>
                <w:rPr>
                  <w:rStyle w:val="InternetLink"/>
                  <w:rFonts w:ascii="Times New Roman;serif" w:hAnsi="Times New Roman;serif"/>
                  <w:b w:val="false"/>
                  <w:color w:val="000080"/>
                  <w:sz w:val="20"/>
                  <w:u w:val="single"/>
                </w:rPr>
                <w:t xml:space="preserve">Condensed Consolidated Statements of Cash Flows for the </w:t>
              </w:r>
            </w:hyperlink>
            <w:hyperlink w:anchor="ibfee7e2eec0e480ea362604fd1d3cc3e_34">
              <w:r>
                <w:rPr>
                  <w:rStyle w:val="InternetLink"/>
                  <w:rFonts w:ascii="Times New Roman;serif" w:hAnsi="Times New Roman;serif"/>
                  <w:b w:val="false"/>
                  <w:color w:val="000080"/>
                  <w:sz w:val="20"/>
                  <w:u w:val="single"/>
                </w:rPr>
                <w:t>nine</w:t>
              </w:r>
            </w:hyperlink>
            <w:hyperlink w:anchor="ibfee7e2eec0e480ea362604fd1d3cc3e_34">
              <w:r>
                <w:rPr>
                  <w:rStyle w:val="InternetLink"/>
                  <w:rFonts w:ascii="Times New Roman;serif" w:hAnsi="Times New Roman;serif"/>
                  <w:b w:val="false"/>
                  <w:color w:val="000080"/>
                  <w:sz w:val="20"/>
                  <w:u w:val="single"/>
                </w:rPr>
                <w:t xml:space="preserve"> months ended </w:t>
              </w:r>
            </w:hyperlink>
            <w:hyperlink w:anchor="ibfee7e2eec0e480ea362604fd1d3cc3e_34">
              <w:r>
                <w:rPr>
                  <w:rStyle w:val="InternetLink"/>
                  <w:rFonts w:ascii="Times New Roman;serif" w:hAnsi="Times New Roman;serif"/>
                  <w:b w:val="false"/>
                  <w:color w:val="000080"/>
                  <w:sz w:val="20"/>
                  <w:u w:val="single"/>
                </w:rPr>
                <w:t>September</w:t>
              </w:r>
            </w:hyperlink>
            <w:hyperlink w:anchor="ibfee7e2eec0e480ea362604fd1d3cc3e_34">
              <w:r>
                <w:rPr>
                  <w:rStyle w:val="InternetLink"/>
                  <w:rFonts w:ascii="Times New Roman;serif" w:hAnsi="Times New Roman;serif"/>
                  <w:b w:val="false"/>
                  <w:color w:val="000080"/>
                  <w:sz w:val="20"/>
                  <w:u w:val="single"/>
                </w:rPr>
                <w:t xml:space="preserv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34">
              <w:r>
                <w:rPr>
                  <w:rStyle w:val="InternetLink"/>
                  <w:rFonts w:ascii="Times New Roman;serif" w:hAnsi="Times New Roman;serif"/>
                  <w:b w:val="false"/>
                  <w:color w:val="0000FF"/>
                  <w:sz w:val="20"/>
                  <w:u w:val="single"/>
                </w:rPr>
                <w:t>6</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43">
              <w:r>
                <w:rPr>
                  <w:rStyle w:val="InternetLink"/>
                  <w:rFonts w:ascii="Times New Roman;serif" w:hAnsi="Times New Roman;serif"/>
                  <w:b w:val="false"/>
                  <w:color w:val="0000FF"/>
                  <w:sz w:val="20"/>
                  <w:u w:val="single"/>
                </w:rPr>
                <w:t>Note 1 — Basis of Presentation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43">
              <w:r>
                <w:rPr>
                  <w:rStyle w:val="InternetLink"/>
                  <w:rFonts w:ascii="Times New Roman;serif" w:hAnsi="Times New Roman;serif"/>
                  <w:b w:val="false"/>
                  <w:color w:val="0000FF"/>
                  <w:sz w:val="20"/>
                  <w:u w:val="single"/>
                </w:rPr>
                <w:t>7</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46">
              <w:r>
                <w:rPr>
                  <w:rStyle w:val="InternetLink"/>
                  <w:rFonts w:ascii="Times New Roman;serif" w:hAnsi="Times New Roman;serif"/>
                  <w:b w:val="false"/>
                  <w:color w:val="0000FF"/>
                  <w:sz w:val="20"/>
                  <w:u w:val="single"/>
                </w:rPr>
                <w:t>Note 2 — Revenue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46">
              <w:r>
                <w:rPr>
                  <w:rStyle w:val="InternetLink"/>
                  <w:rFonts w:ascii="Times New Roman;serif" w:hAnsi="Times New Roman;serif"/>
                  <w:b w:val="false"/>
                  <w:color w:val="0000FF"/>
                  <w:sz w:val="20"/>
                  <w:u w:val="single"/>
                </w:rPr>
                <w:t>7</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55">
              <w:r>
                <w:rPr>
                  <w:rStyle w:val="InternetLink"/>
                  <w:rFonts w:ascii="Times New Roman;serif" w:hAnsi="Times New Roman;serif"/>
                  <w:b w:val="false"/>
                  <w:color w:val="0000FF"/>
                  <w:sz w:val="20"/>
                  <w:u w:val="single"/>
                </w:rPr>
                <w:t>Note 3 — Acquisitions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55">
              <w:r>
                <w:rPr>
                  <w:rStyle w:val="InternetLink"/>
                  <w:rFonts w:ascii="Times New Roman;serif" w:hAnsi="Times New Roman;serif"/>
                  <w:b w:val="false"/>
                  <w:color w:val="0000FF"/>
                  <w:sz w:val="20"/>
                  <w:u w:val="single"/>
                </w:rPr>
                <w:t>9</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61">
              <w:r>
                <w:rPr>
                  <w:rStyle w:val="InternetLink"/>
                  <w:rFonts w:ascii="Times New Roman;serif" w:hAnsi="Times New Roman;serif"/>
                  <w:b w:val="false"/>
                  <w:color w:val="0000FF"/>
                  <w:sz w:val="20"/>
                  <w:u w:val="single"/>
                </w:rPr>
                <w:t>Note 4 — Discontinued and Disposed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61">
              <w:r>
                <w:rPr>
                  <w:rStyle w:val="InternetLink"/>
                  <w:rFonts w:ascii="Times New Roman;serif" w:hAnsi="Times New Roman;serif"/>
                  <w:b w:val="false"/>
                  <w:color w:val="0000FF"/>
                  <w:sz w:val="20"/>
                  <w:u w:val="single"/>
                </w:rPr>
                <w:t>11</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67">
              <w:r>
                <w:rPr>
                  <w:rStyle w:val="InternetLink"/>
                  <w:rFonts w:ascii="Times New Roman;serif" w:hAnsi="Times New Roman;serif"/>
                  <w:b w:val="false"/>
                  <w:color w:val="0000FF"/>
                  <w:sz w:val="20"/>
                  <w:u w:val="single"/>
                </w:rPr>
                <w:t>Note 5 — Inventories, net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67">
              <w:r>
                <w:rPr>
                  <w:rStyle w:val="InternetLink"/>
                  <w:rFonts w:ascii="Times New Roman;serif" w:hAnsi="Times New Roman;serif"/>
                  <w:b w:val="false"/>
                  <w:color w:val="0000FF"/>
                  <w:sz w:val="20"/>
                  <w:u w:val="single"/>
                </w:rPr>
                <w:t>11</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70">
              <w:r>
                <w:rPr>
                  <w:rStyle w:val="InternetLink"/>
                  <w:rFonts w:ascii="Times New Roman;serif" w:hAnsi="Times New Roman;serif"/>
                  <w:b w:val="false"/>
                  <w:color w:val="0000FF"/>
                  <w:sz w:val="20"/>
                  <w:u w:val="single"/>
                </w:rPr>
                <w:t>Note 6 — Property, Plant and Equipment, net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70">
              <w:r>
                <w:rPr>
                  <w:rStyle w:val="InternetLink"/>
                  <w:rFonts w:ascii="Times New Roman;serif" w:hAnsi="Times New Roman;serif"/>
                  <w:b w:val="false"/>
                  <w:color w:val="0000FF"/>
                  <w:sz w:val="20"/>
                  <w:u w:val="single"/>
                </w:rPr>
                <w:t>11</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73">
              <w:r>
                <w:rPr>
                  <w:rStyle w:val="InternetLink"/>
                  <w:rFonts w:ascii="Times New Roman;serif" w:hAnsi="Times New Roman;serif"/>
                  <w:b w:val="false"/>
                  <w:color w:val="0000FF"/>
                  <w:sz w:val="20"/>
                  <w:u w:val="single"/>
                </w:rPr>
                <w:t>Note 7 — Credit Losses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73">
              <w:r>
                <w:rPr>
                  <w:rStyle w:val="InternetLink"/>
                  <w:rFonts w:ascii="Times New Roman;serif" w:hAnsi="Times New Roman;serif"/>
                  <w:b w:val="false"/>
                  <w:color w:val="0000FF"/>
                  <w:sz w:val="20"/>
                  <w:u w:val="single"/>
                </w:rPr>
                <w:t>11</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76">
              <w:r>
                <w:rPr>
                  <w:rStyle w:val="InternetLink"/>
                  <w:rFonts w:ascii="Times New Roman;serif" w:hAnsi="Times New Roman;serif"/>
                  <w:b w:val="false"/>
                  <w:color w:val="0000FF"/>
                  <w:sz w:val="20"/>
                  <w:u w:val="single"/>
                </w:rPr>
                <w:t>Note 8 — Goodwill and Other Intangible Assets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76">
              <w:r>
                <w:rPr>
                  <w:rStyle w:val="InternetLink"/>
                  <w:rFonts w:ascii="Times New Roman;serif" w:hAnsi="Times New Roman;serif"/>
                  <w:b w:val="false"/>
                  <w:color w:val="0000FF"/>
                  <w:sz w:val="20"/>
                  <w:u w:val="single"/>
                </w:rPr>
                <w:t>12</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82">
              <w:r>
                <w:rPr>
                  <w:rStyle w:val="InternetLink"/>
                  <w:rFonts w:ascii="Times New Roman;serif" w:hAnsi="Times New Roman;serif"/>
                  <w:b w:val="false"/>
                  <w:color w:val="0000FF"/>
                  <w:sz w:val="20"/>
                  <w:u w:val="single"/>
                </w:rPr>
                <w:t>Note 9 — Restructuring Activities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82">
              <w:r>
                <w:rPr>
                  <w:rStyle w:val="InternetLink"/>
                  <w:rFonts w:ascii="Times New Roman;serif" w:hAnsi="Times New Roman;serif"/>
                  <w:b w:val="false"/>
                  <w:color w:val="0000FF"/>
                  <w:sz w:val="20"/>
                  <w:u w:val="single"/>
                </w:rPr>
                <w:t>13</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88">
              <w:r>
                <w:rPr>
                  <w:rStyle w:val="InternetLink"/>
                  <w:rFonts w:ascii="Times New Roman;serif" w:hAnsi="Times New Roman;serif"/>
                  <w:b w:val="false"/>
                  <w:color w:val="0000FF"/>
                  <w:sz w:val="20"/>
                  <w:u w:val="single"/>
                </w:rPr>
                <w:t>Note 10 — Borrowings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88">
              <w:r>
                <w:rPr>
                  <w:rStyle w:val="InternetLink"/>
                  <w:rFonts w:ascii="Times New Roman;serif" w:hAnsi="Times New Roman;serif"/>
                  <w:b w:val="false"/>
                  <w:color w:val="0000FF"/>
                  <w:sz w:val="20"/>
                  <w:u w:val="single"/>
                </w:rPr>
                <w:t>14</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91">
              <w:r>
                <w:rPr>
                  <w:rStyle w:val="InternetLink"/>
                  <w:rFonts w:ascii="Times New Roman;serif" w:hAnsi="Times New Roman;serif"/>
                  <w:b w:val="false"/>
                  <w:color w:val="0000FF"/>
                  <w:sz w:val="20"/>
                  <w:u w:val="single"/>
                </w:rPr>
                <w:t>Note 11 — Financial Instruments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91">
              <w:r>
                <w:rPr>
                  <w:rStyle w:val="InternetLink"/>
                  <w:rFonts w:ascii="Times New Roman;serif" w:hAnsi="Times New Roman;serif"/>
                  <w:b w:val="false"/>
                  <w:color w:val="0000FF"/>
                  <w:sz w:val="20"/>
                  <w:u w:val="single"/>
                </w:rPr>
                <w:t>15</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94">
              <w:r>
                <w:rPr>
                  <w:rStyle w:val="InternetLink"/>
                  <w:rFonts w:ascii="Times New Roman;serif" w:hAnsi="Times New Roman;serif"/>
                  <w:b w:val="false"/>
                  <w:color w:val="0000FF"/>
                  <w:sz w:val="20"/>
                  <w:u w:val="single"/>
                </w:rPr>
                <w:t>Note 12 — Income Taxes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94">
              <w:r>
                <w:rPr>
                  <w:rStyle w:val="InternetLink"/>
                  <w:rFonts w:ascii="Times New Roman;serif" w:hAnsi="Times New Roman;serif"/>
                  <w:b w:val="false"/>
                  <w:color w:val="0000FF"/>
                  <w:sz w:val="20"/>
                  <w:u w:val="single"/>
                </w:rPr>
                <w:t>16</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00">
              <w:r>
                <w:rPr>
                  <w:rStyle w:val="InternetLink"/>
                  <w:rFonts w:ascii="Times New Roman;serif" w:hAnsi="Times New Roman;serif"/>
                  <w:b w:val="false"/>
                  <w:color w:val="0000FF"/>
                  <w:sz w:val="20"/>
                  <w:u w:val="single"/>
                </w:rPr>
                <w:t>Note 13 — Equity Incentive Program</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00">
              <w:r>
                <w:rPr>
                  <w:rStyle w:val="InternetLink"/>
                  <w:rFonts w:ascii="Times New Roman;serif" w:hAnsi="Times New Roman;serif"/>
                  <w:b w:val="false"/>
                  <w:color w:val="0000FF"/>
                  <w:sz w:val="20"/>
                  <w:u w:val="single"/>
                </w:rPr>
                <w:t>17</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06">
              <w:r>
                <w:rPr>
                  <w:rStyle w:val="InternetLink"/>
                  <w:rFonts w:ascii="Times New Roman;serif" w:hAnsi="Times New Roman;serif"/>
                  <w:b w:val="false"/>
                  <w:color w:val="0000FF"/>
                  <w:sz w:val="20"/>
                  <w:u w:val="single"/>
                </w:rPr>
                <w:t>Note 14 — Commitments and Contingent Liabilities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06">
              <w:r>
                <w:rPr>
                  <w:rStyle w:val="InternetLink"/>
                  <w:rFonts w:ascii="Times New Roman;serif" w:hAnsi="Times New Roman;serif"/>
                  <w:b w:val="false"/>
                  <w:color w:val="0000FF"/>
                  <w:sz w:val="20"/>
                  <w:u w:val="single"/>
                </w:rPr>
                <w:t>18</w:t>
              </w:r>
            </w:hyperlink>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10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12">
              <w:r>
                <w:rPr>
                  <w:rStyle w:val="InternetLink"/>
                  <w:rFonts w:ascii="Times New Roman;serif" w:hAnsi="Times New Roman;serif"/>
                  <w:b w:val="false"/>
                  <w:color w:val="0000FF"/>
                  <w:sz w:val="20"/>
                  <w:u w:val="single"/>
                </w:rPr>
                <w:t>Note 15 — Accumulated Other Comprehensive Earnings (Loss)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12">
              <w:r>
                <w:rPr>
                  <w:rStyle w:val="InternetLink"/>
                  <w:rFonts w:ascii="Times New Roman;serif" w:hAnsi="Times New Roman;serif"/>
                  <w:b w:val="false"/>
                  <w:color w:val="0000FF"/>
                  <w:sz w:val="20"/>
                  <w:u w:val="single"/>
                </w:rPr>
                <w:t>19</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15">
              <w:r>
                <w:rPr>
                  <w:rStyle w:val="InternetLink"/>
                  <w:rFonts w:ascii="Times New Roman;serif" w:hAnsi="Times New Roman;serif"/>
                  <w:b w:val="false"/>
                  <w:color w:val="0000FF"/>
                  <w:sz w:val="20"/>
                  <w:u w:val="single"/>
                </w:rPr>
                <w:t>Note 16 — Segment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15">
              <w:r>
                <w:rPr>
                  <w:rStyle w:val="InternetLink"/>
                  <w:rFonts w:ascii="Times New Roman;serif" w:hAnsi="Times New Roman;serif"/>
                  <w:b w:val="false"/>
                  <w:color w:val="0000FF"/>
                  <w:sz w:val="20"/>
                  <w:u w:val="single"/>
                </w:rPr>
                <w:t>20</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21">
              <w:r>
                <w:rPr>
                  <w:rStyle w:val="InternetLink"/>
                  <w:rFonts w:ascii="Times New Roman;serif" w:hAnsi="Times New Roman;serif"/>
                  <w:b w:val="false"/>
                  <w:color w:val="0000FF"/>
                  <w:sz w:val="20"/>
                  <w:u w:val="single"/>
                </w:rPr>
                <w:t>Note 17 — Stockholders'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21">
              <w:r>
                <w:rPr>
                  <w:rStyle w:val="InternetLink"/>
                  <w:rFonts w:ascii="Times New Roman;serif" w:hAnsi="Times New Roman;serif"/>
                  <w:b w:val="false"/>
                  <w:color w:val="0000FF"/>
                  <w:sz w:val="20"/>
                  <w:u w:val="single"/>
                </w:rPr>
                <w:t>23</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27">
              <w:r>
                <w:rPr>
                  <w:rStyle w:val="InternetLink"/>
                  <w:rFonts w:ascii="Times New Roman;serif" w:hAnsi="Times New Roman;serif"/>
                  <w:b w:val="false"/>
                  <w:color w:val="0000FF"/>
                  <w:sz w:val="20"/>
                  <w:u w:val="single"/>
                </w:rPr>
                <w:t>Note 18 — Earnings per Share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27">
              <w:r>
                <w:rPr>
                  <w:rStyle w:val="InternetLink"/>
                  <w:rFonts w:ascii="Times New Roman;serif" w:hAnsi="Times New Roman;serif"/>
                  <w:b w:val="false"/>
                  <w:color w:val="0000FF"/>
                  <w:sz w:val="20"/>
                  <w:u w:val="single"/>
                </w:rPr>
                <w:t>24</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33">
              <w:r>
                <w:rPr>
                  <w:rStyle w:val="InternetLink"/>
                  <w:rFonts w:ascii="Times New Roman;serif" w:hAnsi="Times New Roman;serif"/>
                  <w:b w:val="false"/>
                  <w:color w:val="0000FF"/>
                  <w:sz w:val="20"/>
                  <w:u w:val="single"/>
                </w:rPr>
                <w:t>Note 19 — Recent Accounting Pronouncements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33">
              <w:r>
                <w:rPr>
                  <w:rStyle w:val="InternetLink"/>
                  <w:rFonts w:ascii="Times New Roman;serif" w:hAnsi="Times New Roman;serif"/>
                  <w:b w:val="false"/>
                  <w:color w:val="0000FF"/>
                  <w:sz w:val="20"/>
                  <w:u w:val="single"/>
                </w:rPr>
                <w:t>25</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39">
              <w:r>
                <w:rPr>
                  <w:rStyle w:val="InternetLink"/>
                  <w:rFonts w:ascii="Times New Roman;serif" w:hAnsi="Times New Roman;serif"/>
                  <w:b w:val="false"/>
                  <w:color w:val="0000FF"/>
                  <w:sz w:val="20"/>
                  <w:u w:val="single"/>
                </w:rPr>
                <w:t>Note 20 — Subsequent Events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39">
              <w:r>
                <w:rPr>
                  <w:rStyle w:val="InternetLink"/>
                  <w:rFonts w:ascii="Times New Roman;serif" w:hAnsi="Times New Roman;serif"/>
                  <w:b w:val="false"/>
                  <w:color w:val="0000FF"/>
                  <w:sz w:val="20"/>
                  <w:u w:val="single"/>
                </w:rPr>
                <w:t>25</w:t>
              </w:r>
            </w:hyperlink>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10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10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48">
              <w:r>
                <w:rPr>
                  <w:rStyle w:val="InternetLink"/>
                  <w:rFonts w:ascii="Times New Roman;serif" w:hAnsi="Times New Roman;serif"/>
                  <w:b w:val="false"/>
                  <w:color w:val="0000FF"/>
                  <w:sz w:val="20"/>
                  <w:u w:val="single"/>
                </w:rPr>
                <w:t>Item 2.</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14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148">
              <w:r>
                <w:rPr>
                  <w:rStyle w:val="InternetLink"/>
                  <w:rFonts w:ascii="Times New Roman;serif" w:hAnsi="Times New Roman;serif"/>
                  <w:b w:val="false"/>
                  <w:color w:val="0000FF"/>
                  <w:sz w:val="20"/>
                  <w:u w:val="single"/>
                </w:rPr>
                <w:t>26</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08">
              <w:r>
                <w:rPr>
                  <w:rStyle w:val="InternetLink"/>
                  <w:rFonts w:ascii="Times New Roman;serif" w:hAnsi="Times New Roman;serif"/>
                  <w:b w:val="false"/>
                  <w:color w:val="0000FF"/>
                  <w:sz w:val="20"/>
                  <w:u w:val="single"/>
                </w:rPr>
                <w:t>Item 3.</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08">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08">
              <w:r>
                <w:rPr>
                  <w:rStyle w:val="InternetLink"/>
                  <w:rFonts w:ascii="Times New Roman;serif" w:hAnsi="Times New Roman;serif"/>
                  <w:b w:val="false"/>
                  <w:color w:val="0000FF"/>
                  <w:sz w:val="20"/>
                  <w:u w:val="single"/>
                </w:rPr>
                <w:t>43</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11">
              <w:r>
                <w:rPr>
                  <w:rStyle w:val="InternetLink"/>
                  <w:rFonts w:ascii="Times New Roman;serif" w:hAnsi="Times New Roman;serif"/>
                  <w:b w:val="false"/>
                  <w:color w:val="0000FF"/>
                  <w:sz w:val="20"/>
                  <w:u w:val="single"/>
                </w:rPr>
                <w:t>Item 4.</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11">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11">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14">
              <w:r>
                <w:rPr>
                  <w:rStyle w:val="InternetLink"/>
                  <w:rFonts w:ascii="Times New Roman;serif" w:hAnsi="Times New Roman;serif"/>
                  <w:b/>
                  <w:color w:val="0000FF"/>
                  <w:sz w:val="20"/>
                  <w:u w:val="single"/>
                </w:rPr>
                <w:t>PART II —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17">
              <w:r>
                <w:rPr>
                  <w:rStyle w:val="InternetLink"/>
                  <w:rFonts w:ascii="Times New Roman;serif" w:hAnsi="Times New Roman;serif"/>
                  <w:b w:val="false"/>
                  <w:color w:val="0000FF"/>
                  <w:sz w:val="20"/>
                  <w:u w:val="single"/>
                </w:rPr>
                <w:t>Item 1.</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17">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17">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0">
              <w:r>
                <w:rPr>
                  <w:rStyle w:val="InternetLink"/>
                  <w:rFonts w:ascii="Times New Roman;serif" w:hAnsi="Times New Roman;serif"/>
                  <w:b w:val="false"/>
                  <w:color w:val="0000FF"/>
                  <w:sz w:val="20"/>
                  <w:u w:val="single"/>
                </w:rPr>
                <w:t>Item 1A.</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0">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20">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3">
              <w:r>
                <w:rPr>
                  <w:rStyle w:val="InternetLink"/>
                  <w:rFonts w:ascii="Times New Roman;serif" w:hAnsi="Times New Roman;serif"/>
                  <w:b w:val="false"/>
                  <w:color w:val="0000FF"/>
                  <w:sz w:val="20"/>
                  <w:u w:val="single"/>
                </w:rPr>
                <w:t>Item 2.</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3">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23">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9">
              <w:r>
                <w:rPr>
                  <w:rStyle w:val="InternetLink"/>
                  <w:rFonts w:ascii="Times New Roman;serif" w:hAnsi="Times New Roman;serif"/>
                  <w:b w:val="false"/>
                  <w:color w:val="0000FF"/>
                  <w:sz w:val="20"/>
                  <w:u w:val="single"/>
                </w:rPr>
                <w:t>Item 3.</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29">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29">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2">
              <w:r>
                <w:rPr>
                  <w:rStyle w:val="InternetLink"/>
                  <w:rFonts w:ascii="Times New Roman;serif" w:hAnsi="Times New Roman;serif"/>
                  <w:b w:val="false"/>
                  <w:color w:val="0000FF"/>
                  <w:sz w:val="20"/>
                  <w:u w:val="single"/>
                </w:rPr>
                <w:t>Item 4.</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2">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32">
              <w:r>
                <w:rPr>
                  <w:rStyle w:val="InternetLink"/>
                  <w:rFonts w:ascii="Times New Roman;serif" w:hAnsi="Times New Roman;serif"/>
                  <w:b w:val="false"/>
                  <w:color w:val="0000FF"/>
                  <w:sz w:val="20"/>
                  <w:u w:val="single"/>
                </w:rPr>
                <w:t>44</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5">
              <w:r>
                <w:rPr>
                  <w:rStyle w:val="InternetLink"/>
                  <w:rFonts w:ascii="Times New Roman;serif" w:hAnsi="Times New Roman;serif"/>
                  <w:b w:val="false"/>
                  <w:color w:val="0000FF"/>
                  <w:sz w:val="20"/>
                  <w:u w:val="single"/>
                </w:rPr>
                <w:t>Item 5.</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5">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35">
              <w:r>
                <w:rPr>
                  <w:rStyle w:val="InternetLink"/>
                  <w:rFonts w:ascii="Times New Roman;serif" w:hAnsi="Times New Roman;serif"/>
                  <w:b w:val="false"/>
                  <w:color w:val="0000FF"/>
                  <w:sz w:val="20"/>
                  <w:u w:val="single"/>
                </w:rPr>
                <w:t>45</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8">
              <w:r>
                <w:rPr>
                  <w:rStyle w:val="InternetLink"/>
                  <w:rFonts w:ascii="Times New Roman;serif" w:hAnsi="Times New Roman;serif"/>
                  <w:b w:val="false"/>
                  <w:color w:val="0000FF"/>
                  <w:sz w:val="20"/>
                  <w:u w:val="single"/>
                </w:rPr>
                <w:t>Item 6.</w:t>
              </w:r>
            </w:hyperlink>
          </w:p>
        </w:tc>
        <w:tc>
          <w:tcPr>
            <w:tcW w:w="8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38">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38">
              <w:r>
                <w:rPr>
                  <w:rStyle w:val="InternetLink"/>
                  <w:rFonts w:ascii="Times New Roman;serif" w:hAnsi="Times New Roman;serif"/>
                  <w:b w:val="false"/>
                  <w:color w:val="0000FF"/>
                  <w:sz w:val="20"/>
                  <w:u w:val="single"/>
                </w:rPr>
                <w:t>46</w:t>
              </w:r>
            </w:hyperlink>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fee7e2eec0e480ea362604fd1d3cc3e_241">
              <w:r>
                <w:rPr>
                  <w:rStyle w:val="InternetLink"/>
                  <w:rFonts w:ascii="Times New Roman;serif" w:hAnsi="Times New Roman;serif"/>
                  <w:b/>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fee7e2eec0e480ea362604fd1d3cc3e_241">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97"/>
        <w:gridCol w:w="1177"/>
        <w:gridCol w:w="1181"/>
        <w:gridCol w:w="223"/>
        <w:gridCol w:w="1033"/>
        <w:gridCol w:w="115"/>
        <w:gridCol w:w="115"/>
        <w:gridCol w:w="115"/>
        <w:gridCol w:w="115"/>
        <w:gridCol w:w="223"/>
        <w:gridCol w:w="1033"/>
        <w:gridCol w:w="115"/>
        <w:gridCol w:w="109"/>
        <w:gridCol w:w="109"/>
        <w:gridCol w:w="109"/>
        <w:gridCol w:w="215"/>
        <w:gridCol w:w="999"/>
        <w:gridCol w:w="111"/>
        <w:gridCol w:w="111"/>
        <w:gridCol w:w="111"/>
        <w:gridCol w:w="111"/>
        <w:gridCol w:w="215"/>
        <w:gridCol w:w="999"/>
        <w:gridCol w:w="164"/>
      </w:tblGrid>
      <w:tr>
        <w:trPr/>
        <w:tc>
          <w:tcPr>
            <w:tcW w:w="139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6,477,483 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5,993,492 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3,895,316 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3,596,136 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903,426 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833,594 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2,582,167 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2,397,356 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w:t>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1,116,884 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1,028,059 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provision for income taxes</w:t>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420,686 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1,107,286 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1,033,721 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336,820 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822,663 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 from continuing operations: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per share from discontinued operations: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per share:</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w:t>
      </w:r>
    </w:p>
    <w:p>
      <w:pPr>
        <w:pStyle w:val="TextBody"/>
        <w:bidi w:val="0"/>
        <w:spacing w:lineRule="auto" w:line="28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81"/>
        <w:gridCol w:w="1360"/>
        <w:gridCol w:w="1375"/>
        <w:gridCol w:w="223"/>
        <w:gridCol w:w="876"/>
        <w:gridCol w:w="115"/>
        <w:gridCol w:w="115"/>
        <w:gridCol w:w="115"/>
        <w:gridCol w:w="115"/>
        <w:gridCol w:w="223"/>
        <w:gridCol w:w="876"/>
        <w:gridCol w:w="115"/>
        <w:gridCol w:w="109"/>
        <w:gridCol w:w="109"/>
        <w:gridCol w:w="109"/>
        <w:gridCol w:w="220"/>
        <w:gridCol w:w="863"/>
        <w:gridCol w:w="113"/>
        <w:gridCol w:w="113"/>
        <w:gridCol w:w="113"/>
        <w:gridCol w:w="113"/>
        <w:gridCol w:w="220"/>
        <w:gridCol w:w="863"/>
        <w:gridCol w:w="171"/>
      </w:tblGrid>
      <w:tr>
        <w:trPr/>
        <w:tc>
          <w:tcPr>
            <w:tcW w:w="158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earnings (loss), net of tax</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gain (loss)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(gains) losses to earnings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foreign currency translation adjustments (net of $817, $(584), $(14,974) and $34,216 tax benefit (provision), respectively)</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126,672 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included in net periodic pension cost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credits included in net periodic pension cost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and curtailment impact</w:t>
            </w:r>
            <w:r>
              <w:rPr>
                <w:rFonts w:ascii="Times New Roman;serif" w:hAnsi="Times New Roman;serif"/>
                <w:b w:val="false"/>
                <w:color w:val="000000"/>
                <w:sz w:val="12"/>
              </w:rPr>
              <w:t>(1)</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pension and other post-retirement benefit plans (net of $121, $129, $363 and $554 tax benefit, respectively)</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 gain arising during the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reclassified into earnings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flow hedges (net of $252, $(340), $(140) and $933 tax benefit (provision), respectively)</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earnings</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287,400 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830,951 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933,395 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loss from discontinued operations, net in the condensed consolidated statement of earnings.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08"/>
        <w:gridCol w:w="2053"/>
        <w:gridCol w:w="2048"/>
        <w:gridCol w:w="244"/>
        <w:gridCol w:w="1254"/>
        <w:gridCol w:w="126"/>
        <w:gridCol w:w="109"/>
        <w:gridCol w:w="109"/>
        <w:gridCol w:w="109"/>
        <w:gridCol w:w="239"/>
        <w:gridCol w:w="1228"/>
        <w:gridCol w:w="178"/>
      </w:tblGrid>
      <w:tr>
        <w:trPr/>
        <w:tc>
          <w:tcPr>
            <w:tcW w:w="250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4,959,529 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4,506,940 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1,155,068 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1,119,623 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5,380,153 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5,430,038 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 and deferred charges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13,679,288 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other income taxes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2,549,226 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2,518,489 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4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2,581,187 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$1 par value; 260,437,063 and 260,194,888 shares issued at September 30, 2026 and December 31, 2025</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14,893,807 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14,220,582 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(7,751,380)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7,636,014 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13,679,288 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712" w:type="dxa"/>
        <w:jc w:val="left"/>
        <w:tblInd w:w="0" w:type="dxa"/>
        <w:tblLayout w:type="fixed"/>
        <w:tblCellMar>
          <w:top w:w="28" w:type="dxa"/>
          <w:left w:w="28" w:type="dxa"/>
          <w:bottom w:w="28" w:type="dxa"/>
          <w:right w:w="28" w:type="dxa"/>
        </w:tblCellMar>
      </w:tblPr>
      <w:tblGrid>
        <w:gridCol w:w="834"/>
        <w:gridCol w:w="258"/>
        <w:gridCol w:w="25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(7,837,346)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7,704,004 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($0.525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including excise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14,893,807 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(228,013)</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7,636,014 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712" w:type="dxa"/>
        <w:jc w:val="center"/>
        <w:tblInd w:w="0" w:type="dxa"/>
        <w:tblLayout w:type="fixed"/>
        <w:tblCellMar>
          <w:top w:w="28" w:type="dxa"/>
          <w:left w:w="28" w:type="dxa"/>
          <w:bottom w:w="28" w:type="dxa"/>
          <w:right w:w="28" w:type="dxa"/>
        </w:tblCellMar>
      </w:tblPr>
      <w:tblGrid>
        <w:gridCol w:w="834"/>
        <w:gridCol w:w="258"/>
        <w:gridCol w:w="25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7,441,305 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($0.52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(206,262)</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7,662,936 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712" w:type="dxa"/>
        <w:jc w:val="center"/>
        <w:tblInd w:w="0" w:type="dxa"/>
        <w:tblLayout w:type="fixed"/>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(174,954)</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($1.565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including accelerated share repurchase program and excise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14,893,807 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(228,013)</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7,636,014 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712" w:type="dxa"/>
        <w:jc w:val="center"/>
        <w:tblInd w:w="0" w:type="dxa"/>
        <w:tblLayout w:type="fixed"/>
        <w:tblCellMar>
          <w:top w:w="28" w:type="dxa"/>
          <w:left w:w="28" w:type="dxa"/>
          <w:bottom w:w="28" w:type="dxa"/>
          <w:right w:w="28" w:type="dxa"/>
        </w:tblCellMar>
      </w:tblPr>
      <w:tblGrid>
        <w:gridCol w:w="814"/>
        <w:gridCol w:w="268"/>
        <w:gridCol w:w="269"/>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(327,776)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($1.55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the exercise of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(206,262)</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7,662,936 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18" w:type="dxa"/>
        <w:jc w:val="center"/>
        <w:tblInd w:w="0" w:type="dxa"/>
        <w:tblLayout w:type="fixed"/>
        <w:tblCellMar>
          <w:top w:w="28" w:type="dxa"/>
          <w:left w:w="28" w:type="dxa"/>
          <w:bottom w:w="28" w:type="dxa"/>
          <w:right w:w="28" w:type="dxa"/>
        </w:tblCellMar>
      </w:tblPr>
      <w:tblGrid>
        <w:gridCol w:w="2052"/>
        <w:gridCol w:w="1807"/>
        <w:gridCol w:w="1810"/>
        <w:gridCol w:w="205"/>
        <w:gridCol w:w="911"/>
        <w:gridCol w:w="114"/>
        <w:gridCol w:w="114"/>
        <w:gridCol w:w="114"/>
        <w:gridCol w:w="114"/>
        <w:gridCol w:w="205"/>
        <w:gridCol w:w="911"/>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cash provided by operating activities: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dispositions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effect of changes in assets and liabilities:</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deferred taxes,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865,931 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794,059 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and cash equivalents acquired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dispositions, net of cash transferred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(202,608)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(814,627)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employee tax obligations on exercise of share-based awards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(641,362)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(280,347)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Discontinued Operations: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 of discontinued operations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discontinued operations</w:t>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1,676,808 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1,693,175 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1,552,804 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2849" w:type="dxa"/>
            <w:gridSpan w:val="9"/>
            <w:tcBorders/>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2025, included in the Company's Annual Report on Form 10-K filed with the SEC on </w:t>
      </w:r>
      <w:bookmarkStart w:id="1" w:name="ic389562f9d89427f88757ee9b85397c1_2315"/>
      <w:bookmarkEnd w:id="1"/>
      <w:r>
        <w:rPr>
          <w:rFonts w:ascii="Times New Roman;serif" w:hAnsi="Times New Roman;serif"/>
          <w:b w:val="false"/>
          <w:color w:val="000000"/>
          <w:sz w:val="20"/>
        </w:rPr>
        <w:t>February 13, 2026. The year-end consolidated balance sheet was derived from audited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Environmental Solutions Group ("ESG") business, an operating company within the Engineered Products segment, was sold during the fourth quarter of 2024 and reported as discontinued operations. Therefore, the Company has classified the results of operations related to the disposal of ESG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2. Revenue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customers is disaggregated by segment and geographic location, as these categories best depict the nature and amount of the Company’s revenue. See Note 16 — Segment Information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Performance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2026, we estimated that $348,332 in revenue is expected to be recognized in the future related to performance obligations that are unsatisfied (or partially unsatisfied) at the end of the reporting period. We expect to recognize approximately 59.5% of the Company's unsatisfied (or partially unsatisfied) performance obligations as revenue through 2027, 23.5% in 2028, with the remaining balance to be recognized in 2029 and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8771" w:type="dxa"/>
        <w:jc w:val="left"/>
        <w:tblInd w:w="0" w:type="dxa"/>
        <w:tblLayout w:type="fixed"/>
        <w:tblCellMar>
          <w:top w:w="28" w:type="dxa"/>
          <w:left w:w="28" w:type="dxa"/>
          <w:bottom w:w="28" w:type="dxa"/>
          <w:right w:w="28" w:type="dxa"/>
        </w:tblCellMar>
      </w:tblPr>
      <w:tblGrid>
        <w:gridCol w:w="994"/>
        <w:gridCol w:w="873"/>
        <w:gridCol w:w="878"/>
        <w:gridCol w:w="109"/>
        <w:gridCol w:w="358"/>
        <w:gridCol w:w="1226"/>
        <w:gridCol w:w="185"/>
        <w:gridCol w:w="109"/>
        <w:gridCol w:w="109"/>
        <w:gridCol w:w="109"/>
        <w:gridCol w:w="349"/>
        <w:gridCol w:w="1195"/>
        <w:gridCol w:w="180"/>
        <w:gridCol w:w="109"/>
        <w:gridCol w:w="109"/>
        <w:gridCol w:w="109"/>
        <w:gridCol w:w="344"/>
        <w:gridCol w:w="1175"/>
        <w:gridCol w:w="251"/>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w:t>
            </w:r>
          </w:p>
        </w:tc>
        <w:tc>
          <w:tcPr>
            <w:tcW w:w="109" w:type="dxa"/>
            <w:tcBorders/>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w:t>
            </w:r>
          </w:p>
        </w:tc>
        <w:tc>
          <w:tcPr>
            <w:tcW w:w="109" w:type="dxa"/>
            <w:tcBorders/>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revenue recognized during the nine months ended September 30, 2026 and 2025 that was included in contract liabilities at the beginning of the period amounted to $122,676 and $140,267,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3.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12, 2026, the Company acquired 100% of the equity interest in Cloeren Incorporated ("Cloeren"), a manufacturer of high-performance, custom-designed extrusion head systems for polymer and plastics applications for $39,246, net of cash acquired. The Cloeren business was acquired to complement existing operations and expand the Company's ability to serve customers with a broader, more complete solution across polymer processing applications within the Pumps &amp; Process Solutions segment. The purchase accounting for Cloeren is preliminary.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2026, the Company entered into a definitive agreement to acquire Leistung Engineering Pvt. Ltd., a specialized manufacturer of cryogenic and diaphragm valves, filtration systems, and related products, for total preliminary consideration of $40,000, subject to post-closing adjustments. The transaction is subject to satisfaction of customary closing conditions, including receipt of regulatory approvals, and is expected to close in the fourth quarter of 2026. This acquisition adds complementary offerings within the Clean Energy &amp; Fueling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Two other immaterial acquisitions were completed during the nine months ended September 30, 2026, within the Engineered Products and Pumps &amp; Process Solutions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nine months ended September 30, 2025, the Company acquired four businesses in separate transactions for total consideration of $665,270, net of cash acquired and inclusive of contingent consideration of $2,000 (a non-cash financing activity) and measurement period adjustments. These businesses were acquired to complement and expand upon existing operations within the Pumps &amp; Process Solutions and Clean Energy &amp; Fueling segments. The goodwill recorded as a result of these acquisitions represents the economic benefits expected to be derived from product line expansions and operational synergies. Goodwill of $16,614 is</w:t>
      </w:r>
      <w:r>
        <w:rPr>
          <w:color w:val="000000"/>
        </w:rPr>
        <w:t xml:space="preserve"> </w:t>
      </w:r>
      <w:r>
        <w:rPr>
          <w:rFonts w:ascii="Times New Roman;serif" w:hAnsi="Times New Roman;serif"/>
          <w:b w:val="false"/>
          <w:color w:val="000000"/>
          <w:sz w:val="20"/>
        </w:rPr>
        <w:t>deductible for income tax purposes and $350,516 is non-deductible for income tax purposes for these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Sikora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June 11, 2025, the Company acquired 99.8% of the equity interest in Sikora AG ("Sikora"),</w:t>
      </w:r>
      <w:r>
        <w:rPr>
          <w:color w:val="000000"/>
        </w:rPr>
        <w:t xml:space="preserve"> </w:t>
      </w:r>
      <w:r>
        <w:rPr>
          <w:rFonts w:ascii="Times New Roman;serif" w:hAnsi="Times New Roman;serif"/>
          <w:b w:val="false"/>
          <w:color w:val="000000"/>
          <w:sz w:val="20"/>
        </w:rPr>
        <w:t xml:space="preserve">a provider of precision measurement, inspection and control solutions for production processes in the wires and cables, hoses, optical fibers and plastic industries for $608,459, net of cash acquired and inclusive of measurement period adjustments. The Sikora acquisition strengthens the Company's offerings in the Pumps &amp; Process Solutions segment. In connection with this acquisition, the Company recorded goodwill of $340,478 and intangible assets of $219,058 for customer intangibles, $72,942 for unpatented technology and $17,690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 of intangible assets include discounted future cash flows, customer attrition rates and discount rates.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allocation of purchase price to the assets acquired and liabilities assumed in the Sikora acquisition, based on their estimated fair values at acquisition date:</w:t>
      </w:r>
    </w:p>
    <w:tbl>
      <w:tblPr>
        <w:tblW w:w="4473" w:type="dxa"/>
        <w:jc w:val="left"/>
        <w:tblInd w:w="0" w:type="dxa"/>
        <w:tblLayout w:type="fixed"/>
        <w:tblCellMar>
          <w:top w:w="28" w:type="dxa"/>
          <w:left w:w="28" w:type="dxa"/>
          <w:bottom w:w="28" w:type="dxa"/>
          <w:right w:w="28" w:type="dxa"/>
        </w:tblCellMar>
      </w:tblPr>
      <w:tblGrid>
        <w:gridCol w:w="1070"/>
        <w:gridCol w:w="941"/>
        <w:gridCol w:w="944"/>
        <w:gridCol w:w="211"/>
        <w:gridCol w:w="826"/>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net of 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deferred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recorded additional measurement period adjustments resulting in an increase to goodwill of $5,592. These adjustments are based on facts and circumstances that existed, but were not known, as of the acquisition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17, 2025, the Company acquired 100% of the equity interest in Cryogenic Machinery Corp. ("Cryo-Mach"), a provider of cryogenic centrifugal pumps, mechanical seals and accessories, for total consideration of $28,909, net of cash acquired and inclusive of measurement period adjustments. The Cryo-Mach business was acquired to expand the Company's participation in cryogenic applications within the Pumps &amp; Process Solutions segment. In connection with this acquisition, the Company recorded tax-deductible goodwill of $9,250 and intangible assets of $21,020, primarily related to customer intangibles.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2025, the Company acquired 100% of the equity interest in ipp Pump Products GmbH ("ipp"), a specialized manufacturer of sanitary pump technologies, including hygienic lobe, progressive, and other processing equipment for $16,523, net of cash acquired and inclusive of measurement period adjustments. ipp's products expand the Company's capabilities in critical hygienic applications within the Pumps &amp; Process Solutions segment. In connection with this acquisition, the Company recorded goodwill of $10,038 and intangible assets of $5,648, related to customer intangibles.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acquired 100% of the equity interest in Site IQ LLC ("SIQ"), an industrial internet of things company with a focus on remote monitoring of fueling sites, for total consideration of $11,379, net of cash acquired and inclusive of contingent consideration and measurement period adjustments. SIQ's hardware and software products expand the Company's ability to deliver a comprehensive solution that brings actionable intelligence and remote hardware service to retailers and service companies within the Clean Energy &amp; Fueling segment. In connection with this acquisition, the Company recorded tax-deductible goodwill of $7,364 and intangible assets of $4,600 related to unpatented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assigned to goodwill and major intangible asset classifications for acquisitions during the nine months ended September 30, 2025 were as follows:</w:t>
      </w:r>
    </w:p>
    <w:p>
      <w:pPr>
        <w:pStyle w:val="TextBody"/>
        <w:bidi w:val="0"/>
        <w:spacing w:before="0" w:after="0"/>
        <w:jc w:val="both"/>
        <w:rPr/>
      </w:pPr>
      <w:r>
        <w:rPr/>
      </w:r>
    </w:p>
    <w:tbl>
      <w:tblPr>
        <w:tblW w:w="7731" w:type="dxa"/>
        <w:jc w:val="left"/>
        <w:tblInd w:w="0" w:type="dxa"/>
        <w:tblLayout w:type="fixed"/>
        <w:tblCellMar>
          <w:top w:w="28" w:type="dxa"/>
          <w:left w:w="28" w:type="dxa"/>
          <w:bottom w:w="28" w:type="dxa"/>
          <w:right w:w="28" w:type="dxa"/>
        </w:tblCellMar>
      </w:tblPr>
      <w:tblGrid>
        <w:gridCol w:w="824"/>
        <w:gridCol w:w="725"/>
        <w:gridCol w:w="730"/>
        <w:gridCol w:w="295"/>
        <w:gridCol w:w="1157"/>
        <w:gridCol w:w="152"/>
        <w:gridCol w:w="109"/>
        <w:gridCol w:w="109"/>
        <w:gridCol w:w="109"/>
        <w:gridCol w:w="374"/>
        <w:gridCol w:w="374"/>
        <w:gridCol w:w="374"/>
        <w:gridCol w:w="374"/>
        <w:gridCol w:w="374"/>
        <w:gridCol w:w="374"/>
        <w:gridCol w:w="374"/>
        <w:gridCol w:w="374"/>
        <w:gridCol w:w="52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 (in years)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 non-deductible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intangibles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Unpatented technologies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23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708,088 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4. Discontinued and Disposed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2024, the Company completed the sale of the ESG business, an operating company within the Engineered Products segment, to Terex Corporation for total consideration, net of cash transferred, of $2.0 billion.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condensed consolidated statements of earnings and the condensed consolidated statements of cash flows for the periods presented. During the three and nine months ended September 30, 2026, other post-closing adjustments of $4,417 ($3,489 after-tax) and $5,195 ($4,104 after-tax), respectively, were recorded resulting in a loss from discontinued operations in the condensed consolidated statements of earnings. During the three and nine months ended September 30, 2025, other post-closing adjustments of $1,640 ($1,296 after-tax) and net working capital adjustments and other post-closing adjustments of $13,633 ($10,782 after-tax), respectively, were recorded resulting in a loss from discontinued operations in the condensed consolidated statements of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a jury returned a verdict against the ESG business for approximately $58.9 million in connection with litigation involving alleged breach of contract and inducement of breach of fiduciary duty claims arising from certain product development efforts. On post-trial motions, the trial court reduced the judgment. Both parties appealed the final judgment to the U.S. Court of Appeals for the Seventh Circuit. In connection with these developments, the Company recognized an immaterial expense during the quarter related to the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dispositions in 2025 or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5. Inventories, net</w:t>
      </w:r>
    </w:p>
    <w:tbl>
      <w:tblPr>
        <w:tblW w:w="5364" w:type="dxa"/>
        <w:jc w:val="left"/>
        <w:tblInd w:w="0" w:type="dxa"/>
        <w:tblLayout w:type="fixed"/>
        <w:tblCellMar>
          <w:top w:w="28" w:type="dxa"/>
          <w:left w:w="28" w:type="dxa"/>
          <w:bottom w:w="28" w:type="dxa"/>
          <w:right w:w="28" w:type="dxa"/>
        </w:tblCellMar>
      </w:tblPr>
      <w:tblGrid>
        <w:gridCol w:w="543"/>
        <w:gridCol w:w="476"/>
        <w:gridCol w:w="480"/>
        <w:gridCol w:w="288"/>
        <w:gridCol w:w="1333"/>
        <w:gridCol w:w="148"/>
        <w:gridCol w:w="109"/>
        <w:gridCol w:w="109"/>
        <w:gridCol w:w="109"/>
        <w:gridCol w:w="278"/>
        <w:gridCol w:w="1288"/>
        <w:gridCol w:w="203"/>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873,961 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765,453 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1,619,595 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1,423,205 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reserves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1,469,050 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6. Property, Plant and Equipment, net</w:t>
      </w:r>
    </w:p>
    <w:tbl>
      <w:tblPr>
        <w:tblW w:w="7105" w:type="dxa"/>
        <w:jc w:val="left"/>
        <w:tblInd w:w="0" w:type="dxa"/>
        <w:tblLayout w:type="fixed"/>
        <w:tblCellMar>
          <w:top w:w="28" w:type="dxa"/>
          <w:left w:w="28" w:type="dxa"/>
          <w:bottom w:w="28" w:type="dxa"/>
          <w:right w:w="28" w:type="dxa"/>
        </w:tblCellMar>
      </w:tblPr>
      <w:tblGrid>
        <w:gridCol w:w="1174"/>
        <w:gridCol w:w="1028"/>
        <w:gridCol w:w="1038"/>
        <w:gridCol w:w="288"/>
        <w:gridCol w:w="1333"/>
        <w:gridCol w:w="148"/>
        <w:gridCol w:w="109"/>
        <w:gridCol w:w="109"/>
        <w:gridCol w:w="109"/>
        <w:gridCol w:w="278"/>
        <w:gridCol w:w="1288"/>
        <w:gridCol w:w="203"/>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2,267,167 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gross</w:t>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3,065,628 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2,944,555 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1,155,068 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1,119,623 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totaled $44,959 and $42,698 for the three months ended September 30, 2026 and 2025, respectively. For the nine months ended September 30, 2026 and 2025, depreciation expense totaled $132,040 and $124,524,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7. Credit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losses primarily through sales of products and services. Due to the short-term nature of such receivables, the estimated amount of accounts receivable that may not be collected is based on the aging of the accounts receivable balances and other historical information on the financial condition of customers adjusted for current conditions. The Company has elected the practical expedient to assume that current conditions as of the balance sheet date do not change for the remaining life of the assets. Balances are written off when determined to be uncollectible.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allowance for credit losses deducted from accounts receivable that represent the net amount expected to be collected.</w:t>
      </w:r>
    </w:p>
    <w:tbl>
      <w:tblPr>
        <w:tblW w:w="6863" w:type="dxa"/>
        <w:jc w:val="left"/>
        <w:tblInd w:w="0" w:type="dxa"/>
        <w:tblLayout w:type="fixed"/>
        <w:tblCellMar>
          <w:top w:w="28" w:type="dxa"/>
          <w:left w:w="28" w:type="dxa"/>
          <w:bottom w:w="28" w:type="dxa"/>
          <w:right w:w="28" w:type="dxa"/>
        </w:tblCellMar>
      </w:tblPr>
      <w:tblGrid>
        <w:gridCol w:w="1594"/>
        <w:gridCol w:w="1404"/>
        <w:gridCol w:w="1411"/>
        <w:gridCol w:w="211"/>
        <w:gridCol w:w="721"/>
        <w:gridCol w:w="109"/>
        <w:gridCol w:w="109"/>
        <w:gridCol w:w="109"/>
        <w:gridCol w:w="109"/>
        <w:gridCol w:w="211"/>
        <w:gridCol w:w="721"/>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 charged against the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8.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by reportable segment were as follows:</w:t>
      </w:r>
    </w:p>
    <w:tbl>
      <w:tblPr>
        <w:tblW w:w="10632" w:type="dxa"/>
        <w:jc w:val="left"/>
        <w:tblInd w:w="0" w:type="dxa"/>
        <w:tblLayout w:type="fixed"/>
        <w:tblCellMar>
          <w:top w:w="28" w:type="dxa"/>
          <w:left w:w="28" w:type="dxa"/>
          <w:bottom w:w="28" w:type="dxa"/>
          <w:right w:w="28" w:type="dxa"/>
        </w:tblCellMar>
      </w:tblPr>
      <w:tblGrid>
        <w:gridCol w:w="679"/>
        <w:gridCol w:w="268"/>
        <w:gridCol w:w="269"/>
        <w:gridCol w:w="211"/>
        <w:gridCol w:w="826"/>
        <w:gridCol w:w="109"/>
        <w:gridCol w:w="109"/>
        <w:gridCol w:w="109"/>
        <w:gridCol w:w="109"/>
        <w:gridCol w:w="211"/>
        <w:gridCol w:w="976"/>
        <w:gridCol w:w="109"/>
        <w:gridCol w:w="109"/>
        <w:gridCol w:w="109"/>
        <w:gridCol w:w="109"/>
        <w:gridCol w:w="217"/>
        <w:gridCol w:w="1006"/>
        <w:gridCol w:w="113"/>
        <w:gridCol w:w="109"/>
        <w:gridCol w:w="109"/>
        <w:gridCol w:w="109"/>
        <w:gridCol w:w="211"/>
        <w:gridCol w:w="976"/>
        <w:gridCol w:w="109"/>
        <w:gridCol w:w="109"/>
        <w:gridCol w:w="109"/>
        <w:gridCol w:w="109"/>
        <w:gridCol w:w="251"/>
        <w:gridCol w:w="984"/>
        <w:gridCol w:w="131"/>
        <w:gridCol w:w="109"/>
        <w:gridCol w:w="109"/>
        <w:gridCol w:w="109"/>
        <w:gridCol w:w="211"/>
        <w:gridCol w:w="97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1,119,608 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513,324 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5,430,038 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1,104,840 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512,557 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5,380,153 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recognized measurement period adjustments of $5,592 related to the Sikora acquisition in the second quarter of 2025 in the Pumps &amp; Process Solutions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definite-lived and indefinite-lived intangible assets by major asset class were as follows:</w:t>
      </w:r>
    </w:p>
    <w:tbl>
      <w:tblPr>
        <w:tblW w:w="10627" w:type="dxa"/>
        <w:jc w:val="left"/>
        <w:tblInd w:w="0" w:type="dxa"/>
        <w:tblLayout w:type="fixed"/>
        <w:tblCellMar>
          <w:top w:w="28" w:type="dxa"/>
          <w:left w:w="28" w:type="dxa"/>
          <w:bottom w:w="28" w:type="dxa"/>
          <w:right w:w="28" w:type="dxa"/>
        </w:tblCellMar>
      </w:tblPr>
      <w:tblGrid>
        <w:gridCol w:w="520"/>
        <w:gridCol w:w="325"/>
        <w:gridCol w:w="32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relationships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3,718,806 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amortization expense was $53,011 and $55,763, respectively. For the nine months ended September 30, 2026 and 2025, amortization expense was $160,163 and $155,738, respectively. Amortization expense is primarily comprised of acquisition-related intangible amortization.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9. Restructuring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restructuring charges by segment were as follows:</w:t>
      </w:r>
    </w:p>
    <w:tbl>
      <w:tblPr>
        <w:tblW w:w="10205" w:type="dxa"/>
        <w:jc w:val="left"/>
        <w:tblInd w:w="0" w:type="dxa"/>
        <w:tblLayout w:type="fixed"/>
        <w:tblCellMar>
          <w:top w:w="28" w:type="dxa"/>
          <w:left w:w="28" w:type="dxa"/>
          <w:bottom w:w="28" w:type="dxa"/>
          <w:right w:w="28" w:type="dxa"/>
        </w:tblCellMar>
      </w:tblPr>
      <w:tblGrid>
        <w:gridCol w:w="1350"/>
        <w:gridCol w:w="1183"/>
        <w:gridCol w:w="1190"/>
        <w:gridCol w:w="272"/>
        <w:gridCol w:w="933"/>
        <w:gridCol w:w="140"/>
        <w:gridCol w:w="140"/>
        <w:gridCol w:w="140"/>
        <w:gridCol w:w="140"/>
        <w:gridCol w:w="272"/>
        <w:gridCol w:w="933"/>
        <w:gridCol w:w="140"/>
        <w:gridCol w:w="109"/>
        <w:gridCol w:w="109"/>
        <w:gridCol w:w="109"/>
        <w:gridCol w:w="260"/>
        <w:gridCol w:w="893"/>
        <w:gridCol w:w="134"/>
        <w:gridCol w:w="134"/>
        <w:gridCol w:w="134"/>
        <w:gridCol w:w="134"/>
        <w:gridCol w:w="260"/>
        <w:gridCol w:w="893"/>
        <w:gridCol w:w="203"/>
      </w:tblGrid>
      <w:tr>
        <w:trPr/>
        <w:tc>
          <w:tcPr>
            <w:tcW w:w="135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amounts are classified in the condensed consolidated statements of earnings as follows:</w:t>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19,377 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restructuring expenses of $19,377 and $66,600 incurred during the three and nine months ended September 30, 2026 were primarily related to headcount reductions and exit costs in the Pumps &amp; Process Solutions, Climate &amp; Sustainability Technologies, Clean Energy &amp; Fueling and Engineered Products segments. These restructuring programs were initiated in 2025 and 2026 and the Company will continue to make proactive adjustments to its cost structure to align with current demand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severance and exit accrual activities were as follows:</w:t>
      </w:r>
    </w:p>
    <w:tbl>
      <w:tblPr>
        <w:tblW w:w="7467" w:type="dxa"/>
        <w:jc w:val="left"/>
        <w:tblInd w:w="0" w:type="dxa"/>
        <w:tblLayout w:type="fixed"/>
        <w:tblCellMar>
          <w:top w:w="28" w:type="dxa"/>
          <w:left w:w="28" w:type="dxa"/>
          <w:bottom w:w="28" w:type="dxa"/>
          <w:right w:w="28" w:type="dxa"/>
        </w:tblCellMar>
      </w:tblPr>
      <w:tblGrid>
        <w:gridCol w:w="1356"/>
        <w:gridCol w:w="1195"/>
        <w:gridCol w:w="1199"/>
        <w:gridCol w:w="211"/>
        <w:gridCol w:w="721"/>
        <w:gridCol w:w="109"/>
        <w:gridCol w:w="109"/>
        <w:gridCol w:w="109"/>
        <w:gridCol w:w="109"/>
        <w:gridCol w:w="211"/>
        <w:gridCol w:w="616"/>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shd w:fill="FFFFFF" w:val="clear"/>
        </w:rPr>
        <w:t xml:space="preserve"> </w:t>
      </w:r>
      <w:r>
        <w:rPr>
          <w:rFonts w:ascii="Times New Roman;serif" w:hAnsi="Times New Roman;serif"/>
          <w:b w:val="false"/>
          <w:color w:val="000000"/>
          <w:sz w:val="18"/>
          <w:shd w:fill="FFFFFF" w:val="clear"/>
        </w:rPr>
        <w:t xml:space="preserve">Exit reserves activity includes non-cash asset charges within the Clean Energy &amp; Fueling, </w:t>
      </w:r>
      <w:r>
        <w:rPr>
          <w:rFonts w:ascii="Times New Roman;serif" w:hAnsi="Times New Roman;serif"/>
          <w:b w:val="false"/>
          <w:color w:val="000000"/>
          <w:sz w:val="18"/>
        </w:rPr>
        <w:t>Pumps &amp; Process Solutions</w:t>
      </w:r>
      <w:r>
        <w:rPr>
          <w:color w:val="000000"/>
          <w:shd w:fill="FFFFFF" w:val="clear"/>
        </w:rPr>
        <w:t xml:space="preserve"> </w:t>
      </w:r>
      <w:r>
        <w:rPr>
          <w:rFonts w:ascii="Times New Roman;serif" w:hAnsi="Times New Roman;serif"/>
          <w:b w:val="false"/>
          <w:color w:val="000000"/>
          <w:sz w:val="18"/>
          <w:shd w:fill="FFFFFF" w:val="clear"/>
        </w:rPr>
        <w:t>and Climate &amp; Sustainability Technologies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10. Borrowings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consist of the following:</w:t>
      </w:r>
    </w:p>
    <w:tbl>
      <w:tblPr>
        <w:tblW w:w="10205" w:type="dxa"/>
        <w:jc w:val="left"/>
        <w:tblInd w:w="0" w:type="dxa"/>
        <w:tblLayout w:type="fixed"/>
        <w:tblCellMar>
          <w:top w:w="28" w:type="dxa"/>
          <w:left w:w="28" w:type="dxa"/>
          <w:bottom w:w="28" w:type="dxa"/>
          <w:right w:w="28" w:type="dxa"/>
        </w:tblCellMar>
      </w:tblPr>
      <w:tblGrid>
        <w:gridCol w:w="1789"/>
        <w:gridCol w:w="1573"/>
        <w:gridCol w:w="1581"/>
        <w:gridCol w:w="226"/>
        <w:gridCol w:w="826"/>
        <w:gridCol w:w="109"/>
        <w:gridCol w:w="109"/>
        <w:gridCol w:w="109"/>
        <w:gridCol w:w="109"/>
        <w:gridCol w:w="280"/>
        <w:gridCol w:w="1296"/>
        <w:gridCol w:w="143"/>
        <w:gridCol w:w="109"/>
        <w:gridCol w:w="109"/>
        <w:gridCol w:w="109"/>
        <w:gridCol w:w="271"/>
        <w:gridCol w:w="1255"/>
        <w:gridCol w:w="202"/>
      </w:tblGrid>
      <w:tr>
        <w:trPr/>
        <w:tc>
          <w:tcPr>
            <w:tcW w:w="178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Carrying amount </w:t>
            </w:r>
            <w:r>
              <w:rPr>
                <w:rFonts w:ascii="Times New Roman;serif" w:hAnsi="Times New Roman;serif"/>
                <w:b/>
                <w:color w:val="000000"/>
                <w:sz w:val="13"/>
              </w:rPr>
              <w:t>(1)</w:t>
            </w:r>
          </w:p>
        </w:tc>
      </w:tr>
      <w:tr>
        <w:trPr/>
        <w:tc>
          <w:tcPr>
            <w:tcW w:w="4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 10-year notes due November 9, 2026 (euro-denominated)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0.750% 8-year notes due November 4, 2027 (euro-denominated)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6.65% 30-year debentures due June 1, 2028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2.950% 10-year notes due November 4, 2029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3.50% 8-year notes due November 12, 2033 (euro-denominated)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30-year debentures due October 15, 2035</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6.60% 30-year notes due March 15, 2038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30-year notes due March 1, 2041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3,264,590 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3,327,972 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debt current portion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long-term debt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2,581,187 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Carrying amount is net of unamortized debt discount and deferred debt issuance costs. Total unamortized debt discounts on total long-term debt were $7.0 million and $8.6 million as of September 30, 2026 and December 31, 2025, respectively. Total deferred debt issuance costs on total long-term debt were $8.1 million and $9.7 million as of September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 2026, the Company entered into a new $1.5 billion five-year unsecured revolving credit facility (the "Credit Agreement") with a syndicate of banks. The previous $1.0 billion five-year unsecured revolving credit facility was terminated upon execution of the new credit facility and the previous $500.0 million 364-day unsecured revolving credit facility expired on the same day. The lenders' commitments under the five-year Credit Agreement will terminate and the loans under the Credit Agreement will mature on April 2, 2031. The Credit Agreement is designated as a liquidity back-stop for the Company's commercial paper program and also is available for general corporate purposes. At the Company's election, loans under the Credit Agreement will bear interest at a base rate plus an applicable margin. The Credit Agreement requires the Company to pay facility fees and imposes various restrictions on the Company such as, among other things, a requirement to maintain a minimum interest coverage ratio of consolidated EBITDA to consolidated net interest expense of not less than 3.0 to 1. There were no outstanding borrowings under the new Credit Agreement as of September 30, 2026 or previous five-year and 364-day credit facilities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in the Credit Agreement and other long-term debt covenants at September 30, 2026 and had an interest coverage ratio of consolidated EBITDA to consolidated net interest expense of 35.7 to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Letters of Credit and other Guarantees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approximately $180.0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11.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Hedges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September 30, 2026 and December 31, 2025, the Company had contracts with total notional amounts of $148,561 and $153,765, respectively, to exchange currencies, principally euro, pound sterling, Swedish krona, Canadian dollar, Chinese yuan, and Swiss franc. The Company believes it is probable that all forecasted cash flow transactions will occur.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Company had outstanding contracts with a total notional amount of $107,361 and $74,403 as of September 30, 2026 and December 31, 2025,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values of derivative instruments designated as cash flow hedges held by the Company as of September 30, 2026 and December 31, 2025 and the balance sheet lines in which they are recorded:</w:t>
      </w:r>
    </w:p>
    <w:tbl>
      <w:tblPr>
        <w:tblW w:w="9094" w:type="dxa"/>
        <w:jc w:val="left"/>
        <w:tblInd w:w="0" w:type="dxa"/>
        <w:tblLayout w:type="fixed"/>
        <w:tblCellMar>
          <w:top w:w="28" w:type="dxa"/>
          <w:left w:w="28" w:type="dxa"/>
          <w:bottom w:w="28" w:type="dxa"/>
          <w:right w:w="28" w:type="dxa"/>
        </w:tblCellMar>
      </w:tblPr>
      <w:tblGrid>
        <w:gridCol w:w="782"/>
        <w:gridCol w:w="688"/>
        <w:gridCol w:w="690"/>
        <w:gridCol w:w="475"/>
        <w:gridCol w:w="1049"/>
        <w:gridCol w:w="246"/>
        <w:gridCol w:w="138"/>
        <w:gridCol w:w="138"/>
        <w:gridCol w:w="138"/>
        <w:gridCol w:w="463"/>
        <w:gridCol w:w="1023"/>
        <w:gridCol w:w="238"/>
        <w:gridCol w:w="109"/>
        <w:gridCol w:w="109"/>
        <w:gridCol w:w="109"/>
        <w:gridCol w:w="789"/>
        <w:gridCol w:w="789"/>
        <w:gridCol w:w="112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designates certain non-derivative instruments as net investment hedges to hedge the net assets of certain foreign subsidiaries which are exposed to volatility in foreign currency exchange rates. The Company has designated the €600,000, €500,000, and €550,000 of euro-denominated notes issued November 9, 2016, November 4, 2019, and November 12, 2025, respectively, as hedges of its net investment in euro-denominated operations. In May of 2025, the Company entered into a €550,000 currency forward contract designated as a net investment hedge for the duration of the contract. The forward contract settled in December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value of the euro-denominated debt and currency forward contract, which are calculated using the spot method, are recognized in foreign currency translation adjustments within other comprehensive earnings (loss) of the condensed consolidated statements of comprehensive earnings. These changes in fair value of the euro-denominated debt and currency forward contract resulting from exchange rate differences are offset by changes in the net investment due to the high degree of effectiveness between the hedging instruments and the exposure being hedged.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recognized in other comprehensive earnings (loss) for the gains (losses) on net investment hedges were as follows:</w:t>
      </w:r>
    </w:p>
    <w:tbl>
      <w:tblPr>
        <w:tblW w:w="10205" w:type="dxa"/>
        <w:jc w:val="left"/>
        <w:tblInd w:w="0" w:type="dxa"/>
        <w:tblLayout w:type="fixed"/>
        <w:tblCellMar>
          <w:top w:w="28" w:type="dxa"/>
          <w:left w:w="28" w:type="dxa"/>
          <w:bottom w:w="28" w:type="dxa"/>
          <w:right w:w="28" w:type="dxa"/>
        </w:tblCellMar>
      </w:tblPr>
      <w:tblGrid>
        <w:gridCol w:w="1414"/>
        <w:gridCol w:w="1241"/>
        <w:gridCol w:w="1246"/>
        <w:gridCol w:w="278"/>
        <w:gridCol w:w="905"/>
        <w:gridCol w:w="143"/>
        <w:gridCol w:w="143"/>
        <w:gridCol w:w="143"/>
        <w:gridCol w:w="143"/>
        <w:gridCol w:w="278"/>
        <w:gridCol w:w="814"/>
        <w:gridCol w:w="143"/>
        <w:gridCol w:w="109"/>
        <w:gridCol w:w="109"/>
        <w:gridCol w:w="109"/>
        <w:gridCol w:w="239"/>
        <w:gridCol w:w="817"/>
        <w:gridCol w:w="123"/>
        <w:gridCol w:w="123"/>
        <w:gridCol w:w="123"/>
        <w:gridCol w:w="123"/>
        <w:gridCol w:w="239"/>
        <w:gridCol w:w="1014"/>
        <w:gridCol w:w="186"/>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euro-denominated debt</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(138,656)</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currency forward contract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net investment hedges</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(151,358)</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net investment hedges, net of tax</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(117,142)</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 inputs are quoted prices (unadjusted) in active markets for identical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unobservable inputs in which little or no market data exists, therefore requiring an entity to develop its own assumptions.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assets and liabilities measured at fair value on a recurring basis as of September 30, 2026 and December 31, 2025:</w:t>
      </w:r>
    </w:p>
    <w:tbl>
      <w:tblPr>
        <w:tblW w:w="8341" w:type="dxa"/>
        <w:jc w:val="left"/>
        <w:tblInd w:w="0" w:type="dxa"/>
        <w:tblLayout w:type="fixed"/>
        <w:tblCellMar>
          <w:top w:w="28" w:type="dxa"/>
          <w:left w:w="28" w:type="dxa"/>
          <w:bottom w:w="28" w:type="dxa"/>
          <w:right w:w="28" w:type="dxa"/>
        </w:tblCellMar>
      </w:tblPr>
      <w:tblGrid>
        <w:gridCol w:w="1055"/>
        <w:gridCol w:w="931"/>
        <w:gridCol w:w="938"/>
        <w:gridCol w:w="109"/>
        <w:gridCol w:w="109"/>
        <w:gridCol w:w="475"/>
        <w:gridCol w:w="1049"/>
        <w:gridCol w:w="246"/>
        <w:gridCol w:w="109"/>
        <w:gridCol w:w="109"/>
        <w:gridCol w:w="109"/>
        <w:gridCol w:w="109"/>
        <w:gridCol w:w="109"/>
        <w:gridCol w:w="1726"/>
        <w:gridCol w:w="109"/>
        <w:gridCol w:w="211"/>
        <w:gridCol w:w="466"/>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15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derivative contracts are measured at fair value using models based on observable market inputs such as foreign currency exchange rates and interest rates; therefore, they are classified within Level 2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fair value disclosure requirements related to financial instruments carried at fair value, accounting standards require disclosures regarding the fair value of all of the Company's financial instruments.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estimated fair value of long-term debt at September 30, 2026 and December 31, 2025</w:t>
      </w:r>
      <w:r>
        <w:rPr>
          <w:rFonts w:ascii="Times New Roman;serif" w:hAnsi="Times New Roman;serif"/>
          <w:b w:val="false"/>
          <w:color w:val="000000"/>
          <w:sz w:val="20"/>
          <w:shd w:fill="FFFFFF" w:val="clear"/>
        </w:rPr>
        <w:t>, w</w:t>
      </w:r>
      <w:r>
        <w:rPr>
          <w:rFonts w:ascii="Times New Roman;serif" w:hAnsi="Times New Roman;serif"/>
          <w:b w:val="false"/>
          <w:color w:val="000000"/>
          <w:sz w:val="20"/>
        </w:rPr>
        <w:t xml:space="preserve">as $2,486,144 and $2,652,750, respectively. The estimated fair value of long-term debt is based on quoted market prices for similar instruments and is, therefore, classified as Level 2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trade receivables, accounts payable, and current portion of long-term debt approximate their fair values as of September 30, 2026 and December 31, 2025 due to the short-term nature of these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u w:val="single"/>
        </w:rPr>
        <w:t>12. Income Taxes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September 30, 2026 and 2025 were 19.9% and 21.5%, respectively. The decrease in the effective tax rate for the three months ended September 30, 2026 relative to the prior year comparable period was primarily driven by an internal reorganization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nine months ended September 30, 2026 and 2025 were 19.8% and 20.4%, respectively. The decrease in the effective tax rate for the nine months ended September 30, 2026 relative to the prior year comparable period was primarily driven by internal reorganizations in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 and its subsidiaries file tax returns in the U.S., including various state and local returns, and in other foreign jurisdictions. The Company is routinely audited by taxing authorities in its filing jurisdictions, and a number of these audits are currently underway. We believe adequate provision has been made for all income tax uncertainties.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13. Equity Incentive Program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typically makes its annual grants of equity awards pursuant to actions taken by the Compensation Committee of the Board of Directors at its regularly scheduled first quarter meeting. During the nine months ended September 30, 2026, the Company issued stock-settled appreciation rights ("SARs") covering 269,419 shares, performance share awards ("PSAs") of 32,294 and restricted stock units ("RSUs") of 59,391. During the nine months ended September 30, 2025, the Company issued SARs covering 283,837 shares, PSAs of 34,458 and RSUs of 60,544.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used in determining the fair value of the SARs awarded during the respective periods were as follows:</w:t>
      </w:r>
    </w:p>
    <w:tbl>
      <w:tblPr>
        <w:tblW w:w="5144"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SARs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PSAs granted in 2026 and 2025 vest based on the attainment of two equally weighted measures: (i) Dover’s performance relative to established internal metrics (performance condition) and (ii) Dover's performance relative to its peer group (companies listed under the S&amp;P 500 Industrials sector; market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grant date fair value per share of the 2026 and 2025 PSAs' performance condition portion were $231.63 and $202.33,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grant date fair value of the 2026 and 2025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 </w:t>
      </w:r>
    </w:p>
    <w:tbl>
      <w:tblPr>
        <w:tblW w:w="5144" w:type="dxa"/>
        <w:jc w:val="left"/>
        <w:tblInd w:w="0" w:type="dxa"/>
        <w:tblLayout w:type="fixed"/>
        <w:tblCellMar>
          <w:top w:w="28" w:type="dxa"/>
          <w:left w:w="28" w:type="dxa"/>
          <w:bottom w:w="28" w:type="dxa"/>
          <w:right w:w="28" w:type="dxa"/>
        </w:tblCellMar>
      </w:tblPr>
      <w:tblGrid>
        <w:gridCol w:w="1070"/>
        <w:gridCol w:w="939"/>
        <w:gridCol w:w="945"/>
        <w:gridCol w:w="307"/>
        <w:gridCol w:w="309"/>
        <w:gridCol w:w="292"/>
        <w:gridCol w:w="109"/>
        <w:gridCol w:w="109"/>
        <w:gridCol w:w="109"/>
        <w:gridCol w:w="307"/>
        <w:gridCol w:w="309"/>
        <w:gridCol w:w="33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PSAs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price</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share at date of grant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and vesting period for all 2026 and 2025 PSAs is three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granted RSUs, and the fair value of these awards was determined using Dover's closing stock price on the date of grant, which was $231.63 and $202.33 for RSUs granted in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is reported within selling, general and administrative expenses in the condensed consolidated statements of earnings. The following table summarizes the Company’s compensation expense relating to all stock-based incentive plans:</w:t>
      </w:r>
    </w:p>
    <w:tbl>
      <w:tblPr>
        <w:tblW w:w="10205" w:type="dxa"/>
        <w:jc w:val="left"/>
        <w:tblInd w:w="0" w:type="dxa"/>
        <w:tblLayout w:type="fixed"/>
        <w:tblCellMar>
          <w:top w:w="28" w:type="dxa"/>
          <w:left w:w="28" w:type="dxa"/>
          <w:bottom w:w="28" w:type="dxa"/>
          <w:right w:w="28" w:type="dxa"/>
        </w:tblCellMar>
      </w:tblPr>
      <w:tblGrid>
        <w:gridCol w:w="1418"/>
        <w:gridCol w:w="1244"/>
        <w:gridCol w:w="1251"/>
        <w:gridCol w:w="287"/>
        <w:gridCol w:w="840"/>
        <w:gridCol w:w="148"/>
        <w:gridCol w:w="148"/>
        <w:gridCol w:w="148"/>
        <w:gridCol w:w="148"/>
        <w:gridCol w:w="287"/>
        <w:gridCol w:w="840"/>
        <w:gridCol w:w="148"/>
        <w:gridCol w:w="109"/>
        <w:gridCol w:w="109"/>
        <w:gridCol w:w="109"/>
        <w:gridCol w:w="254"/>
        <w:gridCol w:w="871"/>
        <w:gridCol w:w="131"/>
        <w:gridCol w:w="131"/>
        <w:gridCol w:w="131"/>
        <w:gridCol w:w="131"/>
        <w:gridCol w:w="254"/>
        <w:gridCol w:w="871"/>
        <w:gridCol w:w="197"/>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stock-based compensation expense</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tax</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34,308 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14. 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September 30, 2026 and December 31, 2025, these estimated liabilities for environmental and other matters, including private party claims for exposure to hazardous substances that are probable and estimable,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estimated liabilities for these other legal matters that are probable and estimable, and at September 30, 2026 and December 31, 2025,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also Note 4 — Discontinued and Disposed Operations for details on litigation related to a discontinued operation.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Warranty Accruals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September 30, 2026 and 2025, were as follows:</w:t>
      </w:r>
    </w:p>
    <w:tbl>
      <w:tblPr>
        <w:tblW w:w="7974" w:type="dxa"/>
        <w:jc w:val="left"/>
        <w:tblInd w:w="0" w:type="dxa"/>
        <w:tblLayout w:type="fixed"/>
        <w:tblCellMar>
          <w:top w:w="28" w:type="dxa"/>
          <w:left w:w="28" w:type="dxa"/>
          <w:bottom w:w="28" w:type="dxa"/>
          <w:right w:w="28" w:type="dxa"/>
        </w:tblCellMar>
      </w:tblPr>
      <w:tblGrid>
        <w:gridCol w:w="1994"/>
        <w:gridCol w:w="1759"/>
        <w:gridCol w:w="1767"/>
        <w:gridCol w:w="211"/>
        <w:gridCol w:w="721"/>
        <w:gridCol w:w="109"/>
        <w:gridCol w:w="109"/>
        <w:gridCol w:w="109"/>
        <w:gridCol w:w="109"/>
        <w:gridCol w:w="211"/>
        <w:gridCol w:w="721"/>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including acquisitions and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Supply Chain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payments related to Supply Chain Financing ("SCF") programs are recorded within accounts payable in our condensed consolidated balance sheets. Amounts due that are confirmed as valid to the SCF programs financial institutions as of September 30, 2026 and December 31, 2025 were approximately $125,519 and $117,884,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15. Accumulated Other Comprehensive Earnings (Loss)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earnings (loss) to earnings during the three and nine months ended September 30, 2026 and 2025 were as follows: </w:t>
      </w:r>
    </w:p>
    <w:tbl>
      <w:tblPr>
        <w:tblW w:w="10205" w:type="dxa"/>
        <w:jc w:val="left"/>
        <w:tblInd w:w="0" w:type="dxa"/>
        <w:tblLayout w:type="fixed"/>
        <w:tblCellMar>
          <w:top w:w="28" w:type="dxa"/>
          <w:left w:w="28" w:type="dxa"/>
          <w:bottom w:w="28" w:type="dxa"/>
          <w:right w:w="28" w:type="dxa"/>
        </w:tblCellMar>
      </w:tblPr>
      <w:tblGrid>
        <w:gridCol w:w="1668"/>
        <w:gridCol w:w="1345"/>
        <w:gridCol w:w="1353"/>
        <w:gridCol w:w="274"/>
        <w:gridCol w:w="682"/>
        <w:gridCol w:w="141"/>
        <w:gridCol w:w="141"/>
        <w:gridCol w:w="141"/>
        <w:gridCol w:w="141"/>
        <w:gridCol w:w="274"/>
        <w:gridCol w:w="801"/>
        <w:gridCol w:w="141"/>
        <w:gridCol w:w="109"/>
        <w:gridCol w:w="109"/>
        <w:gridCol w:w="109"/>
        <w:gridCol w:w="247"/>
        <w:gridCol w:w="790"/>
        <w:gridCol w:w="127"/>
        <w:gridCol w:w="127"/>
        <w:gridCol w:w="127"/>
        <w:gridCol w:w="127"/>
        <w:gridCol w:w="247"/>
        <w:gridCol w:w="790"/>
        <w:gridCol w:w="194"/>
      </w:tblGrid>
      <w:tr>
        <w:trPr/>
        <w:tc>
          <w:tcPr>
            <w:tcW w:w="166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w:t>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foreign currency translation (gains) losses to earnings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plans:</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credits </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Settlement and curtailment costs</w:t>
            </w:r>
            <w:r>
              <w:rPr>
                <w:rFonts w:ascii="Times New Roman;serif" w:hAnsi="Times New Roman;serif"/>
                <w:b w:val="false"/>
                <w:color w:val="000000"/>
                <w:sz w:val="12"/>
              </w:rPr>
              <w:t>(1)</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provision</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reclassified into earnings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loss from discontinued operations, net in the condensed consolidated statement of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amortization of net actuarial gains and losses and prior service costs and credits in other income, net within the condensed consolidated statements of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hedges consist mainly of foreign currency forward contracts. The Company recognizes the realized gains and losses on its cash flow hedges in the same line item as the hedged transaction, such as revenue or cost of goods and services. </w:t>
      </w:r>
    </w:p>
    <w:p>
      <w:pPr>
        <w:pStyle w:val="TextBody"/>
        <w:bidi w:val="0"/>
        <w:spacing w:before="0" w:after="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16.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in making resource allocation decisions and evaluating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five reportable segments are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segment earnings to evaluate segment performance and allocate resources. Segment earnings is defined as earnings before purchase accounting expenses, restructuring and other costs (benefits), (gain) loss on dispositions, corporate expenses/other, interest expense, interest income and provision for income taxes.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financial information and a reconciliation of segment results to consolidated results were as follows:</w:t>
      </w:r>
    </w:p>
    <w:tbl>
      <w:tblPr>
        <w:tblW w:w="10205" w:type="dxa"/>
        <w:jc w:val="left"/>
        <w:tblInd w:w="0" w:type="dxa"/>
        <w:tblLayout w:type="fixed"/>
        <w:tblCellMar>
          <w:top w:w="28" w:type="dxa"/>
          <w:left w:w="28" w:type="dxa"/>
          <w:bottom w:w="28" w:type="dxa"/>
          <w:right w:w="28" w:type="dxa"/>
        </w:tblCellMar>
      </w:tblPr>
      <w:tblGrid>
        <w:gridCol w:w="1465"/>
        <w:gridCol w:w="1127"/>
        <w:gridCol w:w="1142"/>
        <w:gridCol w:w="218"/>
        <w:gridCol w:w="1012"/>
        <w:gridCol w:w="112"/>
        <w:gridCol w:w="112"/>
        <w:gridCol w:w="112"/>
        <w:gridCol w:w="112"/>
        <w:gridCol w:w="218"/>
        <w:gridCol w:w="1012"/>
        <w:gridCol w:w="112"/>
        <w:gridCol w:w="109"/>
        <w:gridCol w:w="109"/>
        <w:gridCol w:w="109"/>
        <w:gridCol w:w="213"/>
        <w:gridCol w:w="990"/>
        <w:gridCol w:w="110"/>
        <w:gridCol w:w="110"/>
        <w:gridCol w:w="110"/>
        <w:gridCol w:w="110"/>
        <w:gridCol w:w="213"/>
        <w:gridCol w:w="990"/>
        <w:gridCol w:w="110"/>
        <w:gridCol w:w="168"/>
      </w:tblGrid>
      <w:tr>
        <w:trPr/>
        <w:tc>
          <w:tcPr>
            <w:tcW w:w="146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1,755,771 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2,235,542 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2,079,622 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6,482,627 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5,997,722 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2,233,839 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2,077,841 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6,477,483 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5,993,492 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Adjusted cost of goods and services</w:t>
            </w:r>
            <w:r>
              <w:rPr>
                <w:rFonts w:ascii="Times New Roman;serif" w:hAnsi="Times New Roman;serif"/>
                <w:b/>
                <w:color w:val="000000"/>
                <w:sz w:val="20"/>
              </w:rPr>
              <w:t>:</w:t>
            </w:r>
            <w:r>
              <w:rPr>
                <w:rFonts w:ascii="Times New Roman;serif" w:hAnsi="Times New Roman;serif"/>
                <w:b/>
                <w:color w:val="000000"/>
                <w:sz w:val="13"/>
              </w:rPr>
              <w:t>(1)</w:t>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segment cost of goods and services</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1,312,757 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3,829,533 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3,543,375 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Adjusted selling, general and administrative expenses</w:t>
            </w:r>
            <w:r>
              <w:rPr>
                <w:rFonts w:ascii="Times New Roman;serif" w:hAnsi="Times New Roman;serif"/>
                <w:b/>
                <w:color w:val="000000"/>
                <w:sz w:val="20"/>
              </w:rPr>
              <w:t>:</w:t>
            </w:r>
            <w:r>
              <w:rPr>
                <w:rFonts w:ascii="Times New Roman;serif" w:hAnsi="Times New Roman;serif"/>
                <w:b/>
                <w:color w:val="000000"/>
                <w:sz w:val="13"/>
              </w:rPr>
              <w:t>(2)</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segment selling, general and administrative expenses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1,066,148 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Earnings from continuing operations:</w:t>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w:t>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1,388,199 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accounting expenses </w:t>
            </w:r>
            <w:r>
              <w:rPr>
                <w:rFonts w:ascii="Times New Roman;serif" w:hAnsi="Times New Roman;serif"/>
                <w:b w:val="false"/>
                <w:color w:val="000000"/>
                <w:sz w:val="13"/>
              </w:rPr>
              <w:t>(3)</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costs </w:t>
            </w:r>
            <w:r>
              <w:rPr>
                <w:rFonts w:ascii="Times New Roman;serif" w:hAnsi="Times New Roman;serif"/>
                <w:b w:val="false"/>
                <w:color w:val="000000"/>
                <w:sz w:val="13"/>
              </w:rPr>
              <w:t>(4)</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dispositions </w:t>
            </w:r>
            <w:r>
              <w:rPr>
                <w:rFonts w:ascii="Times New Roman;serif" w:hAnsi="Times New Roman;serif"/>
                <w:b w:val="false"/>
                <w:color w:val="000000"/>
                <w:sz w:val="13"/>
              </w:rPr>
              <w:t>(5)</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 other </w:t>
            </w:r>
            <w:r>
              <w:rPr>
                <w:rFonts w:ascii="Times New Roman;serif" w:hAnsi="Times New Roman;serif"/>
                <w:b w:val="false"/>
                <w:color w:val="000000"/>
                <w:sz w:val="13"/>
              </w:rPr>
              <w:t>(6)</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provision for income taxes</w:t>
            </w:r>
          </w:p>
        </w:tc>
        <w:tc>
          <w:tcPr>
            <w:tcW w:w="12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420,686 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1,107,286 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1,033,721 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336,820 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888,114 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822,663 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Adjusted cost of goods and services exclude expenses related to purchase accounting and restructuring and other costs.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Adjusted selling, general and administrative expenses exclude expenses related to purchase accounting, restructuring and other costs, and gain on dispositions and include other income, net.</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Purchase accounting expenses are primarily comprised of amortization of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Restructuring and other costs relate to actions taken for headcount reductions, facility consolidations and site closures, product line exits, and other asset charges. Restructuring and other costs consist of the following:</w:t>
      </w:r>
    </w:p>
    <w:tbl>
      <w:tblPr>
        <w:tblW w:w="8676" w:type="dxa"/>
        <w:jc w:val="left"/>
        <w:tblInd w:w="0" w:type="dxa"/>
        <w:tblLayout w:type="fixed"/>
        <w:tblCellMar>
          <w:top w:w="28" w:type="dxa"/>
          <w:left w:w="28" w:type="dxa"/>
          <w:bottom w:w="28" w:type="dxa"/>
          <w:right w:w="28" w:type="dxa"/>
        </w:tblCellMar>
      </w:tblPr>
      <w:tblGrid>
        <w:gridCol w:w="792"/>
        <w:gridCol w:w="696"/>
        <w:gridCol w:w="701"/>
        <w:gridCol w:w="274"/>
        <w:gridCol w:w="904"/>
        <w:gridCol w:w="152"/>
        <w:gridCol w:w="152"/>
        <w:gridCol w:w="152"/>
        <w:gridCol w:w="152"/>
        <w:gridCol w:w="274"/>
        <w:gridCol w:w="904"/>
        <w:gridCol w:w="152"/>
        <w:gridCol w:w="109"/>
        <w:gridCol w:w="109"/>
        <w:gridCol w:w="109"/>
        <w:gridCol w:w="262"/>
        <w:gridCol w:w="865"/>
        <w:gridCol w:w="146"/>
        <w:gridCol w:w="146"/>
        <w:gridCol w:w="146"/>
        <w:gridCol w:w="146"/>
        <w:gridCol w:w="262"/>
        <w:gridCol w:w="865"/>
        <w:gridCol w:w="20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32,442 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21,767 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15,913 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83,197 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48,520 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Gain on dispositions, including post-closing adjustments.</w:t>
      </w:r>
    </w:p>
    <w:p>
      <w:pPr>
        <w:pStyle w:val="TextBody"/>
        <w:bidi w:val="0"/>
        <w:spacing w:lineRule="auto" w:line="288" w:before="0" w:after="0"/>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1"/>
        <w:gridCol w:w="1258"/>
        <w:gridCol w:w="1249"/>
        <w:gridCol w:w="415"/>
        <w:gridCol w:w="225"/>
        <w:gridCol w:w="495"/>
        <w:gridCol w:w="156"/>
        <w:gridCol w:w="156"/>
        <w:gridCol w:w="156"/>
        <w:gridCol w:w="415"/>
        <w:gridCol w:w="225"/>
        <w:gridCol w:w="495"/>
        <w:gridCol w:w="109"/>
        <w:gridCol w:w="109"/>
        <w:gridCol w:w="109"/>
        <w:gridCol w:w="406"/>
        <w:gridCol w:w="246"/>
        <w:gridCol w:w="535"/>
        <w:gridCol w:w="151"/>
        <w:gridCol w:w="151"/>
        <w:gridCol w:w="151"/>
        <w:gridCol w:w="406"/>
        <w:gridCol w:w="213"/>
        <w:gridCol w:w="623"/>
      </w:tblGrid>
      <w:tr>
        <w:trPr/>
        <w:tc>
          <w:tcPr>
            <w:tcW w:w="17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earnings margins: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depreciation and amortization:</w:t>
            </w:r>
            <w:r>
              <w:rPr>
                <w:rFonts w:ascii="Times New Roman;serif" w:hAnsi="Times New Roman;serif"/>
                <w:b w:val="false"/>
                <w:color w:val="000000"/>
                <w:sz w:val="13"/>
              </w:rPr>
              <w:t>(7)</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26,121</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39,988</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depreciation and amortization</w:t>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116,687</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w:t>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included in purchase accounting expenses and restructuring and other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163,293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158,091</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 and amortization total</w:t>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292,203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280,262</w:t>
            </w:r>
          </w:p>
        </w:tc>
      </w:tr>
    </w:tbl>
    <w:p>
      <w:pPr>
        <w:pStyle w:val="TextBody"/>
        <w:bidi w:val="0"/>
        <w:spacing w:lineRule="auto" w:line="288" w:before="0" w:after="0"/>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Other depreciation and amortization relates to property, plant, and equipment and intangibles, and excludes amounts related to purchase accounting expenses and restructuring and other costs.</w:t>
      </w:r>
    </w:p>
    <w:p>
      <w:pPr>
        <w:pStyle w:val="TextBody"/>
        <w:bidi w:val="0"/>
        <w:spacing w:before="0" w:after="0"/>
        <w:jc w:val="both"/>
        <w:rPr/>
      </w:pPr>
      <w:r>
        <w:rPr/>
      </w:r>
    </w:p>
    <w:tbl>
      <w:tblPr>
        <w:tblW w:w="9787" w:type="dxa"/>
        <w:jc w:val="left"/>
        <w:tblInd w:w="0" w:type="dxa"/>
        <w:tblLayout w:type="fixed"/>
        <w:tblCellMar>
          <w:top w:w="28" w:type="dxa"/>
          <w:left w:w="28" w:type="dxa"/>
          <w:bottom w:w="28" w:type="dxa"/>
          <w:right w:w="28" w:type="dxa"/>
        </w:tblCellMar>
      </w:tblPr>
      <w:tblGrid>
        <w:gridCol w:w="1195"/>
        <w:gridCol w:w="1048"/>
        <w:gridCol w:w="1056"/>
        <w:gridCol w:w="273"/>
        <w:gridCol w:w="934"/>
        <w:gridCol w:w="141"/>
        <w:gridCol w:w="141"/>
        <w:gridCol w:w="141"/>
        <w:gridCol w:w="141"/>
        <w:gridCol w:w="273"/>
        <w:gridCol w:w="934"/>
        <w:gridCol w:w="141"/>
        <w:gridCol w:w="109"/>
        <w:gridCol w:w="109"/>
        <w:gridCol w:w="109"/>
        <w:gridCol w:w="241"/>
        <w:gridCol w:w="944"/>
        <w:gridCol w:w="124"/>
        <w:gridCol w:w="124"/>
        <w:gridCol w:w="124"/>
        <w:gridCol w:w="124"/>
        <w:gridCol w:w="241"/>
        <w:gridCol w:w="944"/>
        <w:gridCol w:w="176"/>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54,150 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163,274 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Selected financial information by segment (continued):</w:t>
      </w:r>
    </w:p>
    <w:p>
      <w:pPr>
        <w:pStyle w:val="TextBody"/>
        <w:bidi w:val="0"/>
        <w:spacing w:before="0" w:after="0"/>
        <w:jc w:val="both"/>
        <w:rPr/>
      </w:pPr>
      <w:r>
        <w:rPr/>
      </w:r>
    </w:p>
    <w:tbl>
      <w:tblPr>
        <w:tblW w:w="7165" w:type="dxa"/>
        <w:jc w:val="left"/>
        <w:tblInd w:w="0" w:type="dxa"/>
        <w:tblLayout w:type="fixed"/>
        <w:tblCellMar>
          <w:top w:w="28" w:type="dxa"/>
          <w:left w:w="28" w:type="dxa"/>
          <w:bottom w:w="28" w:type="dxa"/>
          <w:right w:w="28" w:type="dxa"/>
        </w:tblCellMar>
      </w:tblPr>
      <w:tblGrid>
        <w:gridCol w:w="1190"/>
        <w:gridCol w:w="1049"/>
        <w:gridCol w:w="1061"/>
        <w:gridCol w:w="266"/>
        <w:gridCol w:w="1366"/>
        <w:gridCol w:w="137"/>
        <w:gridCol w:w="109"/>
        <w:gridCol w:w="109"/>
        <w:gridCol w:w="109"/>
        <w:gridCol w:w="258"/>
        <w:gridCol w:w="1323"/>
        <w:gridCol w:w="188"/>
      </w:tblGrid>
      <w:tr>
        <w:trPr/>
        <w:tc>
          <w:tcPr>
            <w:tcW w:w="119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Total assets: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1,118,842 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1,091,594 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3,617,516 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3,607,567 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3,465,420 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3,479,147 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8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(8)</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13,679,288 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13,422,423 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(8) </w:t>
      </w:r>
      <w:r>
        <w:rPr>
          <w:rFonts w:ascii="Times New Roman;serif" w:hAnsi="Times New Roman;serif"/>
          <w:b w:val="false"/>
          <w:color w:val="000000"/>
          <w:sz w:val="18"/>
        </w:rPr>
        <w:t xml:space="preserve">Corporate assets are comprised primarily of cash and cash equivalents.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geography based on the location of the Company's customers:</w:t>
      </w:r>
    </w:p>
    <w:tbl>
      <w:tblPr>
        <w:tblW w:w="10113" w:type="dxa"/>
        <w:jc w:val="left"/>
        <w:tblInd w:w="0" w:type="dxa"/>
        <w:tblLayout w:type="fixed"/>
        <w:tblCellMar>
          <w:top w:w="28" w:type="dxa"/>
          <w:left w:w="28" w:type="dxa"/>
          <w:bottom w:w="28" w:type="dxa"/>
          <w:right w:w="28" w:type="dxa"/>
        </w:tblCellMar>
      </w:tblPr>
      <w:tblGrid>
        <w:gridCol w:w="765"/>
        <w:gridCol w:w="674"/>
        <w:gridCol w:w="676"/>
        <w:gridCol w:w="225"/>
        <w:gridCol w:w="1043"/>
        <w:gridCol w:w="116"/>
        <w:gridCol w:w="116"/>
        <w:gridCol w:w="116"/>
        <w:gridCol w:w="116"/>
        <w:gridCol w:w="225"/>
        <w:gridCol w:w="1043"/>
        <w:gridCol w:w="116"/>
        <w:gridCol w:w="109"/>
        <w:gridCol w:w="109"/>
        <w:gridCol w:w="188"/>
        <w:gridCol w:w="188"/>
        <w:gridCol w:w="188"/>
        <w:gridCol w:w="188"/>
        <w:gridCol w:w="365"/>
        <w:gridCol w:w="1691"/>
        <w:gridCol w:w="188"/>
        <w:gridCol w:w="109"/>
        <w:gridCol w:w="109"/>
        <w:gridCol w:w="109"/>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668" w:type="dxa"/>
            <w:gridSpan w:val="6"/>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 by geography:</w:t>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1,272,482 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1,126,019 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3,632,589 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3,295,872 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2,233,839 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2,077,841 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6,477,483 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5,993,492 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2026 and 2025, the U.S. was the largest geographical market for revenue for the Engineered Products, Clean Energy &amp; Fueling, Pumps &amp; Process Solutions, and Climate &amp; Sustainability Technologies segments, and Europe was the largest market for the Imaging &amp; Identification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2023, the Company's Board of Directors approved a new standing share repurchase authorization whereby the Company may repurchase up to 20 million shares beginning on January 1, 2024 through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10, 2025, the Company entered into a $500,000 accelerated share repurchase agreement (the "ASR Agreement") with JPMorgan Chase Bank, N.A. ("JPMorgan") to repurchase its shares in an accelerated share repurchase program (the "ASR Program"). The ASR Program is classified as equity, initially recorded at fair value with no subsequent remeasurement. The Company conducted the ASR Program under the current share repurchase authorization. The Company funded the ASR Program with cash on hand.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ASR Agreement, the Company paid JPMorgan $500,000 on November 12, 2025, and on that date received initial delivery of 2,334,010 shares, representing a substantial majority of the shares expected to be retired over the course of the ASR Program. In April 2026, JPMorgan delivered 153,652 additional shares which completed the ASR Program, totaling 2,487,662 repurchased shares under the ASR Agreement. The total number of shares repurchased under the ASR Agreement was based on the average of the daily volume-weighted average share price of Dover's common stock during the calculation period of the ASR Program, less a discount, which was $200.99 over the term of the ASR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the three months ended September 30, 2026, the Company repurchased 1,684,185 shares at a total cost of $331,590, or $196.88</w:t>
      </w:r>
      <w:r>
        <w:rPr>
          <w:color w:val="000000"/>
        </w:rPr>
        <w:t xml:space="preserve"> </w:t>
      </w:r>
      <w:r>
        <w:rPr>
          <w:rFonts w:ascii="Times New Roman;serif" w:hAnsi="Times New Roman;serif"/>
          <w:b w:val="false"/>
          <w:color w:val="000000"/>
          <w:sz w:val="20"/>
        </w:rPr>
        <w:t>per share. In the three months ended September 30, 2025, there were no share repurchases. In the nine months ended September 30, 2026 and 2025, exclusive of the ASR Agreement, the Company repurchased 1,934,185 shares at a total cost of $385,527, or $199.32 per share and 200,000 shares at a total cost of $40,700, or $203.50 per share,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12,508,871 shares remain authorized for repurchase under the August 2023 share repurchase authorization.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18.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information used in computing basic and diluted earnings per share:</w:t>
      </w:r>
    </w:p>
    <w:tbl>
      <w:tblPr>
        <w:tblW w:w="9756" w:type="dxa"/>
        <w:jc w:val="left"/>
        <w:tblInd w:w="0" w:type="dxa"/>
        <w:tblLayout w:type="fixed"/>
        <w:tblCellMar>
          <w:top w:w="28" w:type="dxa"/>
          <w:left w:w="28" w:type="dxa"/>
          <w:bottom w:w="28" w:type="dxa"/>
          <w:right w:w="28" w:type="dxa"/>
        </w:tblCellMar>
      </w:tblPr>
      <w:tblGrid>
        <w:gridCol w:w="1185"/>
        <w:gridCol w:w="1041"/>
        <w:gridCol w:w="1044"/>
        <w:gridCol w:w="251"/>
        <w:gridCol w:w="984"/>
        <w:gridCol w:w="129"/>
        <w:gridCol w:w="129"/>
        <w:gridCol w:w="129"/>
        <w:gridCol w:w="129"/>
        <w:gridCol w:w="251"/>
        <w:gridCol w:w="984"/>
        <w:gridCol w:w="129"/>
        <w:gridCol w:w="109"/>
        <w:gridCol w:w="109"/>
        <w:gridCol w:w="109"/>
        <w:gridCol w:w="241"/>
        <w:gridCol w:w="945"/>
        <w:gridCol w:w="124"/>
        <w:gridCol w:w="124"/>
        <w:gridCol w:w="124"/>
        <w:gridCol w:w="124"/>
        <w:gridCol w:w="241"/>
        <w:gridCol w:w="945"/>
        <w:gridCol w:w="176"/>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336,820 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888,114 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36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137,236,000 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134,644,000 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137,254,000 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134,878,000 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138,029,000 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138,099,000 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share amounts used in computing earnings per share:</w:t>
      </w:r>
    </w:p>
    <w:tbl>
      <w:tblPr>
        <w:tblW w:w="10205" w:type="dxa"/>
        <w:jc w:val="left"/>
        <w:tblInd w:w="0" w:type="dxa"/>
        <w:tblLayout w:type="fixed"/>
        <w:tblCellMar>
          <w:top w:w="28" w:type="dxa"/>
          <w:left w:w="28" w:type="dxa"/>
          <w:bottom w:w="28" w:type="dxa"/>
          <w:right w:w="28" w:type="dxa"/>
        </w:tblCellMar>
      </w:tblPr>
      <w:tblGrid>
        <w:gridCol w:w="1162"/>
        <w:gridCol w:w="1003"/>
        <w:gridCol w:w="1007"/>
        <w:gridCol w:w="868"/>
        <w:gridCol w:w="326"/>
        <w:gridCol w:w="188"/>
        <w:gridCol w:w="188"/>
        <w:gridCol w:w="188"/>
        <w:gridCol w:w="188"/>
        <w:gridCol w:w="863"/>
        <w:gridCol w:w="329"/>
        <w:gridCol w:w="200"/>
        <w:gridCol w:w="109"/>
        <w:gridCol w:w="109"/>
        <w:gridCol w:w="109"/>
        <w:gridCol w:w="868"/>
        <w:gridCol w:w="318"/>
        <w:gridCol w:w="180"/>
        <w:gridCol w:w="180"/>
        <w:gridCol w:w="180"/>
        <w:gridCol w:w="180"/>
        <w:gridCol w:w="863"/>
        <w:gridCol w:w="323"/>
        <w:gridCol w:w="276"/>
      </w:tblGrid>
      <w:tr>
        <w:trPr/>
        <w:tc>
          <w:tcPr>
            <w:tcW w:w="116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134,200,000 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137,236,000 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134,644,000 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137,254,000 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exercise of SARs and vesting of performance shares and RSUs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134,878,000 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138,029,000 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135,440,000 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138,099,000 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anti-dilutive potential common shares excluded from the calculation above were approximately 36,000 and 17,000 for the three months ended September 30, 2026 and 2025, respectively and 47,000 and 40,000 for the nine months ended September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DOVER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where otherwise indicated) (Unaudited)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19. 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No. 2026-02, Environmental Credits and Environmental Credit Obligations (Topic 818), which provides specific guidelines for the recognition, measurement, presentation, and disclosure requirements of environmental credits and environmental credit obligations. The amendments are effective for fiscal years beginning after December 15, 2027, and interim periods within those annual reporting periods. Early adoption is permitted. The Company is currently evaluating this ASU to determine its impact on the Company's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The Company adopted the guidance during the fourth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Instruments—Credit Losses (Topic 326): Measurement of Credit Losses for Accounts Receivable and Contract Assets, which provides entities the option of a practical expedient in the estimation of credit losses. The amendments are effective for fiscal years beginning after December 15, 2025, and interim periods within those annual reporting periods. Early adoption is permitted. The Company adopted the guidance as of January 1, 2026. The adoption did not have a material impact on the Company's condensed consolidated financial statements. See Note 7 — Credit Losses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which changes the requirements for when entities may begin capitalizing costs for internal-use software. The amendments are effective for fiscal years beginning after December 15, 2027, and interim reporting periods within those annual reporting periods. Early adoption is permitted as of the beginning of an annual reporting period. The Company adopted the guidance on January 1, 2026. The adoption did not have a material impact on the Company's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20.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9, 2026, the Company entered into a definitive agreement to sell an equity method investment. The transaction is subject to satisfaction of customary closing conditions, including receipt of regulatory approvals, and is expected to close in the fourth quarter of 2026. The Company expects to receive approximately $43,000 representing its proportionate share of the preliminary proceeds.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2. Management’s Discussion and Analysis of Financial Condition and Results</w:t>
      </w:r>
      <w:r>
        <w:rPr>
          <w:color w:val="000000"/>
        </w:rPr>
        <w:t xml:space="preserve"> </w:t>
      </w:r>
      <w:r>
        <w:rPr>
          <w:rFonts w:ascii="Times New Roman;serif" w:hAnsi="Times New Roman;serif"/>
          <w:b/>
          <w:color w:val="000000"/>
          <w:sz w:val="20"/>
        </w:rPr>
        <w:t>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section below entitled "Special Note Regarding Forward-Looking Statements" for a discussion of factors that could cause our actual results to differ from the forward-looking statements contained below and throughout this quarterly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Dover's five operating segments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2026, revenue was $2.2 billion, which increased $156.0 million, or 7.5%, as compared to the third quarter of 2025. This increase was driven by organic revenue growth of 7.1%, acquisition-related revenue growth of 0.5%, and an unfavorable impact from foreign currency translation of 0.1%. Revenue growth was primarily led by robust demand in our secular-growth-exposed end markets as well as broad-based, constructive trading conditions across most of our businesses.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7.1% organic revenue growth for the third quarter of 2026 was driven by our Climate &amp; Sustainability Technologies, Clean Energy &amp; Fueling, Imaging &amp; Identification and Pumps &amp; Process Solutions segments which grew 17.9%, 12.1%, 2.2% and 1.2%, respectively. The growth was partially offset by the Engineered Products segment which declined 1.6%</w:t>
      </w:r>
      <w:r>
        <w:rPr>
          <w:rFonts w:ascii="Arial;sans-serif" w:hAnsi="Arial;sans-serif"/>
          <w:b w:val="false"/>
          <w:color w:val="000000"/>
          <w:sz w:val="20"/>
        </w:rPr>
        <w:t xml:space="preserve">. </w:t>
      </w:r>
      <w:r>
        <w:rPr>
          <w:rFonts w:ascii="Times New Roman;serif" w:hAnsi="Times New Roman;serif"/>
          <w:b w:val="false"/>
          <w:color w:val="000000"/>
          <w:sz w:val="20"/>
        </w:rPr>
        <w:t>For further information, see "Segment Results of Operations" within this Item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a geographic perspective, organic revenue for the U.S., our largest market, increased 12.6% in the third quarter of 2026 compared to the prior year comparable quarter, primarily driven by an increase in organic revenue in the Clean Energy &amp; Fueling and Climate &amp; Sustainability Technologies segments. Organic revenue increased for Asia by 15.1% and decreased for the Other Americas, Europe, and all other geographic markets by 7.0%, 3.0%, and 1.1%,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Bookings were $2.3 billion for the three months ended September 30, 2026, an increase of $310.4 million or 15.5% compared to the prior year comparable quarter. Bookings increased across all segments and most notably in the Climate &amp; Sustainability Technologies and Clean Energy &amp; Fueling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other costs for the three months ended September 30, 2026 were $21.8 million, which included restructuring charges of $19.4 million and other costs of $2.4 million. Restructuring and other costs were primarily related to headcount reductions and exit costs in the Pumps &amp; Process Solutions, Climate &amp; Sustainability Technologies and Clean Energy &amp; Fueling segments. For further discussion related to our restructuring and other costs, see "Restructuring and Other Costs (Benefits)," within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repurchased 1,684,185 shares at a total cost of $331.6 million, or $196.88 per share. As of September 30, 2026, 12,508,871 shares remain authorized for repurchase under the August 2023 share repurchase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completed two business acquisitions within the Pumps &amp; Process Solutions segment which included the acquisition of Cloeren Incorporated ("Cloeren") for $39.2 million and one immaterial acquisition, both subject to post-closing adjustments. See Note 3 — Acquisitions in the condensed consolidated financial statements in Item 1 of this Form 10-Q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CONSOLIDATED RESULTS OF OPERATIONS</w:t>
      </w:r>
    </w:p>
    <w:tbl>
      <w:tblPr>
        <w:tblW w:w="10871" w:type="dxa"/>
        <w:jc w:val="left"/>
        <w:tblInd w:w="0" w:type="dxa"/>
        <w:tblLayout w:type="fixed"/>
        <w:tblCellMar>
          <w:top w:w="28" w:type="dxa"/>
          <w:left w:w="28" w:type="dxa"/>
          <w:bottom w:w="28" w:type="dxa"/>
          <w:right w:w="28" w:type="dxa"/>
        </w:tblCellMar>
      </w:tblPr>
      <w:tblGrid>
        <w:gridCol w:w="664"/>
        <w:gridCol w:w="320"/>
        <w:gridCol w:w="322"/>
        <w:gridCol w:w="211"/>
        <w:gridCol w:w="976"/>
        <w:gridCol w:w="271"/>
        <w:gridCol w:w="109"/>
        <w:gridCol w:w="109"/>
        <w:gridCol w:w="109"/>
        <w:gridCol w:w="211"/>
        <w:gridCol w:w="976"/>
        <w:gridCol w:w="271"/>
        <w:gridCol w:w="109"/>
        <w:gridCol w:w="109"/>
        <w:gridCol w:w="109"/>
        <w:gridCol w:w="311"/>
        <w:gridCol w:w="200"/>
        <w:gridCol w:w="501"/>
        <w:gridCol w:w="109"/>
        <w:gridCol w:w="109"/>
        <w:gridCol w:w="109"/>
        <w:gridCol w:w="211"/>
        <w:gridCol w:w="976"/>
        <w:gridCol w:w="271"/>
        <w:gridCol w:w="109"/>
        <w:gridCol w:w="109"/>
        <w:gridCol w:w="109"/>
        <w:gridCol w:w="211"/>
        <w:gridCol w:w="976"/>
        <w:gridCol w:w="271"/>
        <w:gridCol w:w="109"/>
        <w:gridCol w:w="109"/>
        <w:gridCol w:w="109"/>
        <w:gridCol w:w="333"/>
        <w:gridCol w:w="193"/>
        <w:gridCol w:w="560"/>
      </w:tblGrid>
      <w:tr>
        <w:trPr/>
        <w:tc>
          <w:tcPr>
            <w:tcW w:w="6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figures)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3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5,993,492 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2,397,356 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as a percent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(0.2)</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common share from continuing operations -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September 30, 2026 increased $156.0 million, or 7.5%, from the prior year comparable quarter. The increase in revenue was driven by organic revenue growth of 7.1%, primarily in our Climate &amp; Sustainability Technologies and Clean Energy &amp; Fueling segments, acquisition-related growth of 0.5% in our Pumps &amp; Process Solutions segment, and an unfavorable impact from foreign currency translation of 0.1%. Customer pricing favorably impacted revenue by approximately 2.2% in the third quarter of 2026 and by 2.1%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nine months ended September 30, 2026 increased $484.0 million, or 8.1%, from the prior year comparable period. The increase in revenue was driven by organic revenue growth of 5.7%, primarily in our Climate &amp; Sustainability Technologies and Clean Energy &amp; Fueling segments, acquisition-related growth of 1.2% primarily in our Pumps &amp; Process Solutions segment, and a favorable impact from foreign currency translation of 1.2%. Customer pricing favorably impacted revenue by approximately 2.1% for the nine months ended September 30, 2026 and by 1.8%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September 30, 2026 increased $69.8 million, or 8.4%, and gross profit margin increased 30 basis points to 40.4%, versus the prior year comparable quarter. The gross profit margin increase was primarily driven by operating leverage from volume growth and benefits from productivity and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nine months ended September 30, 2026 increased $184.8 million, or 7.7%, and gross profit margin decreased by 10 basis points to 39.9%, from the prior year comparable period. The gross profit margin decrease was due to unfavorable portfolio mix, partially offset by volume leverage, productivity initiatives, and benefits from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September 30, 2026 increased $27.8 million, or 6.1%, from the prior year comparable quarter, primarily due to increases in employee compensation and benefits, professional service costs, and insurance costs. As a percentage of revenue, selling, general and administrative expenses decreased 30 basis points as compared to the prior year comparable quarter to 21.7%.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nine months ended September 30, 2026 increased $96.0 million, or 7.0%, from the prior year comparable period, primarily due to increased employee compensation and benefits. Selling, general and administrative expenses as a percentage of revenue decreased 20 basis points as compared to the prior year comparable period to 22.6%.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including qualifying engineering costs, are expensed when incurred and amounted to $40.5 million and $43.5 million for the three months ended September 30, 2026 and 2025, respectively, and $120.5 million and $121.8 million for the nine months ended September 30, 2026 and 2025, respectively. The costs as a percentage of revenue were 1.8% and 1.9% for the three and nine months ended September 30, 2026 and 2.1% and 2.0% for the three and nine months ended September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Non-Operating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interest expense, net of interest income, increased $2.9 million, or 30.9%, to $12.4 million and $16.7 million, or 65.1%, to $42.3 million, respectively, compared to the prior year comparable period. The increases were primarily due to lower interest income from redemption of highly liquid short-term investments and higher interest expense incurred from the issuance of the €550.0 million 3.50% euro-denominated notes in the fourth quarter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September 30, 2026 and 2025 were 19.9% and 21.5%, respectively. The decrease in the effective tax rate for the three months ended September 30, 2026 relative to the prior year comparable quarter was primarily driven by an internal reorganization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nine months ended September 30, 2026 and 2025 were 19.8% and 20.4%, respectively. The decrease in the effective tax rate for the nine months ended September 30, 2026 relative to the prior year comparable period was primarily driven by internal reorganizations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was enacted into law, introducing changes to the U.S. tax code, including making permanent certain provisions originally enacted under the Tax Cuts and Jobs Act, such as 100% bonus depreciation and the immediate expensing of domestic research and development costs. The changes do not have a material impact to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Earnings from Continuing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Earnings from continuing operations for the three months ended September 30, 2026 increased 11.1%</w:t>
      </w:r>
      <w:r>
        <w:rPr>
          <w:color w:val="000000"/>
        </w:rPr>
        <w:t xml:space="preserve"> </w:t>
      </w:r>
      <w:r>
        <w:rPr>
          <w:rFonts w:ascii="Times New Roman;serif" w:hAnsi="Times New Roman;serif"/>
          <w:b w:val="false"/>
          <w:color w:val="000000"/>
          <w:sz w:val="20"/>
        </w:rPr>
        <w:t>to $336.8 million, or $2.50 diluted earnings per share from continuing operations, compared to $303.3 million, or $2.20 diluted earnings per share from continuing operations in the prior year comparable quarter. The increase in earnings from continuing operations was driven by higher operating earnings primarily as a result of volume leverage on strong revenue growth, productivity initiatives, and benefits from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from continuing operations for the nine months ended September 30, 2026 increased 8.0% to $888.1 million, or $6.56 diluted earnings per share from continuing operations, from $822.7 million, or $5.96 diluted earnings per share from continuing operations, in the prior year comparable period. The increase in earnings from continuing operations is driven by strong revenue growth in the current period partially offset by increases in employee compensation and benefits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SEGMENT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summary that follows provides a discussion of the results of operations of each of our five reportable operating segments (Engineered Products, Clean Energy &amp; Fueling, Imaging &amp; Identification, Pumps &amp; Process Solutions, and Climate &amp; Sustainability Technologies).</w:t>
      </w:r>
      <w:r>
        <w:rPr>
          <w:color w:val="000000"/>
          <w:shd w:fill="FFFFFF" w:val="clear"/>
        </w:rPr>
        <w:t xml:space="preserve"> </w:t>
      </w:r>
      <w:r>
        <w:rPr>
          <w:rFonts w:ascii="Times New Roman;serif" w:hAnsi="Times New Roman;serif"/>
          <w:b w:val="false"/>
          <w:color w:val="000000"/>
          <w:sz w:val="20"/>
          <w:shd w:fill="FFFFFF" w:val="clear"/>
        </w:rPr>
        <w:t>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report organic revenue growth (a non-GAAP measure) which excludes the impact of foreign currency exchange rates and the impact of acquisitions and divestitures. We believe that reporting organic revenue growth provides a useful comparison of our revenue performance and trends between periods. See "Non-GAAP Disclosures" at the end of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use the following operational metrics in monitoring the performance of the business. We believe the operational metrics are useful to investors and other users of our financial information in assessing the performance of our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Bookings represent total orders received from customers in the current reporting period and exclude de-bookings related to orders received in prior periods, if any. This metric is an important measure of performance and an indicator of order trends.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Book-to-bill is a ratio of the amount of bookings received from customers during a period divided by the amount of revenue recorded during that same period. This metric is a useful indicator of demand.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Engineered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Engineered Products segment provides a wide range of equipment, components, software, solutions and services to the vehicle aftermarket, aerospace and defense, industrial winch and hoist, precision soldering and fluid dispensing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6"/>
        <w:gridCol w:w="490"/>
        <w:gridCol w:w="492"/>
        <w:gridCol w:w="109"/>
        <w:gridCol w:w="109"/>
        <w:gridCol w:w="109"/>
        <w:gridCol w:w="211"/>
        <w:gridCol w:w="826"/>
        <w:gridCol w:w="109"/>
        <w:gridCol w:w="109"/>
        <w:gridCol w:w="109"/>
        <w:gridCol w:w="109"/>
        <w:gridCol w:w="211"/>
        <w:gridCol w:w="826"/>
        <w:gridCol w:w="109"/>
        <w:gridCol w:w="109"/>
        <w:gridCol w:w="109"/>
        <w:gridCol w:w="109"/>
        <w:gridCol w:w="226"/>
        <w:gridCol w:w="226"/>
        <w:gridCol w:w="551"/>
        <w:gridCol w:w="109"/>
        <w:gridCol w:w="109"/>
        <w:gridCol w:w="109"/>
        <w:gridCol w:w="211"/>
        <w:gridCol w:w="826"/>
        <w:gridCol w:w="109"/>
        <w:gridCol w:w="109"/>
        <w:gridCol w:w="109"/>
        <w:gridCol w:w="109"/>
        <w:gridCol w:w="211"/>
        <w:gridCol w:w="826"/>
        <w:gridCol w:w="109"/>
        <w:gridCol w:w="109"/>
        <w:gridCol w:w="109"/>
        <w:gridCol w:w="109"/>
        <w:gridCol w:w="211"/>
        <w:gridCol w:w="211"/>
        <w:gridCol w:w="616"/>
      </w:tblGrid>
      <w:tr>
        <w:trPr/>
        <w:tc>
          <w:tcPr>
            <w:tcW w:w="6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(decline)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(decline)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(decline)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Third Quarter 2026 Compared to the Third Quarter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Engineered Products revenue for the third quarter of 2026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$4.8 million, or 1.7%, as compared to the third quarter of 2025, </w:t>
      </w:r>
      <w:r>
        <w:rPr>
          <w:rFonts w:ascii="Times New Roman;serif" w:hAnsi="Times New Roman;serif"/>
          <w:b w:val="false"/>
          <w:color w:val="000000"/>
          <w:sz w:val="20"/>
          <w:shd w:fill="FFFFFF" w:val="clear"/>
        </w:rPr>
        <w:t>due to organic decline of 1.6% and an unfavorable impact from foreign currency translation of 0.1%. Customer pricing favorably impacted revenue by 2.4% in the third quarter of 2026 and by 2.7%</w:t>
      </w:r>
      <w:r>
        <w:rPr>
          <w:color w:val="000000"/>
          <w:shd w:fill="FFFFFF" w:val="clear"/>
        </w:rPr>
        <w:t xml:space="preserve"> </w:t>
      </w:r>
      <w:r>
        <w:rPr>
          <w:rFonts w:ascii="Times New Roman;serif" w:hAnsi="Times New Roman;serif"/>
          <w:b w:val="false"/>
          <w:color w:val="000000"/>
          <w:sz w:val="20"/>
          <w:shd w:fill="FFFFFF" w:val="clear"/>
        </w:rPr>
        <w:t>in the prior year comparable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organic revenue decline was primarily due to lower vehicle services volume in Europe, partially offset by pricing actions and solid demand trends in aerospace and defense components, fluid dispensing and precision soldering, and industrial winches. We expect organic volumes to stabilize in the fourth quarter, with continued demand headwinds in vehicle services offset by continued strong demand trends across other end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Engineered Products segment earnings decreased $0.9 million, or 1.5%, compared to the third quarter of 2025. The</w:t>
      </w:r>
      <w:r>
        <w:rPr>
          <w:color w:val="000000"/>
        </w:rPr>
        <w:t xml:space="preserve"> </w:t>
      </w:r>
      <w:r>
        <w:rPr>
          <w:rFonts w:ascii="Times New Roman;serif" w:hAnsi="Times New Roman;serif"/>
          <w:b w:val="false"/>
          <w:color w:val="000000"/>
          <w:sz w:val="20"/>
        </w:rPr>
        <w:t xml:space="preserve">decrease was primarily </w:t>
      </w:r>
      <w:r>
        <w:rPr>
          <w:rFonts w:ascii="Times New Roman;serif" w:hAnsi="Times New Roman;serif"/>
          <w:b w:val="false"/>
          <w:color w:val="000000"/>
          <w:sz w:val="20"/>
          <w:shd w:fill="FFFFFF" w:val="clear"/>
        </w:rPr>
        <w:t>due to lower vehicle services volume and inflationary impacts, partially offset by cost management actions and constructive demand trends across other end markets. Segment earnings margin remained flat at 20.6% compared to the prior year comparable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Overall bookings</w:t>
      </w:r>
      <w:r>
        <w:rPr>
          <w:color w:val="000000"/>
          <w:shd w:fill="FFFFFF" w:val="clear"/>
        </w:rPr>
        <w:t xml:space="preserve"> </w:t>
      </w:r>
      <w:r>
        <w:rPr>
          <w:rFonts w:ascii="Times New Roman;serif" w:hAnsi="Times New Roman;serif"/>
          <w:b w:val="false"/>
          <w:color w:val="000000"/>
          <w:sz w:val="20"/>
          <w:shd w:fill="FFFFFF" w:val="clear"/>
        </w:rPr>
        <w:t>increased 0.4% as compared to the prior year comparable quarter. The bookings increase was driven by strength in our aerospace and defense business, industrial winches, precision soldering, and fluid dispensing. Segment book-to-bill was 1.00.</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Engineered Products revenue for the nine months</w:t>
      </w:r>
      <w:r>
        <w:rPr>
          <w:color w:val="000000"/>
          <w:shd w:fill="FFFFFF" w:val="clear"/>
        </w:rPr>
        <w:t xml:space="preserve"> </w:t>
      </w:r>
      <w:r>
        <w:rPr>
          <w:rFonts w:ascii="Times New Roman;serif" w:hAnsi="Times New Roman;serif"/>
          <w:b w:val="false"/>
          <w:color w:val="000000"/>
          <w:sz w:val="20"/>
          <w:shd w:fill="FFFFFF" w:val="clear"/>
        </w:rPr>
        <w:t>ended September 30, 2026 increased $14.7 million, or 1.8%, compared to the prior year comparable period. This was comprised of a favorable impa</w:t>
      </w:r>
      <w:r>
        <w:rPr>
          <w:rFonts w:ascii="Times New Roman;serif" w:hAnsi="Times New Roman;serif"/>
          <w:b w:val="false"/>
          <w:color w:val="000000"/>
          <w:sz w:val="20"/>
        </w:rPr>
        <w:t xml:space="preserve">ct from foreign currency translation of 1.0% and an </w:t>
      </w:r>
      <w:r>
        <w:rPr>
          <w:rFonts w:ascii="Times New Roman;serif" w:hAnsi="Times New Roman;serif"/>
          <w:b w:val="false"/>
          <w:color w:val="000000"/>
          <w:sz w:val="20"/>
          <w:shd w:fill="FFFFFF" w:val="clear"/>
        </w:rPr>
        <w:t>organic revenue growth of 0.8%</w:t>
      </w:r>
      <w:r>
        <w:rPr>
          <w:rFonts w:ascii="Times New Roman;serif" w:hAnsi="Times New Roman;serif"/>
          <w:b w:val="false"/>
          <w:color w:val="000000"/>
          <w:sz w:val="20"/>
        </w:rPr>
        <w:t>. The organic revenue growth was p</w:t>
      </w:r>
      <w:r>
        <w:rPr>
          <w:rFonts w:ascii="Times New Roman;serif" w:hAnsi="Times New Roman;serif"/>
          <w:b w:val="false"/>
          <w:color w:val="000000"/>
          <w:sz w:val="20"/>
          <w:shd w:fill="FFFFFF" w:val="clear"/>
        </w:rPr>
        <w:t xml:space="preserve">rimarily driven by pricing actions and solid demand trends in aerospace and defense components, fluid dispensing, and industrial winches, partially offset by lower vehicle service demand in Europe. Customer pricing favorably impacted revenue by </w:t>
      </w:r>
      <w:r>
        <w:rPr>
          <w:rFonts w:ascii="Times New Roman;serif" w:hAnsi="Times New Roman;serif"/>
          <w:b w:val="false"/>
          <w:color w:val="000000"/>
          <w:sz w:val="20"/>
        </w:rPr>
        <w:t>2.5% in the current period and by 2.3%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earnings for the nine months ended September 30, 2026 increased $4.3 million, or 2.8%, as compared to the 2025 comparable period. The increase was primarily driven by pricing actions, productivity initiatives, and carry-over benefits from restructuring actions taken in 2025, partially offset by inflationary impacts and lower volumes in vehicle service. Segment earnings margin increased to 19.3% from 19.1% as compared to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Clean Energy &amp; Fueling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Clean Energy &amp; Fueling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5"/>
        <w:gridCol w:w="337"/>
        <w:gridCol w:w="338"/>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976"/>
        <w:gridCol w:w="109"/>
        <w:gridCol w:w="109"/>
        <w:gridCol w:w="109"/>
        <w:gridCol w:w="109"/>
        <w:gridCol w:w="211"/>
        <w:gridCol w:w="976"/>
        <w:gridCol w:w="109"/>
        <w:gridCol w:w="109"/>
        <w:gridCol w:w="109"/>
        <w:gridCol w:w="109"/>
        <w:gridCol w:w="255"/>
        <w:gridCol w:w="256"/>
        <w:gridCol w:w="616"/>
      </w:tblGrid>
      <w:tr>
        <w:trPr/>
        <w:tc>
          <w:tcPr>
            <w:tcW w:w="49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Third Quarter 2026 Compared to the Third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Clean Energy &amp; Fueling revenue for the third quarter of 2026 increased $64.6 million, or 11.9%, as compared to the third quarter of 2025, driven by organic revenue growth of 12.1%, offset by an unfavorable foreign currency translation impact of 0.2%. Customer pricing favorably impacted revenue by 3.6% in the third quarter of 2026 and by 2.3%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favorable demand trends and pricing actions in our above and below-ground retail fueling and clean energy components businesses. We expect demand trends to remain constructive for the segment in the fourth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Clean Energy &amp; Fueling segment earnings increased $14.2 million, or 12.0%, over the prior year comparable quarter. The increase was primarily driven by volume growth and productivity actions</w:t>
      </w:r>
      <w:r>
        <w:rPr>
          <w:rFonts w:ascii="Times New Roman;serif" w:hAnsi="Times New Roman;serif"/>
          <w:b w:val="false"/>
          <w:color w:val="000000"/>
          <w:sz w:val="20"/>
          <w:shd w:fill="FFFFFF" w:val="clear"/>
        </w:rPr>
        <w:t>. Segment earnings margin remained flat at 21.9% compared to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16.3% as compared to the prior year comparable quarter. The bookings increase was primarily driven by demand in clean energy components and above and below-ground retail fueling. Segment book-to-bill was 0.98.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Clean Energy &amp; Fueling segment revenue increased $177.2 million, or 11.2%, as compared to the nine months ended September 30, 2025, attributable to organic revenue growth of 10.6%, and a favorable foreign currency translation impact of 0.6%. Organic revenue growth was driven by pricing actions and strong demand in our above and below-ground retail fueling and clean energy components businesses. Customer pricing favorably impacted revenue by 2.9% in the current period and by 1.8% in the prior year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Clean Energy &amp; Fueling segment earnings increased $48.4 million or 15.5%, for the nine months ended September 30, 2026. The increase was primarily driven by volume growth and productivity actions</w:t>
      </w:r>
      <w:r>
        <w:rPr>
          <w:rFonts w:ascii="Times New Roman;serif" w:hAnsi="Times New Roman;serif"/>
          <w:b w:val="false"/>
          <w:color w:val="000000"/>
          <w:sz w:val="20"/>
          <w:shd w:fill="FFFFFF" w:val="clear"/>
        </w:rPr>
        <w:t xml:space="preserve">. Segment earnings margin increased to 20.5% from 19.8% in the prior year comparable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Imaging &amp; Identification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4"/>
        <w:gridCol w:w="472"/>
        <w:gridCol w:w="474"/>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826"/>
        <w:gridCol w:w="109"/>
        <w:gridCol w:w="109"/>
        <w:gridCol w:w="109"/>
        <w:gridCol w:w="109"/>
        <w:gridCol w:w="211"/>
        <w:gridCol w:w="826"/>
        <w:gridCol w:w="109"/>
        <w:gridCol w:w="109"/>
        <w:gridCol w:w="109"/>
        <w:gridCol w:w="109"/>
        <w:gridCol w:w="211"/>
        <w:gridCol w:w="211"/>
        <w:gridCol w:w="615"/>
      </w:tblGrid>
      <w:tr>
        <w:trPr/>
        <w:tc>
          <w:tcPr>
            <w:tcW w:w="6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Third Quarter 2026 Compared to the Third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revenue for the third quarter of 2026 increased $5.6 million, or 1.9%, as compared to the third quarter of 2025, driven by organic revenue growth of 2.2%, offset by an unfavorable impact from foreign currency translation of 0.3%. Customer pricing favorably impacted revenue by 0.3% in the third quarter of 2026 and by 3.6%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robust demand in serialization software and solid growth in core marking and coding equipment and consumables. We expect constructive demand trends to continue in the final quarter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earnings increased $13.4 million, or 16.4%, over the prior year comparable quarter. The increase was primarily driven by volume leverage from revenue growth in serialization software and marking &amp; coding, productivity initiatives, and benefits from restructuring actions. Segment earnings margin increased to 31.2% from 27.3%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0.2% as compared to the prior year comparable quarter. The bookings increase was primarily driven by order strength in our core marking and coding business. Segment book-to-bill was 0.96.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revenue increased $24.0 million, or 2.8%, as compared to the nine months ended September 30, 2025, attributable to a favorable impact from foreign currency translation of 2.1% and an organic revenue growth of 0.7%. The organic revenue growth was primarily driven by customer pricing, which favorably impacted revenue by 0.7% in the current period and by 3.3% in the prior year comparable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Imaging &amp; Identification segment earnings increased $21.3 million, or 9.0%, for the nine months ended September 30, 2026 over the prior year comparable period. The increase was primarily driven by volume leverage, productivity and cost management actions, and favorable mix. Segment earnings margin increased to 28.8% from 27.1% in the prior year comparable period.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Pumps &amp; Process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Pumps &amp; Process Solutions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5"/>
        <w:gridCol w:w="337"/>
        <w:gridCol w:w="339"/>
        <w:gridCol w:w="109"/>
        <w:gridCol w:w="109"/>
        <w:gridCol w:w="109"/>
        <w:gridCol w:w="211"/>
        <w:gridCol w:w="826"/>
        <w:gridCol w:w="109"/>
        <w:gridCol w:w="109"/>
        <w:gridCol w:w="109"/>
        <w:gridCol w:w="109"/>
        <w:gridCol w:w="211"/>
        <w:gridCol w:w="826"/>
        <w:gridCol w:w="109"/>
        <w:gridCol w:w="109"/>
        <w:gridCol w:w="109"/>
        <w:gridCol w:w="109"/>
        <w:gridCol w:w="220"/>
        <w:gridCol w:w="220"/>
        <w:gridCol w:w="551"/>
        <w:gridCol w:w="109"/>
        <w:gridCol w:w="109"/>
        <w:gridCol w:w="109"/>
        <w:gridCol w:w="211"/>
        <w:gridCol w:w="976"/>
        <w:gridCol w:w="109"/>
        <w:gridCol w:w="109"/>
        <w:gridCol w:w="109"/>
        <w:gridCol w:w="109"/>
        <w:gridCol w:w="211"/>
        <w:gridCol w:w="976"/>
        <w:gridCol w:w="109"/>
        <w:gridCol w:w="109"/>
        <w:gridCol w:w="109"/>
        <w:gridCol w:w="109"/>
        <w:gridCol w:w="255"/>
        <w:gridCol w:w="256"/>
        <w:gridCol w:w="616"/>
      </w:tblGrid>
      <w:tr>
        <w:trPr/>
        <w:tc>
          <w:tcPr>
            <w:tcW w:w="5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Third Quarter 2026 Compared to the Third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revenue for the third quarter of 2026 increased $17.6 million, or 3.2%, as compared to the third quarter of 2025, driven by acquisition-related growth of 1.7%, organic revenue growth of 1.2%, and a favorable impact from foreign currency translation of 0.3%. Acquisition-related growth was driven by the acquisition of Cloeren in the third quarter of 2026. Customer pricing favorably impacted revenue by 1.2% in the third quarter of 2026 and by 2.2%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organic revenue growth was primarily driven by robust demand for products used in electrification and power generation infrastructure, single-use biopharma components, and industrial pumps, partially offset by declines in our polymer processing solutions business as customers continue to focus on optimizing the significant capacity investments made over the last several years. We expect the organic growth to trend positively in the final quarter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earnings increased $9.3 million, or 5.5%, over the prior year comparable quarter. The increase was driven by favorable mix, and productivity actions. Segment earnings margin increased to 31.3% from 30.6% in the prior year comparable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bookings increased 9.0% as compared to the prior year comparable quarter. The bookings increase was primarily driven by positive demand trends in industrial pumps and precision components. Segment book-to-bill was 0.98.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revenue increased $94.0 million, or 6.0%, as compared to the nine months ended September 30, 2025, attributable to acquisition-related growth of 4.4% for the acquisitions of Sikora AG and ipp Pump Products GmbH in the second quarter of 2025 and Cloeren in the third quarter of 2026, a favorable impact from foreign currency translation of 1.3%, and an organic revenue growth of 0.3%. The organic revenue growth was primarily driven by robust demand for products used in electrification and power generation infrastructure, single-use biopharma components, and industrial pumps, partially offset by declines in our polymer processing solutions business. Customer pricing favorably impacted revenue by 1.4% in the current period and by 1.7% in the prior year comparable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Pumps &amp; Process Solutions segment earnings increased $46.9 million, or 9.8%, for the nine months ended September 30, 2026 over the prior year comparable period. The increase was driven by favorable price versus cost dynamics, productivity initiatives, and restructuring benefits, partially offset by lower volumes in our polymer processing solutions business. Segment earnings margin increased to 31.7% from 30.6% from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Climate &amp; Sustainability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Climate &amp; Sustainability Technologies segment is a provider of innovative and energy-efficient equipment, components, solutions, services and parts for the commercial refrigeration, heating and cooling and beverage can-making equipment end-markets.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7"/>
        <w:gridCol w:w="311"/>
        <w:gridCol w:w="312"/>
        <w:gridCol w:w="109"/>
        <w:gridCol w:w="109"/>
        <w:gridCol w:w="109"/>
        <w:gridCol w:w="211"/>
        <w:gridCol w:w="826"/>
        <w:gridCol w:w="109"/>
        <w:gridCol w:w="109"/>
        <w:gridCol w:w="109"/>
        <w:gridCol w:w="109"/>
        <w:gridCol w:w="211"/>
        <w:gridCol w:w="826"/>
        <w:gridCol w:w="109"/>
        <w:gridCol w:w="109"/>
        <w:gridCol w:w="109"/>
        <w:gridCol w:w="109"/>
        <w:gridCol w:w="255"/>
        <w:gridCol w:w="256"/>
        <w:gridCol w:w="551"/>
        <w:gridCol w:w="109"/>
        <w:gridCol w:w="109"/>
        <w:gridCol w:w="109"/>
        <w:gridCol w:w="211"/>
        <w:gridCol w:w="976"/>
        <w:gridCol w:w="109"/>
        <w:gridCol w:w="109"/>
        <w:gridCol w:w="109"/>
        <w:gridCol w:w="109"/>
        <w:gridCol w:w="211"/>
        <w:gridCol w:w="976"/>
        <w:gridCol w:w="109"/>
        <w:gridCol w:w="109"/>
        <w:gridCol w:w="109"/>
        <w:gridCol w:w="109"/>
        <w:gridCol w:w="255"/>
        <w:gridCol w:w="256"/>
        <w:gridCol w:w="616"/>
      </w:tblGrid>
      <w:tr>
        <w:trPr/>
        <w:tc>
          <w:tcPr>
            <w:tcW w:w="5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earnings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Third Quarter 2026 Compared to the Third Quarter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Climate &amp; Sustainability Technologies revenue increased $72.9 million, or 17.9%, as compared to the third quarter of 2025, driven by organic revenue growth of 17.9% and negligible impact from foreign currency translation. Customer pricing favorably impacted revenue by 3.0% in the third quarter of 2026 and by 0.5% in the prior year comparable quarter.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organic revenue growth was primarily driven by continued strong demand in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refrigerant systems and growth in refrigerated door case volumes, as well as accelerating demand for heat exchangers used in data center cooling and other applications. We expect organic growth trends to remain strong in the final quarter of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Climate &amp; Sustainability Technologies segment earnings increased $4.6 million, or 6.0%, over the prior year comparable quarter. The increase in segment earnings was primarily driven by higher customer volumes, partially offset by costs relating to the timing of footprint consolidation projects and production ramp costs in retail refrigeration. Segment earnings margin decreased to 16.7% from 18.6% in the prior year comparable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Bookings in the third quarter of 2026 increased 43.1% from the prior year comparable quarter. The bookings increase was primarily driven by demand strength in retail refrigeration and heat exchangers, including longer lead-time orders. Segment book-to-bill was 1.23.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Climate &amp; Sustainability Technologies segment revenue increased $175.0 million, or 14.9%, compared to the nine months ended September 30, 2025, reflecting organic revenue growth of 13.7%, and a favorable foreign currency translation impact of 1.2%. The organic revenue growth for the nine months ended September 30, 2026 was driven by favorable demand trends in retail refrigeration and heat exchanger applications. Customer pricing favorably impacted revenue by 2.6% in the current period and by 0.3% in the prior year comparable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Climate &amp; Sustainability Technologies segment earnings increased $15.0 million, or 7.3%, for the nine months ended September 30, 2026, as compared to the prior year comparable period. The earnings increase was primarily driven by the favorable impact from higher volumes, partially offset by costs relating to the timing of footprint consolidation projects and production ramp costs in retail refrigeration. Segment earnings margin decreased to 16.4% from 17.5% in the prior year comparable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Reconciliation of Segment Earnings to Earnings from Continuing Operations</w:t>
      </w:r>
    </w:p>
    <w:tbl>
      <w:tblPr>
        <w:tblW w:w="10083" w:type="dxa"/>
        <w:jc w:val="left"/>
        <w:tblInd w:w="0" w:type="dxa"/>
        <w:tblLayout w:type="fixed"/>
        <w:tblCellMar>
          <w:top w:w="28" w:type="dxa"/>
          <w:left w:w="28" w:type="dxa"/>
          <w:bottom w:w="28" w:type="dxa"/>
          <w:right w:w="28" w:type="dxa"/>
        </w:tblCellMar>
      </w:tblPr>
      <w:tblGrid>
        <w:gridCol w:w="1303"/>
        <w:gridCol w:w="1147"/>
        <w:gridCol w:w="1149"/>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from Continuing Operations: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Segment earnings: </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Energy &amp; Fueling</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w:t>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543,098 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1,524,068 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1,388,199 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accounting expenses </w:t>
            </w:r>
            <w:r>
              <w:rPr>
                <w:rFonts w:ascii="Times New Roman;serif" w:hAnsi="Times New Roman;serif"/>
                <w:b w:val="false"/>
                <w:color w:val="000000"/>
                <w:sz w:val="13"/>
              </w:rPr>
              <w:t>(1)</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other costs </w:t>
            </w:r>
            <w:r>
              <w:rPr>
                <w:rFonts w:ascii="Times New Roman;serif" w:hAnsi="Times New Roman;serif"/>
                <w:b w:val="false"/>
                <w:color w:val="000000"/>
                <w:sz w:val="13"/>
              </w:rPr>
              <w:t>(2)</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dispositions </w:t>
            </w:r>
            <w:r>
              <w:rPr>
                <w:rFonts w:ascii="Times New Roman;serif" w:hAnsi="Times New Roman;serif"/>
                <w:b w:val="false"/>
                <w:color w:val="000000"/>
                <w:sz w:val="13"/>
              </w:rPr>
              <w:t>(3)</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expense / other </w:t>
            </w:r>
            <w:r>
              <w:rPr>
                <w:rFonts w:ascii="Times New Roman;serif" w:hAnsi="Times New Roman;serif"/>
                <w:b w:val="false"/>
                <w:color w:val="000000"/>
                <w:sz w:val="13"/>
              </w:rPr>
              <w:t>(4)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420,686 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1,107,286 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1,033,721 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336,820 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888,114 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822,663 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Purchase accounting expenses are primarily comprised of amortization of acquired intangible assets.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Restructuring and other costs relate to actions taken for headcount reductions, facility consolidations and site closures, product line exits, and other asset charges.</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Gain on dispositions, including post-closing adjustments. </w:t>
      </w:r>
    </w:p>
    <w:p>
      <w:pPr>
        <w:pStyle w:val="TextBody"/>
        <w:bidi w:val="0"/>
        <w:spacing w:lineRule="auto" w:line="288" w:before="0" w:after="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Restructuring and Other Costs (Benefits)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Restructuring and other costs are not presented in our segment earnings because these costs are excluded from the segment operating performance measure reviewed by management. During the three and nine months ended September 30, 2026, we incurred restructuring charges of $19.4 million and $66.6 million</w:t>
      </w:r>
      <w:r>
        <w:rPr>
          <w:color w:val="000000"/>
        </w:rPr>
        <w:t xml:space="preserve"> </w:t>
      </w:r>
      <w:r>
        <w:rPr>
          <w:rFonts w:ascii="Times New Roman;serif" w:hAnsi="Times New Roman;serif"/>
          <w:b w:val="false"/>
          <w:color w:val="000000"/>
          <w:sz w:val="20"/>
        </w:rPr>
        <w:t>and other costs, net of $2.4 million and $16.6 million, respectively. Restructuring charges for the three and nine months ended September 30, 2026 were primarily related to headcount reductions and exit costs in the Pumps &amp; Process Solutions, Climate &amp; Sustainability Technologies, Clean Energy &amp; Fueling, and Engineered Products segments. These restructuring programs were initiated in 2025 and 2026 and the Company will continue to make proactive adjustments to its cost structure to align with current demand trends. Other costs, net for the nine months ended September 30, 2026</w:t>
      </w:r>
      <w:r>
        <w:rPr>
          <w:color w:val="000000"/>
        </w:rPr>
        <w:t xml:space="preserve"> </w:t>
      </w:r>
      <w:r>
        <w:rPr>
          <w:rFonts w:ascii="Times New Roman;serif" w:hAnsi="Times New Roman;serif"/>
          <w:b w:val="false"/>
          <w:color w:val="000000"/>
          <w:sz w:val="20"/>
        </w:rPr>
        <w:t>of $16.6 million are primarily due to a footprint reduction in our Climate &amp; Sustainability Technologies segment. These restructuring and other charges were recorded in cost of goods and services and selling, general and administrative expenses in the condensed consolidated statements of earnings. Additional programs beyond the scope of the announced programs may be implemented during 2026 with related restructuring and other cost charges.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the following restructuring and other costs for the three and nine months ended September 30, 2026:</w:t>
      </w:r>
    </w:p>
    <w:tbl>
      <w:tblPr>
        <w:tblW w:w="1036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8"/>
        <w:gridCol w:w="562"/>
        <w:gridCol w:w="111"/>
        <w:gridCol w:w="109"/>
        <w:gridCol w:w="109"/>
        <w:gridCol w:w="109"/>
        <w:gridCol w:w="360"/>
        <w:gridCol w:w="774"/>
        <w:gridCol w:w="202"/>
        <w:gridCol w:w="109"/>
        <w:gridCol w:w="109"/>
        <w:gridCol w:w="109"/>
        <w:gridCol w:w="198"/>
        <w:gridCol w:w="562"/>
        <w:gridCol w:w="111"/>
        <w:gridCol w:w="109"/>
        <w:gridCol w:w="109"/>
        <w:gridCol w:w="109"/>
        <w:gridCol w:w="310"/>
        <w:gridCol w:w="882"/>
        <w:gridCol w:w="174"/>
        <w:gridCol w:w="109"/>
        <w:gridCol w:w="109"/>
        <w:gridCol w:w="109"/>
        <w:gridCol w:w="243"/>
        <w:gridCol w:w="522"/>
        <w:gridCol w:w="136"/>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2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6"/>
        <w:gridCol w:w="646"/>
        <w:gridCol w:w="109"/>
        <w:gridCol w:w="109"/>
        <w:gridCol w:w="109"/>
        <w:gridCol w:w="109"/>
        <w:gridCol w:w="304"/>
        <w:gridCol w:w="862"/>
        <w:gridCol w:w="170"/>
        <w:gridCol w:w="109"/>
        <w:gridCol w:w="109"/>
        <w:gridCol w:w="109"/>
        <w:gridCol w:w="196"/>
        <w:gridCol w:w="646"/>
        <w:gridCol w:w="109"/>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28,254 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Restructuring and other costs for the three and nine months ended September 30, 2025 include restructuring charges of $10.6 million and $32.4 million</w:t>
      </w:r>
      <w:r>
        <w:rPr>
          <w:color w:val="000000"/>
        </w:rPr>
        <w:t xml:space="preserve"> </w:t>
      </w:r>
      <w:r>
        <w:rPr>
          <w:rFonts w:ascii="Times New Roman;serif" w:hAnsi="Times New Roman;serif"/>
          <w:b w:val="false"/>
          <w:color w:val="000000"/>
          <w:sz w:val="20"/>
        </w:rPr>
        <w:t xml:space="preserve">and other costs, net of $5.3 million and $16.1 million. Restructuring charges for the three and nine months ended September 30, 2025 were primarily related to exit costs and headcount reductions in the Climate &amp; Sustainability Technologies, Clean Energy &amp; Fueling, and Pumps &amp; Process Solutions segments. These restructuring programs were initiated in 2024 and 2025 and were undertaken in light of current market conditions. Other costs, net of $5.3 million for the three months ended September 30, 2025 include $1.8 million in costs associated with a footprint reduction in our Climate &amp; Sustainability Technologies segment. Other costs, net of $16.1 million for the nine months ended September 30, 2025 includes $4.0 million in costs associated with a product line exit and $3.3 million in costs associated with a footprint reduction, both in our Climate &amp; Sustainability Technologies segment. These restructuring and other charges were recorded in cost of goods and services and selling, general and administrative expenses in the condensed consolidated statement of earnings.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recorded the following restructuring and other costs for the three and nine months</w:t>
      </w:r>
      <w:r>
        <w:rPr>
          <w:color w:val="000000"/>
          <w:shd w:fill="FFFFFF" w:val="clear"/>
        </w:rPr>
        <w:t xml:space="preserve"> </w:t>
      </w:r>
      <w:r>
        <w:rPr>
          <w:rFonts w:ascii="Times New Roman;serif" w:hAnsi="Times New Roman;serif"/>
          <w:b w:val="false"/>
          <w:color w:val="000000"/>
          <w:sz w:val="20"/>
          <w:shd w:fill="FFFFFF" w:val="clear"/>
        </w:rPr>
        <w:t>ended September 30, 2025</w:t>
      </w:r>
      <w:r>
        <w:rPr>
          <w:rFonts w:ascii="Times New Roman;serif" w:hAnsi="Times New Roman;serif"/>
          <w:b w:val="false"/>
          <w:color w:val="000000"/>
          <w:sz w:val="20"/>
        </w:rPr>
        <w:t>:</w:t>
      </w:r>
    </w:p>
    <w:tbl>
      <w:tblPr>
        <w:tblW w:w="1036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8"/>
        <w:gridCol w:w="562"/>
        <w:gridCol w:w="111"/>
        <w:gridCol w:w="109"/>
        <w:gridCol w:w="109"/>
        <w:gridCol w:w="109"/>
        <w:gridCol w:w="360"/>
        <w:gridCol w:w="774"/>
        <w:gridCol w:w="202"/>
        <w:gridCol w:w="109"/>
        <w:gridCol w:w="109"/>
        <w:gridCol w:w="109"/>
        <w:gridCol w:w="198"/>
        <w:gridCol w:w="562"/>
        <w:gridCol w:w="111"/>
        <w:gridCol w:w="109"/>
        <w:gridCol w:w="109"/>
        <w:gridCol w:w="109"/>
        <w:gridCol w:w="310"/>
        <w:gridCol w:w="882"/>
        <w:gridCol w:w="174"/>
        <w:gridCol w:w="109"/>
        <w:gridCol w:w="109"/>
        <w:gridCol w:w="109"/>
        <w:gridCol w:w="243"/>
        <w:gridCol w:w="522"/>
        <w:gridCol w:w="136"/>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costs (benefits),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360" w:type="dxa"/>
        <w:jc w:val="left"/>
        <w:tblInd w:w="0" w:type="dxa"/>
        <w:tblLayout w:type="fixed"/>
        <w:tblCellMar>
          <w:top w:w="28" w:type="dxa"/>
          <w:left w:w="28" w:type="dxa"/>
          <w:bottom w:w="28" w:type="dxa"/>
          <w:right w:w="28" w:type="dxa"/>
        </w:tblCellMar>
      </w:tblPr>
      <w:tblGrid>
        <w:gridCol w:w="418"/>
        <w:gridCol w:w="367"/>
        <w:gridCol w:w="296"/>
        <w:gridCol w:w="222"/>
        <w:gridCol w:w="630"/>
        <w:gridCol w:w="124"/>
        <w:gridCol w:w="109"/>
        <w:gridCol w:w="109"/>
        <w:gridCol w:w="109"/>
        <w:gridCol w:w="198"/>
        <w:gridCol w:w="562"/>
        <w:gridCol w:w="111"/>
        <w:gridCol w:w="109"/>
        <w:gridCol w:w="109"/>
        <w:gridCol w:w="109"/>
        <w:gridCol w:w="304"/>
        <w:gridCol w:w="862"/>
        <w:gridCol w:w="170"/>
        <w:gridCol w:w="109"/>
        <w:gridCol w:w="109"/>
        <w:gridCol w:w="109"/>
        <w:gridCol w:w="198"/>
        <w:gridCol w:w="562"/>
        <w:gridCol w:w="111"/>
        <w:gridCol w:w="109"/>
        <w:gridCol w:w="109"/>
        <w:gridCol w:w="109"/>
        <w:gridCol w:w="281"/>
        <w:gridCol w:w="927"/>
        <w:gridCol w:w="158"/>
        <w:gridCol w:w="109"/>
        <w:gridCol w:w="109"/>
        <w:gridCol w:w="109"/>
        <w:gridCol w:w="205"/>
        <w:gridCol w:w="581"/>
        <w:gridCol w:w="115"/>
        <w:gridCol w:w="109"/>
        <w:gridCol w:w="109"/>
        <w:gridCol w:w="109"/>
        <w:gridCol w:w="196"/>
        <w:gridCol w:w="64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Engineered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&amp; Fueling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Imaging &amp; Identification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Pumps &amp; Process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Climate &amp; Sustainability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costs (benefits),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and other costs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 Accounting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tbl>
      <w:tblPr>
        <w:tblW w:w="9787" w:type="dxa"/>
        <w:jc w:val="left"/>
        <w:tblInd w:w="0" w:type="dxa"/>
        <w:tblLayout w:type="fixed"/>
        <w:tblCellMar>
          <w:top w:w="28" w:type="dxa"/>
          <w:left w:w="28" w:type="dxa"/>
          <w:bottom w:w="28" w:type="dxa"/>
          <w:right w:w="28" w:type="dxa"/>
        </w:tblCellMar>
      </w:tblPr>
      <w:tblGrid>
        <w:gridCol w:w="1194"/>
        <w:gridCol w:w="1051"/>
        <w:gridCol w:w="1054"/>
        <w:gridCol w:w="273"/>
        <w:gridCol w:w="934"/>
        <w:gridCol w:w="141"/>
        <w:gridCol w:w="141"/>
        <w:gridCol w:w="141"/>
        <w:gridCol w:w="141"/>
        <w:gridCol w:w="273"/>
        <w:gridCol w:w="934"/>
        <w:gridCol w:w="141"/>
        <w:gridCol w:w="109"/>
        <w:gridCol w:w="109"/>
        <w:gridCol w:w="109"/>
        <w:gridCol w:w="241"/>
        <w:gridCol w:w="944"/>
        <w:gridCol w:w="124"/>
        <w:gridCol w:w="124"/>
        <w:gridCol w:w="124"/>
        <w:gridCol w:w="124"/>
        <w:gridCol w:w="241"/>
        <w:gridCol w:w="944"/>
        <w:gridCol w:w="17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Accounting Expenses</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Products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Clean Energy &amp; Fueling </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Imaging &amp; Identification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Pumps &amp; Process Solutions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Climate &amp; Sustainability Technologies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45,850 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159,608 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6488" w:type="dxa"/>
            <w:gridSpan w:val="21"/>
            <w:tcBorders/>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6488"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upcoming debt maturities and for reinvestment in existing businesses and strategic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derived from our condensed consolidated statements of cash flows:</w:t>
      </w:r>
    </w:p>
    <w:tbl>
      <w:tblPr>
        <w:tblW w:w="6791" w:type="dxa"/>
        <w:jc w:val="left"/>
        <w:tblInd w:w="0" w:type="dxa"/>
        <w:tblLayout w:type="fixed"/>
        <w:tblCellMar>
          <w:top w:w="28" w:type="dxa"/>
          <w:left w:w="28" w:type="dxa"/>
          <w:bottom w:w="28" w:type="dxa"/>
          <w:right w:w="28" w:type="dxa"/>
        </w:tblCellMar>
      </w:tblPr>
      <w:tblGrid>
        <w:gridCol w:w="1358"/>
        <w:gridCol w:w="1192"/>
        <w:gridCol w:w="1199"/>
        <w:gridCol w:w="241"/>
        <w:gridCol w:w="944"/>
        <w:gridCol w:w="124"/>
        <w:gridCol w:w="124"/>
        <w:gridCol w:w="124"/>
        <w:gridCol w:w="124"/>
        <w:gridCol w:w="241"/>
        <w:gridCol w:w="944"/>
        <w:gridCol w:w="176"/>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Flows from Operations </w:t>
            </w:r>
            <w:r>
              <w:rPr>
                <w:rFonts w:ascii="Times New Roman;serif" w:hAnsi="Times New Roman;serif"/>
                <w:b w:val="false"/>
                <w:i/>
                <w:color w:val="000000"/>
                <w:sz w:val="20"/>
              </w:rPr>
              <w:t>(in thousands)</w:t>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w:t>
            </w:r>
          </w:p>
        </w:tc>
        <w:tc>
          <w:tcPr>
            <w:tcW w:w="1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(641,362)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from operating activities for the nine months ended September 30, 2026 increased by $71.9 million compared to September 30, 2025, primarily driven by higher operating earnings during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Working Capital: </w:t>
      </w:r>
      <w:r>
        <w:rPr>
          <w:rFonts w:ascii="Times New Roman;serif" w:hAnsi="Times New Roman;serif"/>
          <w:b w:val="false"/>
          <w:color w:val="000000"/>
          <w:sz w:val="20"/>
        </w:rPr>
        <w:t xml:space="preserve">We believe adjusted working capital (a non-GAAP measure calculated as receivables, plus inventory, less accounts payable) provides a meaningful measure of liquidity by showing changes caused by operational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adjusted working capital:</w:t>
      </w:r>
    </w:p>
    <w:p>
      <w:pPr>
        <w:pStyle w:val="TextBody"/>
        <w:bidi w:val="0"/>
        <w:spacing w:before="0" w:after="0"/>
        <w:jc w:val="both"/>
        <w:rPr/>
      </w:pPr>
      <w:r>
        <w:rPr/>
      </w:r>
    </w:p>
    <w:tbl>
      <w:tblPr>
        <w:tblW w:w="7747" w:type="dxa"/>
        <w:jc w:val="left"/>
        <w:tblInd w:w="0" w:type="dxa"/>
        <w:tblLayout w:type="fixed"/>
        <w:tblCellMar>
          <w:top w:w="28" w:type="dxa"/>
          <w:left w:w="28" w:type="dxa"/>
          <w:bottom w:w="28" w:type="dxa"/>
          <w:right w:w="28" w:type="dxa"/>
        </w:tblCellMar>
      </w:tblPr>
      <w:tblGrid>
        <w:gridCol w:w="1287"/>
        <w:gridCol w:w="1132"/>
        <w:gridCol w:w="1135"/>
        <w:gridCol w:w="109"/>
        <w:gridCol w:w="288"/>
        <w:gridCol w:w="1333"/>
        <w:gridCol w:w="148"/>
        <w:gridCol w:w="109"/>
        <w:gridCol w:w="109"/>
        <w:gridCol w:w="109"/>
        <w:gridCol w:w="281"/>
        <w:gridCol w:w="1299"/>
        <w:gridCol w:w="145"/>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Working Capital </w:t>
            </w: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1,571,743 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1,371,352 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2,097,449 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1,768,458 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working capital has increased by $329.0 million, or 18.6%, for the nine months ended September 30, 2026, driven by an increase of $200.4 million in net receivables and an increase of $196.3 million in net inventory, partially offset by an increase in accounts payable of $67.7 million. These amounts include the effects of acquisitions and foreign currency translation. Accounts receivable increased compared to the prior year as a result of higher revenue generation during the period. Inventories increased to support higher volume deliveries expected over the next several quarters, as supported by the order book. These factors also led to an increase in accounts payable.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from investing activities is primarily derived from cash outflows for capital expenditures and acquisitions. The majority of the activity in investing activities was comprised of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Acquisitions:</w:t>
      </w:r>
      <w:r>
        <w:rPr>
          <w:color w:val="000000"/>
        </w:rPr>
        <w:t xml:space="preserve"> </w:t>
      </w:r>
      <w:r>
        <w:rPr>
          <w:rFonts w:ascii="Times New Roman;serif" w:hAnsi="Times New Roman;serif"/>
          <w:b w:val="false"/>
          <w:color w:val="000000"/>
          <w:sz w:val="20"/>
        </w:rPr>
        <w:t xml:space="preserve">During the nine months ended September 30, 2026, we deployed approximately $42.8 million, net to acquire two businesses within the Pumps &amp; Process Solutions segment and one business within the Engineered Products segment. In comparison, during the nine months ended September 30, 2025, we deployed approximately $663.2 million, net to acquire three businesses within the Pumps &amp; Process Solutions segment and one business within the Clean Energy &amp; Fueling segment. See Note 3 — Acquisitions in the condensed consolidated financial statements in Item 1 of this Form 10-Q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Capital spending:</w:t>
      </w:r>
      <w:r>
        <w:rPr>
          <w:color w:val="000000"/>
        </w:rPr>
        <w:t xml:space="preserve"> </w:t>
      </w:r>
      <w:r>
        <w:rPr>
          <w:rFonts w:ascii="Times New Roman;serif" w:hAnsi="Times New Roman;serif"/>
          <w:b w:val="false"/>
          <w:color w:val="000000"/>
          <w:sz w:val="20"/>
        </w:rPr>
        <w:t>Capital expenditures decreased $0.3 million during the nine months ended September 30, 2026, compared to the nine months ended September 30, 2025, in line with our planned capital expenditures for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capital expenditures and any additional acquisitions we make through the remainder of 2026 will be funded from available cash and internally generated funds and, if necessary, through the issuance of commercial paper, or by accessing the public debt or equity markets. We estimate capital expenditures in 2026 to range from $200.0 million to $220.0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 from financing activities generally relates to the use of cash for payment of dividends, purchases of our common stock, and cash payments related to the settlement of tax obligations for exercises of share-based awards. The majority of financing activity was attributed to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Repurchase of common stock: </w:t>
      </w:r>
      <w:r>
        <w:rPr>
          <w:rFonts w:ascii="Times New Roman;serif" w:hAnsi="Times New Roman;serif"/>
          <w:b w:val="false"/>
          <w:color w:val="000000"/>
          <w:sz w:val="20"/>
        </w:rPr>
        <w:t>During the nine months ended September 30, 2026, the Company repurchased a total of 1,934,185 shares for $385.5 million. During the nine months ended September 30, 2025, the Company repurchased a total of 200,000 shares for $40.7 million. See Note 17 — Stockholders' Equity in the condensed consolidated financial statements in Item 1 of this Form 10-Q for further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Dividend payments: </w:t>
      </w:r>
      <w:r>
        <w:rPr>
          <w:rFonts w:ascii="Times New Roman;serif" w:hAnsi="Times New Roman;serif"/>
          <w:b w:val="false"/>
          <w:color w:val="000000"/>
          <w:sz w:val="20"/>
        </w:rPr>
        <w:t>Total dividend payments to common shareholders were $210.8 million during the nine months ended September 30, 2026, as compared to $213.2 million during the same period in 2025. Our dividends paid per common share increased 1.0% to $1.565 during the nine months ended September 30, 2026 compared to $1.55 during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our free cash flow to cash flow provided by operating activities:</w:t>
      </w:r>
    </w:p>
    <w:tbl>
      <w:tblPr>
        <w:tblW w:w="10205" w:type="dxa"/>
        <w:jc w:val="left"/>
        <w:tblInd w:w="0" w:type="dxa"/>
        <w:tblLayout w:type="fixed"/>
        <w:tblCellMar>
          <w:top w:w="28" w:type="dxa"/>
          <w:left w:w="28" w:type="dxa"/>
          <w:bottom w:w="28" w:type="dxa"/>
          <w:right w:w="28" w:type="dxa"/>
        </w:tblCellMar>
      </w:tblPr>
      <w:tblGrid>
        <w:gridCol w:w="2599"/>
        <w:gridCol w:w="2279"/>
        <w:gridCol w:w="2283"/>
        <w:gridCol w:w="214"/>
        <w:gridCol w:w="841"/>
        <w:gridCol w:w="275"/>
        <w:gridCol w:w="110"/>
        <w:gridCol w:w="110"/>
        <w:gridCol w:w="110"/>
        <w:gridCol w:w="214"/>
        <w:gridCol w:w="841"/>
        <w:gridCol w:w="329"/>
      </w:tblGrid>
      <w:tr>
        <w:trPr/>
        <w:tc>
          <w:tcPr>
            <w:tcW w:w="259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i/>
                <w:color w:val="000000"/>
                <w:sz w:val="20"/>
              </w:rPr>
              <w:t>(dollars in thousands)</w:t>
            </w:r>
          </w:p>
        </w:tc>
        <w:tc>
          <w:tcPr>
            <w:tcW w:w="13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865,931 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794,059 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702,926 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630,785 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as a percentage of revenue</w:t>
            </w:r>
          </w:p>
        </w:tc>
        <w:tc>
          <w:tcPr>
            <w:tcW w:w="10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as a percentage of earnings from continuing operations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as a percentage of revenue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as a percentage of earnings from continuing operations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we generated free cash flow of $702.9 million, representing 10.9% of revenue and 79.1% of earnings from continuing operations. Free cash flow for the nine months ended September 30, 2026 increased $72.1 million, compared to September 30, 2025, primarily driven by higher operating earnings.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use commercial paper borrowings for general corporate purposes, including the funding of acquisitions and the repurchase of our common stock. As of September 30, 2026, we maintained a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five-year unsecured revolving credit facility (the "Credit Agreement") with a syndicate of banks which expires April 2, 2031. </w:t>
      </w:r>
      <w:r>
        <w:rPr>
          <w:rFonts w:ascii="Times New Roman;serif" w:hAnsi="Times New Roman;serif"/>
          <w:b w:val="false"/>
          <w:color w:val="000000"/>
          <w:sz w:val="20"/>
        </w:rPr>
        <w:t>The Credit Agreement is designated as a liquidity back-stop for the Company's commercial paper program and also is available for general corporate purposes.</w:t>
      </w:r>
      <w:r>
        <w:rPr>
          <w:color w:val="000000"/>
          <w:shd w:fill="FFFFFF" w:val="clear"/>
        </w:rPr>
        <w:t xml:space="preserve"> </w:t>
      </w:r>
      <w:r>
        <w:rPr>
          <w:rFonts w:ascii="Times New Roman;serif" w:hAnsi="Times New Roman;serif"/>
          <w:b w:val="false"/>
          <w:color w:val="000000"/>
          <w:sz w:val="20"/>
          <w:shd w:fill="FFFFFF" w:val="clear"/>
        </w:rPr>
        <w:t>There were no outstanding borrowings under the Credit Agreement as of September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At the Company's election, loans under the Credit Agreement will bear interest at a base rate plus an applicable margin. The Credit Agreement requires the Company to pay facility fees and impose various restrictions on the Company such as, among other things, a requirement to maintain an interest coverage ratio of consolidated EBITDA to consolidated net interest expense of not less than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rPr>
        <w:t>to 1</w:t>
      </w:r>
      <w:r>
        <w:rPr>
          <w:rFonts w:ascii="Times New Roman;serif" w:hAnsi="Times New Roman;serif"/>
          <w:b w:val="false"/>
          <w:color w:val="000000"/>
          <w:sz w:val="20"/>
          <w:shd w:fill="FFFFFF" w:val="clear"/>
        </w:rPr>
        <w:t>. The Company was in compliance with all covenants in the Credit Agreement and other long-term debt covenants at September 30, 2026 and had an interest coverage ratio of consolidated EBITDA to consolidated net interest expense of 35.7 to 1. We are not aware of any potential impairment to our liquidity and expect to remain in compliance with all of our debt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2026, our cash and cash equivalents totaled $1.7 billion, of which approximately $550.7 million was held outside the United States. At December 31, 2025, our cash and cash equivalents totaled $1.7 billion, of which approximately $447.8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18, 2026, the Company entered into a definitive agreement to acquire the business of Leistung Engineering Pvt. Ltd. for approximately $40.0 million, subject to satisfaction of customary closing conditions, including receipt of regulatory approvals. See Note 3 — Acquisitions in the condensed consolidated financial statements in Item 1 of this Form 10-Q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9, 2026, the Company entered into a definitive agreement to sell an equity method investment and expects to receive approximately $43.0 million, representing its proportionate share of the preliminary proceeds, subject to satisfaction of customary closing conditions, including receipt of regulatory approvals. See Note 20 — Subsequent Events in the condensed consolidated financial statements in Item 1 of this Form 10-Q 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the net debt to net capitalization calculation (a non-GAAP measure) to evaluate our capital structure and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pStyle w:val="TextBody"/>
        <w:bidi w:val="0"/>
        <w:spacing w:before="0" w:after="0"/>
        <w:jc w:val="both"/>
        <w:rPr/>
      </w:pPr>
      <w:r>
        <w:rPr/>
      </w:r>
    </w:p>
    <w:tbl>
      <w:tblPr>
        <w:tblW w:w="7496" w:type="dxa"/>
        <w:jc w:val="left"/>
        <w:tblInd w:w="0" w:type="dxa"/>
        <w:tblLayout w:type="fixed"/>
        <w:tblCellMar>
          <w:top w:w="28" w:type="dxa"/>
          <w:left w:w="28" w:type="dxa"/>
          <w:bottom w:w="28" w:type="dxa"/>
          <w:right w:w="28" w:type="dxa"/>
        </w:tblCellMar>
      </w:tblPr>
      <w:tblGrid>
        <w:gridCol w:w="1157"/>
        <w:gridCol w:w="1016"/>
        <w:gridCol w:w="1021"/>
        <w:gridCol w:w="109"/>
        <w:gridCol w:w="109"/>
        <w:gridCol w:w="109"/>
        <w:gridCol w:w="256"/>
        <w:gridCol w:w="1185"/>
        <w:gridCol w:w="329"/>
        <w:gridCol w:w="109"/>
        <w:gridCol w:w="109"/>
        <w:gridCol w:w="109"/>
        <w:gridCol w:w="249"/>
        <w:gridCol w:w="1155"/>
        <w:gridCol w:w="320"/>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Debt to Net Capitalization Ratio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683,403 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706,677 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2,581,187 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3,264,590 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3,327,972 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(1,693,175)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(1,676,808)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1,571,415 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1,651,164 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7,636,014 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7,405,206 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9,207,429 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9,056,370 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net debt to net capitalization ratio decreased to 17.1% at September 30, 2026 compared to 18.2% at December 31, 2025. Net debt decreased $79.7 million during the period primarily driven by the decrease in value of the euro-denominated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resulting from foreign currency translation adjustments and an increase in cash and cash equivalents. Stockholders' equity increased for the period primarily driven by current earnings of $884.0 million, partially offset by share repurchases and dividends paid for the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cash flow and access to capital markets are expected to satisfy our various cash flow requirements, including acquisitions, capital expenditures, purchase obligations, debt maturities, and lease obligations. Acquisition spending and/or share repurchases could potentially increase our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existing sources of liquidity are adequate to meet anticipated funding needs at current risk-based interest rates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2025.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2025.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and comparisons to non-GAAP measures can be found above in this 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significant change in our exposure to market risk during the nine months ended September 30, 2026. For a discussion of our exposure to market risk, refer to Item 7A, "Quantitative and Qualitative Disclosures about Market Risk," contained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4</w:t>
      </w:r>
      <w:r>
        <w:rPr>
          <w:rFonts w:ascii="Times New Roman;serif" w:hAnsi="Times New Roman;serif"/>
          <w:b w:val="false"/>
          <w:color w:val="000000"/>
          <w:sz w:val="20"/>
        </w:rPr>
        <w:t xml:space="preserve">. </w:t>
      </w:r>
      <w:r>
        <w:rPr>
          <w:rFonts w:ascii="Times New Roman;serif" w:hAnsi="Times New Roman;serif"/>
          <w:b/>
          <w:color w:val="000000"/>
          <w:sz w:val="20"/>
        </w:rPr>
        <w:t>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w:t>
      </w:r>
      <w:r>
        <w:rPr>
          <w:rFonts w:ascii="Times New Roman;serif" w:hAnsi="Times New Roman;serif"/>
          <w:b w:val="false"/>
          <w:color w:val="000000"/>
          <w:sz w:val="20"/>
          <w:shd w:fill="FFFFFF" w:val="clear"/>
        </w:rPr>
        <w:t>ure controls and procedures were effective as of September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third quarter of 2026, there were no changes in the Company's internal control over financial reporting that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14 — Commitments and Contingent Liabilities in the condensed consolidated financial statements in Item 1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below table presents shares of Dover Stock that we acquired during the quarter</w:t>
      </w:r>
    </w:p>
    <w:tbl>
      <w:tblPr>
        <w:tblW w:w="10205" w:type="dxa"/>
        <w:jc w:val="left"/>
        <w:tblInd w:w="0" w:type="dxa"/>
        <w:tblLayout w:type="fixed"/>
        <w:tblCellMar>
          <w:top w:w="28" w:type="dxa"/>
          <w:left w:w="28" w:type="dxa"/>
          <w:bottom w:w="28" w:type="dxa"/>
          <w:right w:w="28" w:type="dxa"/>
        </w:tblCellMar>
      </w:tblPr>
      <w:tblGrid>
        <w:gridCol w:w="590"/>
        <w:gridCol w:w="306"/>
        <w:gridCol w:w="308"/>
        <w:gridCol w:w="702"/>
        <w:gridCol w:w="434"/>
        <w:gridCol w:w="435"/>
        <w:gridCol w:w="109"/>
        <w:gridCol w:w="109"/>
        <w:gridCol w:w="109"/>
        <w:gridCol w:w="259"/>
        <w:gridCol w:w="887"/>
        <w:gridCol w:w="134"/>
        <w:gridCol w:w="109"/>
        <w:gridCol w:w="109"/>
        <w:gridCol w:w="109"/>
        <w:gridCol w:w="900"/>
        <w:gridCol w:w="666"/>
        <w:gridCol w:w="667"/>
        <w:gridCol w:w="109"/>
        <w:gridCol w:w="109"/>
        <w:gridCol w:w="109"/>
        <w:gridCol w:w="1057"/>
        <w:gridCol w:w="773"/>
        <w:gridCol w:w="1106"/>
      </w:tblGrid>
      <w:tr>
        <w:trPr/>
        <w:tc>
          <w:tcPr>
            <w:tcW w:w="59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Number (or Approximate Dollar Value) of Shares that May Yet Be Purchased under the Plans or Programs </w:t>
            </w:r>
            <w:r>
              <w:rPr>
                <w:rFonts w:ascii="Times New Roman;serif" w:hAnsi="Times New Roman;serif"/>
                <w:b/>
                <w:color w:val="000000"/>
                <w:sz w:val="13"/>
              </w:rPr>
              <w:t>(1)</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to July 31</w:t>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138,478 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138,478 </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14,054,578 </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to August 31</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703,765 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703,765 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13,350,813 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to September 30</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841,942 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841,942 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12,508,871 </w:t>
            </w:r>
          </w:p>
        </w:tc>
        <w:tc>
          <w:tcPr>
            <w:tcW w:w="11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Quarter</w:t>
            </w:r>
          </w:p>
        </w:tc>
        <w:tc>
          <w:tcPr>
            <w:tcW w:w="11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1,684,185 </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1,684,185 </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12,508,871 </w:t>
            </w:r>
          </w:p>
        </w:tc>
        <w:tc>
          <w:tcPr>
            <w:tcW w:w="11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August 2023, the Company's Board of Directors approved a new standing share repurchase authorization whereby the Company may repurchase up to 20 million shares beginning on January 1, 2024 through December 31, 2026. The Company repurchased 1,684,185 shares under the August 2023 authorization during the three months ended September 30, 2026. As of September 30, 2026, the number of shares still available for repurchase under the current share repurchase authorization was 12,508,871.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b. None.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w:t>
      </w:r>
      <w:r>
        <w:rPr>
          <w:color w:val="000000"/>
        </w:rPr>
        <w:t xml:space="preserve"> </w:t>
      </w:r>
      <w:r>
        <w:rPr>
          <w:rFonts w:ascii="Times New Roman;serif" w:hAnsi="Times New Roman;serif"/>
          <w:b w:val="false"/>
          <w:color w:val="000000"/>
          <w:sz w:val="20"/>
        </w:rPr>
        <w:t>During the nine months ended September 30, 2026, no director or Section 16 officer adopted or terminated any Rule 10b5-1 trading arrangements or non-Rule 10b5-1 trading arrangements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6"/>
        <w:gridCol w:w="154"/>
        <w:gridCol w:w="2982"/>
        <w:gridCol w:w="2723"/>
        <w:gridCol w:w="3865"/>
      </w:tblGrid>
      <w:tr>
        <w:trPr/>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93010-qexhibit311.htm">
              <w:r>
                <w:rPr>
                  <w:rStyle w:val="InternetLink"/>
                  <w:rFonts w:ascii="Times New Roman;serif" w:hAnsi="Times New Roman;serif"/>
                  <w:b w:val="false"/>
                  <w:color w:val="0000FF"/>
                  <w:sz w:val="20"/>
                  <w:u w:val="single"/>
                </w:rPr>
                <w:t>Certificate pursuant to Rule 13a-14(a) of the Securities Exchange Act of 1934, as amended, signed and dated by Christopher B. Woenker.</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93010-qexhibit312.htm">
              <w:r>
                <w:rPr>
                  <w:rStyle w:val="InternetLink"/>
                  <w:rFonts w:ascii="Times New Roman;serif" w:hAnsi="Times New Roman;serif"/>
                  <w:b w:val="false"/>
                  <w:color w:val="0000FF"/>
                  <w:sz w:val="20"/>
                  <w:u w:val="single"/>
                </w:rPr>
                <w:t>Certificate pursuant to Rule 13a-14(a) of the Securities Exchange Act of 1934, as amended, signed and dated by Richard J. Tobin.</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093010-qexhibit32.htm">
              <w:r>
                <w:rPr>
                  <w:rStyle w:val="InternetLink"/>
                  <w:rFonts w:ascii="Times New Roman;serif" w:hAnsi="Times New Roman;serif"/>
                  <w:b w:val="false"/>
                  <w:color w:val="0000FF"/>
                  <w:sz w:val="20"/>
                  <w:u w:val="single"/>
                </w:rPr>
                <w:t>Certification pursuant to 18 U.S.C. Section 1350, as adopted pursuant to Section 906 of the Sarbanes-Oxley Act of 2002, signed and dated by Richard J. Tobin and Christopher B. Woenker.</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Dover Corporation’s Quarterly Report on Form 10-Q for the quarter ended September 30, 2026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in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bfee7e2eec0e480ea362604fd1d3cc3e_4">
        <w:r>
          <w:rPr>
            <w:rStyle w:val="InternetLink"/>
            <w:rFonts w:ascii="Times New Roman;serif" w:hAnsi="Times New Roman;serif"/>
            <w:b w:val="false"/>
            <w:color w:val="026DCE"/>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on Form 10-Q to be signed on its behalf by the undersigned thereunto duly authorized.</w:t>
      </w:r>
    </w:p>
    <w:tbl>
      <w:tblPr>
        <w:tblW w:w="6058"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167"/>
        <w:gridCol w:w="1167"/>
        <w:gridCol w:w="16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DOVER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 Woenker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W. Paulson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W. Paulson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Christopher B. Woenker,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Dover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5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166"/>
        <w:gridCol w:w="1166"/>
        <w:gridCol w:w="1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Richard J. Tobin,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Dover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7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939"/>
        <w:gridCol w:w="939"/>
        <w:gridCol w:w="13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Tobin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Respect to the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Period ended September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Dover Corporation</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pStyle w:val="TextBody"/>
        <w:bidi w:val="0"/>
        <w:spacing w:lineRule="auto" w:line="288" w:before="0" w:after="180"/>
        <w:ind w:left="0" w:right="0" w:hanging="360"/>
        <w:jc w:val="both"/>
        <w:rPr/>
      </w:pPr>
      <w:r>
        <w:rPr>
          <w:rFonts w:ascii="Times New Roman;serif" w:hAnsi="Times New Roman;serif"/>
          <w:b w:val="false"/>
          <w:color w:val="000000"/>
          <w:sz w:val="20"/>
        </w:rPr>
        <w:t>1.The Company’s Quarterly Report on Form 10-Q for the period ended September 30, 2026 (the “Form 10-Q</w:t>
      </w:r>
      <w:r>
        <w:rPr>
          <w:color w:val="000000"/>
        </w:rPr>
        <w:t>”</w:t>
      </w:r>
      <w:r>
        <w:rPr>
          <w:rFonts w:ascii="Times New Roman;serif" w:hAnsi="Times New Roman;serif"/>
          <w:b w:val="false"/>
          <w:color w:val="000000"/>
          <w:sz w:val="20"/>
        </w:rPr>
        <w:t>) fully complies with the requirements of Section 13(a) of the Securities Exchange Act of 1934, as amended;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2.Information contained in the Form 10-Q fairly presents, in all material respects, the financial condition and results of operations of the Company.</w:t>
      </w:r>
    </w:p>
    <w:tbl>
      <w:tblPr>
        <w:tblW w:w="6164"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1167"/>
        <w:gridCol w:w="1167"/>
        <w:gridCol w:w="165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Tobin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 Woenker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 Woenker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&amp;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21838</Words>
  <Characters>125954</Characters>
  <CharactersWithSpaces>145575</CharactersWithSpaces>
  <Paragraphs>3776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