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Dover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0000FF"/>
        </w:rPr>
        <w:t>Common Stock, par value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11,927,014.00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83,345.00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13,715,032.00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36,332.00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13,752,477.00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Dover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3005 Highland Parkway Downers Grove IL 60515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270 Park Avenue New York, NY 10017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$1</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13752477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10.2 %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11927014</w:t>
      </w:r>
    </w:p>
    <w:p>
      <w:pPr>
        <w:spacing w:after="0" w:line="287" w:lineRule="exact"/>
        <w:rPr>
          <w:sz w:val="20"/>
          <w:szCs w:val="20"/>
          <w:color w:val="auto"/>
        </w:rPr>
      </w:pPr>
    </w:p>
    <w:p>
      <w:pPr>
        <w:ind w:left="920" w:right="6240" w:firstLine="6"/>
        <w:spacing w:after="0" w:line="486" w:lineRule="auto"/>
        <w:tabs>
          <w:tab w:leader="none" w:pos="123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83345</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13715032</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36332</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1"/>
          <w:szCs w:val="21"/>
          <w:color w:val="auto"/>
        </w:rPr>
        <w:t>J.P. Morgan Trust Company of Delaware; J.P. Morgan Securities LLC; JPMorgan Chase Bank, National Association; JPMorgan Asset Management (UK) Limited; J.P. MORGAN SE; J.P. Morgan (Suisse) SA; JPMorgan Asset Management Holdings Inc.; J.P. Morgan Investment Management Inc.; J.P. Morgan Mansart Management Limited; JPMorgan Asset Management (China) Company Limited; J.P. Morgan Wealth Management Solutions Inc.; 55I,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Notice of dissolution of a group may be furnished as an exhibit stating the date of the dissolution and that all further</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920" w:right="20"/>
        <w:spacing w:after="0" w:line="259" w:lineRule="auto"/>
        <w:rPr>
          <w:sz w:val="20"/>
          <w:szCs w:val="20"/>
          <w:color w:val="auto"/>
        </w:rPr>
      </w:pPr>
      <w:r>
        <w:rPr>
          <w:rFonts w:ascii="Times New Roman" w:cs="Times New Roman" w:eastAsia="Times New Roman" w:hAnsi="Times New Roman"/>
          <w:sz w:val="22"/>
          <w:szCs w:val="22"/>
          <w:color w:val="auto"/>
        </w:rPr>
        <w:t>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Rachel Tsvaygoft</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2026-05-04T07:18:25Z</dcterms:created>
  <dcterms:modified xsi:type="dcterms:W3CDTF">2026-05-04T07:18:25Z</dcterms:modified>
</cp:coreProperties>
</file>