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1757045</wp:posOffset>
            </wp:positionH>
            <wp:positionV relativeFrom="paragraph">
              <wp:posOffset>313690</wp:posOffset>
            </wp:positionV>
            <wp:extent cx="3488690" cy="45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20" w:type="dxa"/>
            <w:vAlign w:val="bottom"/>
          </w:tcPr>
          <w:p>
            <w:pPr>
              <w:jc w:val="center"/>
              <w:ind w:right="22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rPr>
              <w:t>1-4018</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148"/>
        </w:trPr>
        <w:tc>
          <w:tcPr>
            <w:tcW w:w="4020" w:type="dxa"/>
            <w:vAlign w:val="bottom"/>
          </w:tcPr>
          <w:p>
            <w:pPr>
              <w:jc w:val="center"/>
              <w:ind w:right="22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20" w:type="dxa"/>
            <w:vAlign w:val="bottom"/>
          </w:tcPr>
          <w:p>
            <w:pPr>
              <w:jc w:val="center"/>
              <w:ind w:right="22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2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3005 Highland Parkway</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402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Downers Grove, Illinois</w:t>
            </w:r>
          </w:p>
        </w:tc>
        <w:tc>
          <w:tcPr>
            <w:tcW w:w="23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60515</w:t>
            </w:r>
          </w:p>
        </w:tc>
      </w:tr>
      <w:tr>
        <w:trPr>
          <w:trHeight w:val="190"/>
        </w:trPr>
        <w:tc>
          <w:tcPr>
            <w:tcW w:w="4020" w:type="dxa"/>
            <w:vAlign w:val="bottom"/>
          </w:tcPr>
          <w:p>
            <w:pPr>
              <w:jc w:val="center"/>
              <w:ind w:left="1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(630) 541-1540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1"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24" w:hanging="224"/>
        <w:spacing w:after="0"/>
        <w:tabs>
          <w:tab w:leader="none" w:pos="2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224" w:hanging="224"/>
        <w:spacing w:after="0"/>
        <w:tabs>
          <w:tab w:leader="none" w:pos="2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224" w:hanging="224"/>
        <w:spacing w:after="0"/>
        <w:tabs>
          <w:tab w:leader="none" w:pos="2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4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420" w:type="dxa"/>
            <w:vAlign w:val="bottom"/>
            <w:gridSpan w:val="2"/>
            <w:vMerge w:val="continue"/>
          </w:tcPr>
          <w:p>
            <w:pPr>
              <w:spacing w:after="0"/>
              <w:rPr>
                <w:sz w:val="16"/>
                <w:szCs w:val="16"/>
                <w:color w:val="auto"/>
              </w:rPr>
            </w:pP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4280" w:type="dxa"/>
            <w:vAlign w:val="bottom"/>
            <w:tcBorders>
              <w:top w:val="single" w:sz="8" w:color="666666"/>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6"/>
                <w:szCs w:val="16"/>
                <w:color w:val="auto"/>
              </w:rPr>
            </w:pPr>
          </w:p>
        </w:tc>
        <w:tc>
          <w:tcPr>
            <w:tcW w:w="2200" w:type="dxa"/>
            <w:vAlign w:val="bottom"/>
            <w:tcBorders>
              <w:top w:val="single" w:sz="8" w:color="666666"/>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DOV</w:t>
            </w:r>
          </w:p>
        </w:tc>
        <w:tc>
          <w:tcPr>
            <w:tcW w:w="100" w:type="dxa"/>
            <w:vAlign w:val="bottom"/>
          </w:tcPr>
          <w:p>
            <w:pPr>
              <w:spacing w:after="0"/>
              <w:rPr>
                <w:sz w:val="16"/>
                <w:szCs w:val="16"/>
                <w:color w:val="auto"/>
              </w:rPr>
            </w:pPr>
          </w:p>
        </w:tc>
        <w:tc>
          <w:tcPr>
            <w:tcW w:w="4300" w:type="dxa"/>
            <w:vAlign w:val="bottom"/>
            <w:tcBorders>
              <w:top w:val="single" w:sz="8" w:color="666666"/>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4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1.250% Notes due 2026</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DOV 26</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4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0.750% Notes due 2027</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DOV 27</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3.500% Notes due 2033</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DOV 33</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4"/>
          </w:cols>
          <w:pgMar w:left="436" w:top="268"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May 8, 2026, Dover Corporation (the “Company”) held its Annual Meeting of Shareholders (the “Annual Meeting”). At the Annual Meeting, the shareholders:</w:t>
      </w:r>
    </w:p>
    <w:p>
      <w:pPr>
        <w:spacing w:after="0" w:line="27"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nine directors,</w:t>
      </w:r>
    </w:p>
    <w:p>
      <w:pPr>
        <w:spacing w:after="0" w:line="9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PricewaterhouseCoopers LLP as the Company’s independent registered public accounting firm for 2026,</w:t>
      </w:r>
    </w:p>
    <w:p>
      <w:pPr>
        <w:spacing w:after="0" w:line="90"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compensation of the Company’s named executive officers (“NEOs”) as described in the Compensation Discussion and Analysis and the accompanying tables in the proxy statement (“Say-on-Pay”) for the Annual Meeting, and</w:t>
      </w:r>
    </w:p>
    <w:p>
      <w:pPr>
        <w:spacing w:after="0" w:line="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rejected a shareholder proposal requesting an independent board chair.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voting results for each such proposal are reported below.</w:t>
            </w: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8"/>
        </w:trPr>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w:t>
            </w:r>
          </w:p>
        </w:tc>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elect nine directors:</w:t>
            </w: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1"/>
        </w:trPr>
        <w:tc>
          <w:tcPr>
            <w:tcW w:w="7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20" w:type="dxa"/>
            <w:vAlign w:val="bottom"/>
          </w:tcPr>
          <w:p>
            <w:pPr>
              <w:jc w:val="right"/>
              <w:ind w:right="512"/>
              <w:spacing w:after="0"/>
              <w:rPr>
                <w:sz w:val="20"/>
                <w:szCs w:val="20"/>
                <w:color w:val="auto"/>
              </w:rPr>
            </w:pPr>
            <w:r>
              <w:rPr>
                <w:rFonts w:ascii="Times New Roman" w:cs="Times New Roman" w:eastAsia="Times New Roman" w:hAnsi="Times New Roman"/>
                <w:sz w:val="14"/>
                <w:szCs w:val="14"/>
                <w:color w:val="auto"/>
              </w:rPr>
              <w:t>For</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Against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Abstained</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Deborah L. DeHaas</w:t>
            </w:r>
          </w:p>
        </w:tc>
        <w:tc>
          <w:tcPr>
            <w:tcW w:w="2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113,697,705</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1,492,992</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217,595</w:t>
            </w:r>
          </w:p>
        </w:tc>
        <w:tc>
          <w:tcPr>
            <w:tcW w:w="12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8,808,837</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John Gilbertson, Jr.</w:t>
            </w:r>
          </w:p>
        </w:tc>
        <w:tc>
          <w:tcPr>
            <w:tcW w:w="2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109,370,509</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5,879,670</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158,113</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8,808,837</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Kristiane C. Graham</w:t>
            </w:r>
          </w:p>
        </w:tc>
        <w:tc>
          <w:tcPr>
            <w:tcW w:w="2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111,672,235</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3,576,971</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159,086</w:t>
            </w:r>
          </w:p>
        </w:tc>
        <w:tc>
          <w:tcPr>
            <w:tcW w:w="12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8,808,837</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A. Howze</w:t>
            </w:r>
          </w:p>
        </w:tc>
        <w:tc>
          <w:tcPr>
            <w:tcW w:w="2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114,925,878</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320,852</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161,562</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8,808,837</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Manley</w:t>
            </w:r>
          </w:p>
        </w:tc>
        <w:tc>
          <w:tcPr>
            <w:tcW w:w="2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114,892,368</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357,746</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158,178</w:t>
            </w:r>
          </w:p>
        </w:tc>
        <w:tc>
          <w:tcPr>
            <w:tcW w:w="12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8,808,837</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Danita K. Ostling</w:t>
            </w:r>
          </w:p>
        </w:tc>
        <w:tc>
          <w:tcPr>
            <w:tcW w:w="2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113,176,985</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2,004,784</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226,523</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8,808,837</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A. Spiegel</w:t>
            </w:r>
          </w:p>
        </w:tc>
        <w:tc>
          <w:tcPr>
            <w:tcW w:w="2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114,891,742</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354,049</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162,501</w:t>
            </w:r>
          </w:p>
        </w:tc>
        <w:tc>
          <w:tcPr>
            <w:tcW w:w="12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8,808,837</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Tobin</w:t>
            </w:r>
          </w:p>
        </w:tc>
        <w:tc>
          <w:tcPr>
            <w:tcW w:w="2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111,088,335</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3,877,988</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441,969</w:t>
            </w:r>
          </w:p>
        </w:tc>
        <w:tc>
          <w:tcPr>
            <w:tcW w:w="12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8,808,837</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E. Wandell</w:t>
            </w:r>
          </w:p>
        </w:tc>
        <w:tc>
          <w:tcPr>
            <w:tcW w:w="2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111,375,115</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3,871,759</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161,418</w:t>
            </w:r>
          </w:p>
        </w:tc>
        <w:tc>
          <w:tcPr>
            <w:tcW w:w="12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8,808,837</w:t>
            </w:r>
          </w:p>
        </w:tc>
      </w:tr>
    </w:tbl>
    <w:p>
      <w:pPr>
        <w:spacing w:after="0" w:line="198"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jc w:val="center"/>
              <w:ind w:right="379"/>
              <w:spacing w:after="0"/>
              <w:rPr>
                <w:sz w:val="20"/>
                <w:szCs w:val="20"/>
                <w:color w:val="auto"/>
              </w:rPr>
            </w:pPr>
            <w:r>
              <w:rPr>
                <w:rFonts w:ascii="Times New Roman" w:cs="Times New Roman" w:eastAsia="Times New Roman" w:hAnsi="Times New Roman"/>
                <w:sz w:val="14"/>
                <w:szCs w:val="14"/>
                <w:color w:val="auto"/>
              </w:rPr>
              <w:t>For</w:t>
            </w:r>
          </w:p>
        </w:tc>
        <w:tc>
          <w:tcPr>
            <w:tcW w:w="3140" w:type="dxa"/>
            <w:vAlign w:val="bottom"/>
          </w:tcPr>
          <w:p>
            <w:pPr>
              <w:jc w:val="center"/>
              <w:ind w:left="399"/>
              <w:spacing w:after="0"/>
              <w:rPr>
                <w:sz w:val="20"/>
                <w:szCs w:val="20"/>
                <w:color w:val="auto"/>
              </w:rPr>
            </w:pPr>
            <w:r>
              <w:rPr>
                <w:rFonts w:ascii="Times New Roman" w:cs="Times New Roman" w:eastAsia="Times New Roman" w:hAnsi="Times New Roman"/>
                <w:sz w:val="14"/>
                <w:szCs w:val="14"/>
                <w:color w:val="auto"/>
              </w:rPr>
              <w:t>Against</w:t>
            </w:r>
          </w:p>
        </w:tc>
        <w:tc>
          <w:tcPr>
            <w:tcW w:w="25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Abstained</w:t>
            </w:r>
          </w:p>
        </w:tc>
        <w:tc>
          <w:tcPr>
            <w:tcW w:w="2020" w:type="dxa"/>
            <w:vAlign w:val="bottom"/>
          </w:tcPr>
          <w:p>
            <w:pPr>
              <w:jc w:val="center"/>
              <w:ind w:left="859"/>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16"/>
        </w:trPr>
        <w:tc>
          <w:tcPr>
            <w:tcW w:w="334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8"/>
                <w:szCs w:val="18"/>
                <w:color w:val="auto"/>
              </w:rPr>
              <w:t>116,228,921</w:t>
            </w:r>
          </w:p>
        </w:tc>
        <w:tc>
          <w:tcPr>
            <w:tcW w:w="314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7,847,535</w:t>
            </w:r>
          </w:p>
        </w:tc>
        <w:tc>
          <w:tcPr>
            <w:tcW w:w="25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140,673</w:t>
            </w:r>
          </w:p>
        </w:tc>
        <w:tc>
          <w:tcPr>
            <w:tcW w:w="2020" w:type="dxa"/>
            <w:vAlign w:val="bottom"/>
            <w:shd w:val="clear" w:color="auto" w:fill="CCEEFF"/>
          </w:tcPr>
          <w:p>
            <w:pPr>
              <w:jc w:val="center"/>
              <w:ind w:left="879"/>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NEOs: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jc w:val="center"/>
              <w:ind w:right="299"/>
              <w:spacing w:after="0"/>
              <w:rPr>
                <w:sz w:val="20"/>
                <w:szCs w:val="20"/>
                <w:color w:val="auto"/>
              </w:rPr>
            </w:pPr>
            <w:r>
              <w:rPr>
                <w:rFonts w:ascii="Times New Roman" w:cs="Times New Roman" w:eastAsia="Times New Roman" w:hAnsi="Times New Roman"/>
                <w:sz w:val="14"/>
                <w:szCs w:val="14"/>
                <w:color w:val="auto"/>
              </w:rPr>
              <w:t>For</w:t>
            </w:r>
          </w:p>
        </w:tc>
        <w:tc>
          <w:tcPr>
            <w:tcW w:w="3120" w:type="dxa"/>
            <w:vAlign w:val="bottom"/>
          </w:tcPr>
          <w:p>
            <w:pPr>
              <w:jc w:val="center"/>
              <w:ind w:left="459"/>
              <w:spacing w:after="0"/>
              <w:rPr>
                <w:sz w:val="20"/>
                <w:szCs w:val="20"/>
                <w:color w:val="auto"/>
              </w:rPr>
            </w:pPr>
            <w:r>
              <w:rPr>
                <w:rFonts w:ascii="Times New Roman" w:cs="Times New Roman" w:eastAsia="Times New Roman" w:hAnsi="Times New Roman"/>
                <w:sz w:val="14"/>
                <w:szCs w:val="14"/>
                <w:color w:val="auto"/>
              </w:rPr>
              <w:t>Against</w:t>
            </w:r>
          </w:p>
        </w:tc>
        <w:tc>
          <w:tcPr>
            <w:tcW w:w="24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Abstained</w:t>
            </w:r>
          </w:p>
        </w:tc>
        <w:tc>
          <w:tcPr>
            <w:tcW w:w="1980" w:type="dxa"/>
            <w:vAlign w:val="bottom"/>
          </w:tcPr>
          <w:p>
            <w:pPr>
              <w:jc w:val="center"/>
              <w:ind w:left="819"/>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16"/>
        </w:trPr>
        <w:tc>
          <w:tcPr>
            <w:tcW w:w="350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8"/>
                <w:szCs w:val="18"/>
                <w:color w:val="auto"/>
              </w:rPr>
              <w:t>107,087,961</w:t>
            </w:r>
          </w:p>
        </w:tc>
        <w:tc>
          <w:tcPr>
            <w:tcW w:w="31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8,026,009</w:t>
            </w:r>
          </w:p>
        </w:tc>
        <w:tc>
          <w:tcPr>
            <w:tcW w:w="2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294,322</w:t>
            </w:r>
          </w:p>
        </w:tc>
        <w:tc>
          <w:tcPr>
            <w:tcW w:w="19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8,808,837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To consider a shareholder proposal requesting an independent board chair: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jc w:val="center"/>
              <w:ind w:right="1568"/>
              <w:spacing w:after="0"/>
              <w:rPr>
                <w:sz w:val="20"/>
                <w:szCs w:val="20"/>
                <w:color w:val="auto"/>
              </w:rPr>
            </w:pPr>
            <w:r>
              <w:rPr>
                <w:rFonts w:ascii="Times New Roman" w:cs="Times New Roman" w:eastAsia="Times New Roman" w:hAnsi="Times New Roman"/>
                <w:sz w:val="14"/>
                <w:szCs w:val="14"/>
                <w:color w:val="auto"/>
              </w:rPr>
              <w:t>For</w:t>
            </w:r>
          </w:p>
        </w:tc>
        <w:tc>
          <w:tcPr>
            <w:tcW w:w="2660" w:type="dxa"/>
            <w:vAlign w:val="bottom"/>
          </w:tcPr>
          <w:p>
            <w:pPr>
              <w:jc w:val="center"/>
              <w:ind w:right="342"/>
              <w:spacing w:after="0"/>
              <w:rPr>
                <w:sz w:val="20"/>
                <w:szCs w:val="20"/>
                <w:color w:val="auto"/>
              </w:rPr>
            </w:pPr>
            <w:r>
              <w:rPr>
                <w:rFonts w:ascii="Times New Roman" w:cs="Times New Roman" w:eastAsia="Times New Roman" w:hAnsi="Times New Roman"/>
                <w:sz w:val="14"/>
                <w:szCs w:val="14"/>
                <w:color w:val="auto"/>
              </w:rPr>
              <w:t>Against</w:t>
            </w:r>
          </w:p>
        </w:tc>
        <w:tc>
          <w:tcPr>
            <w:tcW w:w="22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Abstained</w:t>
            </w:r>
          </w:p>
        </w:tc>
        <w:tc>
          <w:tcPr>
            <w:tcW w:w="1980" w:type="dxa"/>
            <w:vAlign w:val="bottom"/>
          </w:tcPr>
          <w:p>
            <w:pPr>
              <w:jc w:val="center"/>
              <w:ind w:left="819"/>
              <w:spacing w:after="0"/>
              <w:rPr>
                <w:sz w:val="20"/>
                <w:szCs w:val="20"/>
                <w:color w:val="auto"/>
              </w:rPr>
            </w:pPr>
            <w:r>
              <w:rPr>
                <w:rFonts w:ascii="Times New Roman" w:cs="Times New Roman" w:eastAsia="Times New Roman" w:hAnsi="Times New Roman"/>
                <w:sz w:val="14"/>
                <w:szCs w:val="14"/>
                <w:color w:val="auto"/>
              </w:rPr>
              <w:t>Broker Non-Votes</w:t>
            </w: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jc w:val="right"/>
              <w:ind w:right="2168"/>
              <w:spacing w:after="0"/>
              <w:rPr>
                <w:sz w:val="20"/>
                <w:szCs w:val="20"/>
                <w:color w:val="auto"/>
              </w:rPr>
            </w:pPr>
            <w:r>
              <w:rPr>
                <w:rFonts w:ascii="Times New Roman" w:cs="Times New Roman" w:eastAsia="Times New Roman" w:hAnsi="Times New Roman"/>
                <w:sz w:val="18"/>
                <w:szCs w:val="18"/>
                <w:color w:val="auto"/>
              </w:rPr>
              <w:t>41,420,407</w:t>
            </w:r>
          </w:p>
        </w:tc>
        <w:tc>
          <w:tcPr>
            <w:tcW w:w="266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8"/>
                <w:szCs w:val="18"/>
                <w:color w:val="auto"/>
              </w:rPr>
              <w:t>73,601,678</w:t>
            </w:r>
          </w:p>
        </w:tc>
        <w:tc>
          <w:tcPr>
            <w:tcW w:w="2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386,207</w:t>
            </w:r>
          </w:p>
        </w:tc>
        <w:tc>
          <w:tcPr>
            <w:tcW w:w="19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8,808,837</w:t>
            </w:r>
          </w:p>
        </w:tc>
        <w:tc>
          <w:tcPr>
            <w:tcW w:w="0" w:type="dxa"/>
            <w:vAlign w:val="bottom"/>
          </w:tcPr>
          <w:p>
            <w:pPr>
              <w:spacing w:after="0"/>
              <w:rPr>
                <w:sz w:val="1"/>
                <w:szCs w:val="1"/>
                <w:color w:val="auto"/>
              </w:rPr>
            </w:pPr>
          </w:p>
        </w:tc>
      </w:tr>
      <w:tr>
        <w:trPr>
          <w:trHeight w:val="405"/>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2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w:t>
            </w:r>
          </w:p>
        </w:tc>
        <w:tc>
          <w:tcPr>
            <w:tcW w:w="266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color w:val="auto"/>
              </w:rPr>
              <w:t>Description</w:t>
            </w:r>
          </w:p>
        </w:tc>
        <w:tc>
          <w:tcPr>
            <w:tcW w:w="2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vMerge w:val="continue"/>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842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DOVER CORPORATION</w:t>
            </w:r>
          </w:p>
        </w:tc>
      </w:tr>
      <w:tr>
        <w:trPr>
          <w:trHeight w:val="234"/>
        </w:trPr>
        <w:tc>
          <w:tcPr>
            <w:tcW w:w="2600" w:type="dxa"/>
            <w:vAlign w:val="bottom"/>
          </w:tcPr>
          <w:p>
            <w:pPr>
              <w:spacing w:after="0"/>
              <w:rPr>
                <w:sz w:val="20"/>
                <w:szCs w:val="20"/>
                <w:color w:val="auto"/>
              </w:rPr>
            </w:pPr>
          </w:p>
        </w:tc>
        <w:tc>
          <w:tcPr>
            <w:tcW w:w="8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2600" w:type="dxa"/>
            <w:vAlign w:val="bottom"/>
          </w:tcPr>
          <w:p>
            <w:pPr>
              <w:spacing w:after="0"/>
              <w:rPr>
                <w:sz w:val="24"/>
                <w:szCs w:val="24"/>
                <w:color w:val="auto"/>
              </w:rPr>
            </w:pPr>
          </w:p>
        </w:tc>
        <w:tc>
          <w:tcPr>
            <w:tcW w:w="8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By:  /s/ Ivonne M. Cabrera</w:t>
            </w:r>
          </w:p>
        </w:tc>
      </w:tr>
      <w:tr>
        <w:trPr>
          <w:trHeight w:val="205"/>
        </w:trPr>
        <w:tc>
          <w:tcPr>
            <w:tcW w:w="2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Ivonne M. Cabrera</w:t>
            </w:r>
          </w:p>
        </w:tc>
      </w:tr>
      <w:tr>
        <w:trPr>
          <w:trHeight w:val="234"/>
        </w:trPr>
        <w:tc>
          <w:tcPr>
            <w:tcW w:w="2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2026-05-12T16:06:09Z</dcterms:created>
  <dcterms:modified xsi:type="dcterms:W3CDTF">2026-05-12T16:06:09Z</dcterms:modified>
</cp:coreProperties>
</file>