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right="2820"/>
        <w:spacing w:after="0" w:line="261"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w:t>
      </w:r>
      <w:r>
        <w:rPr>
          <w:rFonts w:ascii="Arial" w:cs="Arial" w:eastAsia="Arial" w:hAnsi="Arial"/>
          <w:sz w:val="18"/>
          <w:szCs w:val="18"/>
          <w:color w:val="auto"/>
        </w:rPr>
        <w:t xml:space="preserve"> </w:t>
      </w:r>
      <w:r>
        <w:rPr>
          <w:rFonts w:ascii="Arial" w:cs="Arial" w:eastAsia="Arial" w:hAnsi="Arial"/>
          <w:sz w:val="18"/>
          <w:szCs w:val="18"/>
          <w:b w:val="1"/>
          <w:bCs w:val="1"/>
          <w:color w:val="auto"/>
        </w:rPr>
        <w:t>OF 1934</w:t>
      </w:r>
    </w:p>
    <w:p>
      <w:pPr>
        <w:ind w:left="4460"/>
        <w:spacing w:after="0"/>
        <w:rPr>
          <w:sz w:val="20"/>
          <w:szCs w:val="20"/>
          <w:color w:val="auto"/>
        </w:rPr>
      </w:pPr>
      <w:r>
        <w:rPr>
          <w:rFonts w:ascii="Arial" w:cs="Arial" w:eastAsia="Arial" w:hAnsi="Arial"/>
          <w:sz w:val="18"/>
          <w:szCs w:val="18"/>
          <w:b w:val="1"/>
          <w:bCs w:val="1"/>
          <w:color w:val="auto"/>
        </w:rPr>
        <w:t>For the transition period from to</w:t>
      </w:r>
    </w:p>
    <w:p>
      <w:pPr>
        <w:spacing w:after="0" w:line="23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17145</wp:posOffset>
            </wp:positionV>
            <wp:extent cx="377317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31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9"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4640" w:type="dxa"/>
            <w:vAlign w:val="bottom"/>
          </w:tcPr>
          <w:p>
            <w:pPr>
              <w:jc w:val="right"/>
              <w:ind w:right="770"/>
              <w:spacing w:after="0"/>
              <w:rPr>
                <w:sz w:val="20"/>
                <w:szCs w:val="20"/>
                <w:color w:val="auto"/>
              </w:rPr>
            </w:pPr>
            <w:r>
              <w:rPr>
                <w:rFonts w:ascii="Arial" w:cs="Arial" w:eastAsia="Arial" w:hAnsi="Arial"/>
                <w:sz w:val="18"/>
                <w:szCs w:val="18"/>
                <w:b w:val="1"/>
                <w:bCs w:val="1"/>
                <w:color w:val="auto"/>
              </w:rPr>
              <w:t>53-0257888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40" w:type="dxa"/>
            <w:vAlign w:val="bottom"/>
          </w:tcPr>
          <w:p>
            <w:pPr>
              <w:jc w:val="center"/>
              <w:ind w:left="1950"/>
              <w:spacing w:after="0"/>
              <w:rPr>
                <w:sz w:val="20"/>
                <w:szCs w:val="20"/>
                <w:color w:val="auto"/>
              </w:rPr>
            </w:pPr>
            <w:r>
              <w:rPr>
                <w:rFonts w:ascii="Arial" w:cs="Arial" w:eastAsia="Arial" w:hAnsi="Arial"/>
                <w:sz w:val="18"/>
                <w:szCs w:val="18"/>
                <w:color w:val="auto"/>
                <w:w w:val="93"/>
              </w:rPr>
              <w:t>(I.R.S. Employer Identification No.)</w:t>
            </w:r>
          </w:p>
        </w:tc>
      </w:tr>
      <w:tr>
        <w:trPr>
          <w:trHeight w:val="540"/>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3005 Highland Parkway</w:t>
            </w:r>
          </w:p>
        </w:tc>
        <w:tc>
          <w:tcPr>
            <w:tcW w:w="4640" w:type="dxa"/>
            <w:vAlign w:val="bottom"/>
          </w:tcPr>
          <w:p>
            <w:pPr>
              <w:spacing w:after="0"/>
              <w:rPr>
                <w:sz w:val="24"/>
                <w:szCs w:val="24"/>
                <w:color w:val="auto"/>
              </w:rPr>
            </w:pP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Downers Grove, Illinois</w:t>
            </w:r>
          </w:p>
        </w:tc>
        <w:tc>
          <w:tcPr>
            <w:tcW w:w="4640" w:type="dxa"/>
            <w:vAlign w:val="bottom"/>
          </w:tcPr>
          <w:p>
            <w:pPr>
              <w:jc w:val="right"/>
              <w:ind w:right="990"/>
              <w:spacing w:after="0"/>
              <w:rPr>
                <w:sz w:val="20"/>
                <w:szCs w:val="20"/>
                <w:color w:val="auto"/>
              </w:rPr>
            </w:pPr>
            <w:r>
              <w:rPr>
                <w:rFonts w:ascii="Arial" w:cs="Arial" w:eastAsia="Arial" w:hAnsi="Arial"/>
                <w:sz w:val="18"/>
                <w:szCs w:val="18"/>
                <w:b w:val="1"/>
                <w:bCs w:val="1"/>
                <w:color w:val="auto"/>
              </w:rPr>
              <w:t>60515</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640" w:type="dxa"/>
            <w:vAlign w:val="bottom"/>
          </w:tcPr>
          <w:p>
            <w:pPr>
              <w:jc w:val="center"/>
              <w:ind w:left="1950"/>
              <w:spacing w:after="0"/>
              <w:rPr>
                <w:sz w:val="20"/>
                <w:szCs w:val="20"/>
                <w:color w:val="auto"/>
              </w:rPr>
            </w:pPr>
            <w:r>
              <w:rPr>
                <w:rFonts w:ascii="Arial" w:cs="Arial" w:eastAsia="Arial" w:hAnsi="Arial"/>
                <w:sz w:val="18"/>
                <w:szCs w:val="18"/>
                <w:color w:val="auto"/>
                <w:w w:val="94"/>
              </w:rPr>
              <w:t>(Zip Code)</w:t>
            </w:r>
          </w:p>
        </w:tc>
      </w:tr>
      <w:tr>
        <w:trPr>
          <w:trHeight w:val="351"/>
        </w:trPr>
        <w:tc>
          <w:tcPr>
            <w:tcW w:w="4400" w:type="dxa"/>
            <w:vAlign w:val="bottom"/>
          </w:tcPr>
          <w:p>
            <w:pPr>
              <w:spacing w:after="0"/>
              <w:rPr>
                <w:sz w:val="24"/>
                <w:szCs w:val="24"/>
                <w:color w:val="auto"/>
              </w:rPr>
            </w:pPr>
          </w:p>
        </w:tc>
        <w:tc>
          <w:tcPr>
            <w:tcW w:w="4640" w:type="dxa"/>
            <w:vAlign w:val="bottom"/>
          </w:tcPr>
          <w:p>
            <w:pPr>
              <w:jc w:val="right"/>
              <w:ind w:right="3330"/>
              <w:spacing w:after="0"/>
              <w:rPr>
                <w:sz w:val="20"/>
                <w:szCs w:val="20"/>
                <w:color w:val="auto"/>
              </w:rPr>
            </w:pPr>
            <w:r>
              <w:rPr>
                <w:rFonts w:ascii="Arial" w:cs="Arial" w:eastAsia="Arial" w:hAnsi="Arial"/>
                <w:sz w:val="18"/>
                <w:szCs w:val="18"/>
                <w:b w:val="1"/>
                <w:bCs w:val="1"/>
                <w:color w:val="auto"/>
                <w:w w:val="97"/>
              </w:rPr>
              <w:t>(630) 541-1540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1242" w:right="239" w:bottom="1440" w:gutter="0" w:footer="0" w:header="0"/>
        </w:sect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139" w:lineRule="exact"/>
        <w:rPr>
          <w:sz w:val="24"/>
          <w:szCs w:val="24"/>
          <w:color w:val="auto"/>
        </w:rPr>
      </w:pPr>
    </w:p>
    <w:p>
      <w:pPr>
        <w:sectPr>
          <w:pgSz w:w="11900" w:h="16838" w:orient="portrait"/>
          <w:cols w:equalWidth="0" w:num="2">
            <w:col w:w="7440" w:space="720"/>
            <w:col w:w="3260"/>
          </w:cols>
          <w:pgMar w:left="240" w:top="1242" w:right="2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April 11, 2019 was 145,329,437.</w:t>
      </w:r>
    </w:p>
    <w:p>
      <w:pPr>
        <w:sectPr>
          <w:pgSz w:w="11900" w:h="16838" w:orient="portrait"/>
          <w:cols w:equalWidth="0" w:num="1">
            <w:col w:w="11420"/>
          </w:cols>
          <w:pgMar w:left="240" w:top="124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60" w:type="dxa"/>
            <w:vAlign w:val="bottom"/>
            <w:tcBorders>
              <w:bottom w:val="single" w:sz="8" w:color="026DCE"/>
            </w:tcBorders>
            <w:gridSpan w:val="11"/>
          </w:tcPr>
          <w:p>
            <w:pPr>
              <w:spacing w:after="0"/>
              <w:rPr>
                <w:rFonts w:ascii="Arial" w:cs="Arial" w:eastAsia="Arial" w:hAnsi="Arial"/>
                <w:sz w:val="18"/>
                <w:szCs w:val="18"/>
                <w:b w:val="1"/>
                <w:bCs w:val="1"/>
                <w:color w:val="026DCE"/>
              </w:rPr>
            </w:pPr>
            <w:hyperlink w:anchor="page2">
              <w:r>
                <w:rPr>
                  <w:rFonts w:ascii="Arial" w:cs="Arial" w:eastAsia="Arial" w:hAnsi="Arial"/>
                  <w:sz w:val="18"/>
                  <w:szCs w:val="18"/>
                  <w:b w:val="1"/>
                  <w:bCs w:val="1"/>
                  <w:color w:val="026DCE"/>
                </w:rPr>
                <w:t>PART I — FINANCIAL INFORMATION</w:t>
              </w:r>
            </w:hyperlink>
          </w:p>
        </w:tc>
        <w:tc>
          <w:tcPr>
            <w:tcW w:w="7540" w:type="dxa"/>
            <w:vAlign w:val="bottom"/>
            <w:gridSpan w:val="10"/>
          </w:tcPr>
          <w:p>
            <w:pPr>
              <w:spacing w:after="0"/>
              <w:rPr>
                <w:sz w:val="19"/>
                <w:szCs w:val="19"/>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61"/>
        </w:trPr>
        <w:tc>
          <w:tcPr>
            <w:tcW w:w="520" w:type="dxa"/>
            <w:vAlign w:val="bottom"/>
            <w:vMerge w:val="restart"/>
          </w:tcPr>
          <w:p>
            <w:pPr>
              <w:spacing w:after="0"/>
              <w:rPr>
                <w:rFonts w:ascii="Arial" w:cs="Arial" w:eastAsia="Arial" w:hAnsi="Arial"/>
                <w:sz w:val="18"/>
                <w:szCs w:val="18"/>
                <w:color w:val="026DCE"/>
                <w:w w:val="90"/>
              </w:rPr>
            </w:pPr>
            <w:hyperlink w:anchor="page3">
              <w:r>
                <w:rPr>
                  <w:rFonts w:ascii="Arial" w:cs="Arial" w:eastAsia="Arial" w:hAnsi="Arial"/>
                  <w:sz w:val="18"/>
                  <w:szCs w:val="18"/>
                  <w:color w:val="026DCE"/>
                  <w:w w:val="90"/>
                </w:rPr>
                <w:t>Item 1.</w:t>
              </w:r>
            </w:hyperlink>
          </w:p>
        </w:tc>
        <w:tc>
          <w:tcPr>
            <w:tcW w:w="440" w:type="dxa"/>
            <w:vAlign w:val="bottom"/>
            <w:gridSpan w:val="2"/>
            <w:vMerge w:val="restart"/>
          </w:tcPr>
          <w:p>
            <w:pPr>
              <w:spacing w:after="0"/>
              <w:rPr>
                <w:sz w:val="5"/>
                <w:szCs w:val="5"/>
                <w:color w:val="auto"/>
              </w:rPr>
            </w:pPr>
          </w:p>
        </w:tc>
        <w:tc>
          <w:tcPr>
            <w:tcW w:w="9840" w:type="dxa"/>
            <w:vAlign w:val="bottom"/>
            <w:gridSpan w:val="18"/>
            <w:vMerge w:val="restart"/>
          </w:tcPr>
          <w:p>
            <w:pPr>
              <w:spacing w:after="0"/>
              <w:rPr>
                <w:rFonts w:ascii="Arial" w:cs="Arial" w:eastAsia="Arial" w:hAnsi="Arial"/>
                <w:sz w:val="18"/>
                <w:szCs w:val="18"/>
                <w:color w:val="026DCE"/>
              </w:rPr>
            </w:pPr>
            <w:hyperlink w:anchor="page3">
              <w:r>
                <w:rPr>
                  <w:rFonts w:ascii="Arial" w:cs="Arial" w:eastAsia="Arial" w:hAnsi="Arial"/>
                  <w:sz w:val="18"/>
                  <w:szCs w:val="18"/>
                  <w:color w:val="026DCE"/>
                </w:rPr>
                <w:t>Financial Statements (unaudited)</w:t>
              </w:r>
            </w:hyperlink>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840" w:type="dxa"/>
            <w:vAlign w:val="bottom"/>
            <w:gridSpan w:val="1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20" w:type="dxa"/>
            <w:vAlign w:val="bottom"/>
            <w:gridSpan w:val="2"/>
            <w:shd w:val="clear" w:color="auto" w:fill="026DCE"/>
          </w:tcPr>
          <w:p>
            <w:pPr>
              <w:spacing w:after="0" w:line="20" w:lineRule="exact"/>
              <w:rPr>
                <w:sz w:val="1"/>
                <w:szCs w:val="1"/>
                <w:color w:val="auto"/>
              </w:rPr>
            </w:pPr>
          </w:p>
        </w:tc>
        <w:tc>
          <w:tcPr>
            <w:tcW w:w="1680" w:type="dxa"/>
            <w:vAlign w:val="bottom"/>
            <w:tcBorders>
              <w:left w:val="single" w:sz="8" w:color="026DC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380" w:type="dxa"/>
            <w:vAlign w:val="bottom"/>
            <w:tcBorders>
              <w:bottom w:val="single" w:sz="8" w:color="026DCE"/>
            </w:tcBorders>
            <w:gridSpan w:val="14"/>
          </w:tcPr>
          <w:p>
            <w:pPr>
              <w:spacing w:after="0" w:line="196" w:lineRule="exact"/>
              <w:rPr>
                <w:rFonts w:ascii="Arial" w:cs="Arial" w:eastAsia="Arial" w:hAnsi="Arial"/>
                <w:sz w:val="18"/>
                <w:szCs w:val="18"/>
                <w:color w:val="026DCE"/>
                <w:w w:val="89"/>
              </w:rPr>
            </w:pPr>
            <w:hyperlink w:anchor="page3">
              <w:r>
                <w:rPr>
                  <w:rFonts w:ascii="Arial" w:cs="Arial" w:eastAsia="Arial" w:hAnsi="Arial"/>
                  <w:sz w:val="18"/>
                  <w:szCs w:val="18"/>
                  <w:color w:val="026DCE"/>
                  <w:w w:val="89"/>
                </w:rPr>
                <w:t xml:space="preserve">Condensed Consolidated Statements of Earnings for the three months ended March </w:t>
              </w:r>
            </w:hyperlink>
            <w:r>
              <w:rPr>
                <w:rFonts w:ascii="Arial" w:cs="Arial" w:eastAsia="Arial" w:hAnsi="Arial"/>
                <w:sz w:val="18"/>
                <w:szCs w:val="18"/>
                <w:color w:val="026DCE"/>
                <w:w w:val="89"/>
              </w:rPr>
              <w:t xml:space="preserve">31, </w:t>
            </w:r>
            <w:hyperlink w:anchor="page3">
              <w:r>
                <w:rPr>
                  <w:rFonts w:ascii="Arial" w:cs="Arial" w:eastAsia="Arial" w:hAnsi="Arial"/>
                  <w:sz w:val="18"/>
                  <w:szCs w:val="18"/>
                  <w:color w:val="026DCE"/>
                  <w:w w:val="89"/>
                </w:rPr>
                <w:t>2019 and 2018</w:t>
              </w:r>
            </w:hyperlink>
          </w:p>
        </w:tc>
        <w:tc>
          <w:tcPr>
            <w:tcW w:w="220" w:type="dxa"/>
            <w:vAlign w:val="bottom"/>
            <w:vMerge w:val="restart"/>
          </w:tcPr>
          <w:p>
            <w:pPr>
              <w:spacing w:after="0"/>
              <w:rPr>
                <w:sz w:val="18"/>
                <w:szCs w:val="18"/>
                <w:color w:val="auto"/>
              </w:rPr>
            </w:pPr>
          </w:p>
        </w:tc>
        <w:tc>
          <w:tcPr>
            <w:tcW w:w="68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1280" w:type="dxa"/>
            <w:vAlign w:val="bottom"/>
            <w:vMerge w:val="restart"/>
          </w:tcPr>
          <w:p>
            <w:pPr>
              <w:spacing w:after="0"/>
              <w:rPr>
                <w:sz w:val="18"/>
                <w:szCs w:val="18"/>
                <w:color w:val="auto"/>
              </w:rPr>
            </w:pPr>
          </w:p>
        </w:tc>
        <w:tc>
          <w:tcPr>
            <w:tcW w:w="340" w:type="dxa"/>
            <w:vAlign w:val="bottom"/>
            <w:gridSpan w:val="2"/>
            <w:vMerge w:val="restart"/>
          </w:tcPr>
          <w:p>
            <w:pPr>
              <w:jc w:val="center"/>
              <w:ind w:left="170"/>
              <w:spacing w:after="0"/>
              <w:rPr>
                <w:rFonts w:ascii="Arial" w:cs="Arial" w:eastAsia="Arial" w:hAnsi="Arial"/>
                <w:sz w:val="18"/>
                <w:szCs w:val="18"/>
                <w:color w:val="026DCE"/>
                <w:w w:val="79"/>
              </w:rPr>
            </w:pPr>
            <w:hyperlink w:anchor="page3">
              <w:r>
                <w:rPr>
                  <w:rFonts w:ascii="Arial" w:cs="Arial" w:eastAsia="Arial" w:hAnsi="Arial"/>
                  <w:sz w:val="18"/>
                  <w:szCs w:val="18"/>
                  <w:color w:val="026DCE"/>
                  <w:w w:val="79"/>
                </w:rPr>
                <w:t>1</w:t>
              </w:r>
            </w:hyperlink>
          </w:p>
        </w:tc>
        <w:tc>
          <w:tcPr>
            <w:tcW w:w="2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3">
              <w:r>
                <w:rPr>
                  <w:rFonts w:ascii="Arial" w:cs="Arial" w:eastAsia="Arial" w:hAnsi="Arial"/>
                  <w:sz w:val="18"/>
                  <w:szCs w:val="18"/>
                  <w:color w:val="026DCE"/>
                </w:rPr>
                <w:t xml:space="preserve">Condensed Consolidated Statements of Comprehensive Earnings for the three months ended March </w:t>
              </w:r>
            </w:hyperlink>
            <w:r>
              <w:rPr>
                <w:rFonts w:ascii="Arial" w:cs="Arial" w:eastAsia="Arial" w:hAnsi="Arial"/>
                <w:sz w:val="18"/>
                <w:szCs w:val="18"/>
                <w:color w:val="026DCE"/>
              </w:rPr>
              <w:t xml:space="preserve">31, </w:t>
            </w:r>
            <w:hyperlink w:anchor="page3">
              <w:r>
                <w:rPr>
                  <w:rFonts w:ascii="Arial" w:cs="Arial" w:eastAsia="Arial" w:hAnsi="Arial"/>
                  <w:sz w:val="18"/>
                  <w:szCs w:val="18"/>
                  <w:color w:val="026DCE"/>
                </w:rPr>
                <w:t>2019 and 2018</w:t>
              </w:r>
            </w:hyperlink>
          </w:p>
        </w:tc>
        <w:tc>
          <w:tcPr>
            <w:tcW w:w="340" w:type="dxa"/>
            <w:vAlign w:val="bottom"/>
            <w:gridSpan w:val="2"/>
          </w:tcPr>
          <w:p>
            <w:pPr>
              <w:jc w:val="center"/>
              <w:ind w:left="170"/>
              <w:spacing w:after="0"/>
              <w:rPr>
                <w:rFonts w:ascii="Arial" w:cs="Arial" w:eastAsia="Arial" w:hAnsi="Arial"/>
                <w:sz w:val="18"/>
                <w:szCs w:val="18"/>
                <w:color w:val="026DCE"/>
                <w:w w:val="79"/>
              </w:rPr>
            </w:pPr>
            <w:hyperlink w:anchor="page3">
              <w:r>
                <w:rPr>
                  <w:rFonts w:ascii="Arial" w:cs="Arial" w:eastAsia="Arial" w:hAnsi="Arial"/>
                  <w:sz w:val="18"/>
                  <w:szCs w:val="18"/>
                  <w:color w:val="026DCE"/>
                  <w:w w:val="79"/>
                </w:rPr>
                <w:t>2</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26DCE"/>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20" w:type="dxa"/>
            <w:vAlign w:val="bottom"/>
            <w:shd w:val="clear" w:color="auto" w:fill="026DCE"/>
          </w:tcPr>
          <w:p>
            <w:pPr>
              <w:spacing w:after="0" w:line="20" w:lineRule="exact"/>
              <w:rPr>
                <w:sz w:val="1"/>
                <w:szCs w:val="1"/>
                <w:color w:val="auto"/>
              </w:rPr>
            </w:pPr>
          </w:p>
        </w:tc>
        <w:tc>
          <w:tcPr>
            <w:tcW w:w="1680" w:type="dxa"/>
            <w:vAlign w:val="bottom"/>
            <w:tcBorders>
              <w:left w:val="single" w:sz="8" w:color="026DCE"/>
            </w:tcBorders>
            <w:shd w:val="clear" w:color="auto" w:fill="026DCE"/>
          </w:tcPr>
          <w:p>
            <w:pPr>
              <w:spacing w:after="0" w:line="20" w:lineRule="exact"/>
              <w:rPr>
                <w:sz w:val="1"/>
                <w:szCs w:val="1"/>
                <w:color w:val="auto"/>
              </w:rPr>
            </w:pPr>
          </w:p>
        </w:tc>
        <w:tc>
          <w:tcPr>
            <w:tcW w:w="360" w:type="dxa"/>
            <w:vAlign w:val="bottom"/>
            <w:shd w:val="clear" w:color="auto" w:fill="026DCE"/>
          </w:tcPr>
          <w:p>
            <w:pPr>
              <w:spacing w:after="0" w:line="20" w:lineRule="exact"/>
              <w:rPr>
                <w:sz w:val="1"/>
                <w:szCs w:val="1"/>
                <w:color w:val="auto"/>
              </w:rPr>
            </w:pPr>
          </w:p>
        </w:tc>
        <w:tc>
          <w:tcPr>
            <w:tcW w:w="1700" w:type="dxa"/>
            <w:vAlign w:val="bottom"/>
            <w:tcBorders>
              <w:left w:val="single" w:sz="8" w:color="026DCE"/>
            </w:tcBorders>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920" w:type="dxa"/>
            <w:vAlign w:val="bottom"/>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680" w:type="dxa"/>
            <w:vAlign w:val="bottom"/>
            <w:shd w:val="clear" w:color="auto" w:fill="026DCE"/>
          </w:tcPr>
          <w:p>
            <w:pPr>
              <w:spacing w:after="0" w:line="20" w:lineRule="exact"/>
              <w:rPr>
                <w:sz w:val="1"/>
                <w:szCs w:val="1"/>
                <w:color w:val="auto"/>
              </w:rPr>
            </w:pPr>
          </w:p>
        </w:tc>
        <w:tc>
          <w:tcPr>
            <w:tcW w:w="280" w:type="dxa"/>
            <w:vAlign w:val="bottom"/>
            <w:shd w:val="clear" w:color="auto" w:fill="026DC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60" w:type="dxa"/>
            <w:vAlign w:val="bottom"/>
            <w:gridSpan w:val="17"/>
          </w:tcPr>
          <w:p>
            <w:pPr>
              <w:spacing w:after="0"/>
              <w:rPr>
                <w:rFonts w:ascii="Arial" w:cs="Arial" w:eastAsia="Arial" w:hAnsi="Arial"/>
                <w:sz w:val="18"/>
                <w:szCs w:val="18"/>
                <w:color w:val="026DCE"/>
              </w:rPr>
            </w:pPr>
            <w:hyperlink w:anchor="page4">
              <w:r>
                <w:rPr>
                  <w:rFonts w:ascii="Arial" w:cs="Arial" w:eastAsia="Arial" w:hAnsi="Arial"/>
                  <w:sz w:val="18"/>
                  <w:szCs w:val="18"/>
                  <w:color w:val="026DCE"/>
                </w:rPr>
                <w:t xml:space="preserve">Condensed Consolidated Balance Sheets at March </w:t>
              </w:r>
            </w:hyperlink>
            <w:r>
              <w:rPr>
                <w:rFonts w:ascii="Arial" w:cs="Arial" w:eastAsia="Arial" w:hAnsi="Arial"/>
                <w:sz w:val="18"/>
                <w:szCs w:val="18"/>
                <w:color w:val="026DCE"/>
              </w:rPr>
              <w:t xml:space="preserve">31, 2019 </w:t>
            </w:r>
            <w:hyperlink w:anchor="page4">
              <w:r>
                <w:rPr>
                  <w:rFonts w:ascii="Arial" w:cs="Arial" w:eastAsia="Arial" w:hAnsi="Arial"/>
                  <w:sz w:val="18"/>
                  <w:szCs w:val="18"/>
                  <w:color w:val="026DCE"/>
                </w:rPr>
                <w:t xml:space="preserve">and December 31, </w:t>
              </w:r>
            </w:hyperlink>
            <w:r>
              <w:rPr>
                <w:rFonts w:ascii="Arial" w:cs="Arial" w:eastAsia="Arial" w:hAnsi="Arial"/>
                <w:sz w:val="18"/>
                <w:szCs w:val="18"/>
                <w:color w:val="026DCE"/>
              </w:rPr>
              <w:t>2018</w:t>
            </w:r>
          </w:p>
        </w:tc>
        <w:tc>
          <w:tcPr>
            <w:tcW w:w="1280" w:type="dxa"/>
            <w:vAlign w:val="bottom"/>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26DCE"/>
                <w:w w:val="79"/>
              </w:rPr>
            </w:pPr>
            <w:hyperlink w:anchor="page4">
              <w:r>
                <w:rPr>
                  <w:rFonts w:ascii="Arial" w:cs="Arial" w:eastAsia="Arial" w:hAnsi="Arial"/>
                  <w:sz w:val="18"/>
                  <w:szCs w:val="18"/>
                  <w:color w:val="026DCE"/>
                  <w:w w:val="79"/>
                </w:rPr>
                <w:t>3</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26DCE"/>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20" w:type="dxa"/>
            <w:vAlign w:val="bottom"/>
            <w:shd w:val="clear" w:color="auto" w:fill="026DCE"/>
          </w:tcPr>
          <w:p>
            <w:pPr>
              <w:spacing w:after="0" w:line="20" w:lineRule="exact"/>
              <w:rPr>
                <w:sz w:val="1"/>
                <w:szCs w:val="1"/>
                <w:color w:val="auto"/>
              </w:rPr>
            </w:pPr>
          </w:p>
        </w:tc>
        <w:tc>
          <w:tcPr>
            <w:tcW w:w="1680" w:type="dxa"/>
            <w:vAlign w:val="bottom"/>
            <w:tcBorders>
              <w:left w:val="single" w:sz="8" w:color="026DCE"/>
            </w:tcBorders>
            <w:shd w:val="clear" w:color="auto" w:fill="026DCE"/>
          </w:tcPr>
          <w:p>
            <w:pPr>
              <w:spacing w:after="0" w:line="20" w:lineRule="exact"/>
              <w:rPr>
                <w:sz w:val="1"/>
                <w:szCs w:val="1"/>
                <w:color w:val="auto"/>
              </w:rPr>
            </w:pPr>
          </w:p>
        </w:tc>
        <w:tc>
          <w:tcPr>
            <w:tcW w:w="360" w:type="dxa"/>
            <w:vAlign w:val="bottom"/>
            <w:shd w:val="clear" w:color="auto" w:fill="026DCE"/>
          </w:tcPr>
          <w:p>
            <w:pPr>
              <w:spacing w:after="0" w:line="20" w:lineRule="exact"/>
              <w:rPr>
                <w:sz w:val="1"/>
                <w:szCs w:val="1"/>
                <w:color w:val="auto"/>
              </w:rPr>
            </w:pPr>
          </w:p>
        </w:tc>
        <w:tc>
          <w:tcPr>
            <w:tcW w:w="1700" w:type="dxa"/>
            <w:vAlign w:val="bottom"/>
            <w:tcBorders>
              <w:left w:val="single" w:sz="8" w:color="026DCE"/>
            </w:tcBorders>
            <w:shd w:val="clear" w:color="auto" w:fill="026DC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80" w:type="dxa"/>
            <w:vAlign w:val="bottom"/>
            <w:gridSpan w:val="16"/>
          </w:tcPr>
          <w:p>
            <w:pPr>
              <w:spacing w:after="0"/>
              <w:rPr>
                <w:rFonts w:ascii="Arial" w:cs="Arial" w:eastAsia="Arial" w:hAnsi="Arial"/>
                <w:sz w:val="18"/>
                <w:szCs w:val="18"/>
                <w:color w:val="026DCE"/>
                <w:w w:val="90"/>
              </w:rPr>
            </w:pPr>
            <w:hyperlink w:anchor="page6">
              <w:r>
                <w:rPr>
                  <w:rFonts w:ascii="Arial" w:cs="Arial" w:eastAsia="Arial" w:hAnsi="Arial"/>
                  <w:sz w:val="18"/>
                  <w:szCs w:val="18"/>
                  <w:color w:val="026DCE"/>
                  <w:w w:val="90"/>
                </w:rPr>
                <w:t xml:space="preserve">Condensed Consolidated Statements of Stockholders’ Equity for the three months ended March </w:t>
              </w:r>
            </w:hyperlink>
            <w:r>
              <w:rPr>
                <w:rFonts w:ascii="Arial" w:cs="Arial" w:eastAsia="Arial" w:hAnsi="Arial"/>
                <w:sz w:val="18"/>
                <w:szCs w:val="18"/>
                <w:color w:val="026DCE"/>
                <w:w w:val="90"/>
              </w:rPr>
              <w:t xml:space="preserve">31, 2019 </w:t>
            </w:r>
            <w:hyperlink w:anchor="page6">
              <w:r>
                <w:rPr>
                  <w:rFonts w:ascii="Arial" w:cs="Arial" w:eastAsia="Arial" w:hAnsi="Arial"/>
                  <w:sz w:val="18"/>
                  <w:szCs w:val="18"/>
                  <w:color w:val="026DCE"/>
                  <w:w w:val="90"/>
                </w:rPr>
                <w:t>and 2018</w:t>
              </w:r>
            </w:hyperlink>
          </w:p>
        </w:tc>
        <w:tc>
          <w:tcPr>
            <w:tcW w:w="1560" w:type="dxa"/>
            <w:vAlign w:val="bottom"/>
            <w:gridSpan w:val="2"/>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26DCE"/>
                <w:w w:val="79"/>
              </w:rPr>
            </w:pPr>
            <w:hyperlink w:anchor="page6">
              <w:r>
                <w:rPr>
                  <w:rFonts w:ascii="Arial" w:cs="Arial" w:eastAsia="Arial" w:hAnsi="Arial"/>
                  <w:sz w:val="18"/>
                  <w:szCs w:val="18"/>
                  <w:color w:val="026DCE"/>
                  <w:w w:val="79"/>
                </w:rPr>
                <w:t>4</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20" w:type="dxa"/>
            <w:vAlign w:val="bottom"/>
            <w:gridSpan w:val="2"/>
            <w:shd w:val="clear" w:color="auto" w:fill="026DCE"/>
          </w:tcPr>
          <w:p>
            <w:pPr>
              <w:spacing w:after="0" w:line="20" w:lineRule="exact"/>
              <w:rPr>
                <w:sz w:val="1"/>
                <w:szCs w:val="1"/>
                <w:color w:val="auto"/>
              </w:rPr>
            </w:pPr>
          </w:p>
        </w:tc>
        <w:tc>
          <w:tcPr>
            <w:tcW w:w="1680" w:type="dxa"/>
            <w:vAlign w:val="bottom"/>
            <w:tcBorders>
              <w:left w:val="single" w:sz="8" w:color="026DCE"/>
            </w:tcBorders>
            <w:shd w:val="clear" w:color="auto" w:fill="026DCE"/>
          </w:tcPr>
          <w:p>
            <w:pPr>
              <w:spacing w:after="0" w:line="20" w:lineRule="exact"/>
              <w:rPr>
                <w:sz w:val="1"/>
                <w:szCs w:val="1"/>
                <w:color w:val="auto"/>
              </w:rPr>
            </w:pPr>
          </w:p>
        </w:tc>
        <w:tc>
          <w:tcPr>
            <w:tcW w:w="360" w:type="dxa"/>
            <w:vAlign w:val="bottom"/>
            <w:shd w:val="clear" w:color="auto" w:fill="026DCE"/>
          </w:tcPr>
          <w:p>
            <w:pPr>
              <w:spacing w:after="0" w:line="20" w:lineRule="exact"/>
              <w:rPr>
                <w:sz w:val="1"/>
                <w:szCs w:val="1"/>
                <w:color w:val="auto"/>
              </w:rPr>
            </w:pPr>
          </w:p>
        </w:tc>
        <w:tc>
          <w:tcPr>
            <w:tcW w:w="2100" w:type="dxa"/>
            <w:vAlign w:val="bottom"/>
            <w:tcBorders>
              <w:left w:val="single" w:sz="8" w:color="026DCE"/>
            </w:tcBorders>
            <w:gridSpan w:val="2"/>
            <w:shd w:val="clear" w:color="auto" w:fill="026DCE"/>
          </w:tcPr>
          <w:p>
            <w:pPr>
              <w:spacing w:after="0" w:line="20" w:lineRule="exact"/>
              <w:rPr>
                <w:sz w:val="1"/>
                <w:szCs w:val="1"/>
                <w:color w:val="auto"/>
              </w:rPr>
            </w:pPr>
          </w:p>
        </w:tc>
        <w:tc>
          <w:tcPr>
            <w:tcW w:w="1140" w:type="dxa"/>
            <w:vAlign w:val="bottom"/>
            <w:gridSpan w:val="2"/>
            <w:shd w:val="clear" w:color="auto" w:fill="026DCE"/>
          </w:tcPr>
          <w:p>
            <w:pPr>
              <w:spacing w:after="0" w:line="20" w:lineRule="exact"/>
              <w:rPr>
                <w:sz w:val="1"/>
                <w:szCs w:val="1"/>
                <w:color w:val="auto"/>
              </w:rPr>
            </w:pPr>
          </w:p>
        </w:tc>
        <w:tc>
          <w:tcPr>
            <w:tcW w:w="680" w:type="dxa"/>
            <w:vAlign w:val="bottom"/>
            <w:shd w:val="clear" w:color="auto" w:fill="026DC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0" w:type="dxa"/>
            <w:vAlign w:val="bottom"/>
            <w:gridSpan w:val="15"/>
          </w:tcPr>
          <w:p>
            <w:pPr>
              <w:spacing w:after="0"/>
              <w:rPr>
                <w:rFonts w:ascii="Arial" w:cs="Arial" w:eastAsia="Arial" w:hAnsi="Arial"/>
                <w:sz w:val="18"/>
                <w:szCs w:val="18"/>
                <w:color w:val="026DCE"/>
                <w:w w:val="89"/>
              </w:rPr>
            </w:pPr>
            <w:hyperlink w:anchor="page7">
              <w:r>
                <w:rPr>
                  <w:rFonts w:ascii="Arial" w:cs="Arial" w:eastAsia="Arial" w:hAnsi="Arial"/>
                  <w:sz w:val="18"/>
                  <w:szCs w:val="18"/>
                  <w:color w:val="026DCE"/>
                  <w:w w:val="89"/>
                </w:rPr>
                <w:t xml:space="preserve">Condensed Consolidated Statements of Cash Flows for the three months ended March </w:t>
              </w:r>
            </w:hyperlink>
            <w:r>
              <w:rPr>
                <w:rFonts w:ascii="Arial" w:cs="Arial" w:eastAsia="Arial" w:hAnsi="Arial"/>
                <w:sz w:val="18"/>
                <w:szCs w:val="18"/>
                <w:color w:val="026DCE"/>
                <w:w w:val="89"/>
              </w:rPr>
              <w:t xml:space="preserve">31, 2019 </w:t>
            </w:r>
            <w:hyperlink w:anchor="page7">
              <w:r>
                <w:rPr>
                  <w:rFonts w:ascii="Arial" w:cs="Arial" w:eastAsia="Arial" w:hAnsi="Arial"/>
                  <w:sz w:val="18"/>
                  <w:szCs w:val="18"/>
                  <w:color w:val="026DCE"/>
                  <w:w w:val="89"/>
                </w:rPr>
                <w:t xml:space="preserve">and </w:t>
              </w:r>
            </w:hyperlink>
            <w:r>
              <w:rPr>
                <w:rFonts w:ascii="Arial" w:cs="Arial" w:eastAsia="Arial" w:hAnsi="Arial"/>
                <w:sz w:val="18"/>
                <w:szCs w:val="18"/>
                <w:color w:val="026DCE"/>
                <w:w w:val="89"/>
              </w:rPr>
              <w:t>2018</w:t>
            </w:r>
          </w:p>
        </w:tc>
        <w:tc>
          <w:tcPr>
            <w:tcW w:w="68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26DCE"/>
                <w:w w:val="79"/>
              </w:rPr>
            </w:pPr>
            <w:hyperlink w:anchor="page7">
              <w:r>
                <w:rPr>
                  <w:rFonts w:ascii="Arial" w:cs="Arial" w:eastAsia="Arial" w:hAnsi="Arial"/>
                  <w:sz w:val="18"/>
                  <w:szCs w:val="18"/>
                  <w:color w:val="026DCE"/>
                  <w:w w:val="79"/>
                </w:rPr>
                <w:t>5</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26DCE"/>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20" w:type="dxa"/>
            <w:vAlign w:val="bottom"/>
            <w:shd w:val="clear" w:color="auto" w:fill="026DCE"/>
          </w:tcPr>
          <w:p>
            <w:pPr>
              <w:spacing w:after="0" w:line="20" w:lineRule="exact"/>
              <w:rPr>
                <w:sz w:val="1"/>
                <w:szCs w:val="1"/>
                <w:color w:val="auto"/>
              </w:rPr>
            </w:pPr>
          </w:p>
        </w:tc>
        <w:tc>
          <w:tcPr>
            <w:tcW w:w="1680" w:type="dxa"/>
            <w:vAlign w:val="bottom"/>
            <w:tcBorders>
              <w:left w:val="single" w:sz="8" w:color="026DCE"/>
            </w:tcBorders>
            <w:shd w:val="clear" w:color="auto" w:fill="026DCE"/>
          </w:tcPr>
          <w:p>
            <w:pPr>
              <w:spacing w:after="0" w:line="20" w:lineRule="exact"/>
              <w:rPr>
                <w:sz w:val="1"/>
                <w:szCs w:val="1"/>
                <w:color w:val="auto"/>
              </w:rPr>
            </w:pPr>
          </w:p>
        </w:tc>
        <w:tc>
          <w:tcPr>
            <w:tcW w:w="360" w:type="dxa"/>
            <w:vAlign w:val="bottom"/>
            <w:shd w:val="clear" w:color="auto" w:fill="026DCE"/>
          </w:tcPr>
          <w:p>
            <w:pPr>
              <w:spacing w:after="0" w:line="20" w:lineRule="exact"/>
              <w:rPr>
                <w:sz w:val="1"/>
                <w:szCs w:val="1"/>
                <w:color w:val="auto"/>
              </w:rPr>
            </w:pPr>
          </w:p>
        </w:tc>
        <w:tc>
          <w:tcPr>
            <w:tcW w:w="1700" w:type="dxa"/>
            <w:vAlign w:val="bottom"/>
            <w:tcBorders>
              <w:left w:val="single" w:sz="8" w:color="026DCE"/>
            </w:tcBorders>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920" w:type="dxa"/>
            <w:vAlign w:val="bottom"/>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Arial" w:cs="Arial" w:eastAsia="Arial" w:hAnsi="Arial"/>
                <w:sz w:val="18"/>
                <w:szCs w:val="18"/>
                <w:color w:val="026DCE"/>
                <w:w w:val="88"/>
              </w:rPr>
            </w:pPr>
            <w:hyperlink w:anchor="page7">
              <w:r>
                <w:rPr>
                  <w:rFonts w:ascii="Arial" w:cs="Arial" w:eastAsia="Arial" w:hAnsi="Arial"/>
                  <w:sz w:val="18"/>
                  <w:szCs w:val="18"/>
                  <w:color w:val="026DCE"/>
                  <w:w w:val="88"/>
                </w:rPr>
                <w:t>Notes to Condensed Consolidated Financial Statements</w:t>
              </w:r>
            </w:hyperlink>
          </w:p>
        </w:tc>
        <w:tc>
          <w:tcPr>
            <w:tcW w:w="3600" w:type="dxa"/>
            <w:vAlign w:val="bottom"/>
            <w:gridSpan w:val="5"/>
          </w:tcPr>
          <w:p>
            <w:pPr>
              <w:spacing w:after="0"/>
              <w:rPr>
                <w:sz w:val="21"/>
                <w:szCs w:val="21"/>
                <w:color w:val="auto"/>
              </w:rPr>
            </w:pPr>
          </w:p>
        </w:tc>
        <w:tc>
          <w:tcPr>
            <w:tcW w:w="2240" w:type="dxa"/>
            <w:vAlign w:val="bottom"/>
            <w:gridSpan w:val="3"/>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26DCE"/>
                <w:w w:val="79"/>
              </w:rPr>
            </w:pPr>
            <w:hyperlink w:anchor="page7">
              <w:r>
                <w:rPr>
                  <w:rFonts w:ascii="Arial" w:cs="Arial" w:eastAsia="Arial" w:hAnsi="Arial"/>
                  <w:sz w:val="18"/>
                  <w:szCs w:val="18"/>
                  <w:color w:val="026DCE"/>
                  <w:w w:val="79"/>
                </w:rPr>
                <w:t>6</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20" w:type="dxa"/>
            <w:vAlign w:val="bottom"/>
            <w:gridSpan w:val="2"/>
            <w:shd w:val="clear" w:color="auto" w:fill="026DCE"/>
          </w:tcPr>
          <w:p>
            <w:pPr>
              <w:spacing w:after="0" w:line="20" w:lineRule="exact"/>
              <w:rPr>
                <w:sz w:val="1"/>
                <w:szCs w:val="1"/>
                <w:color w:val="auto"/>
              </w:rPr>
            </w:pPr>
          </w:p>
        </w:tc>
        <w:tc>
          <w:tcPr>
            <w:tcW w:w="1680" w:type="dxa"/>
            <w:vAlign w:val="bottom"/>
            <w:tcBorders>
              <w:left w:val="single" w:sz="8" w:color="026DCE"/>
            </w:tcBorders>
            <w:shd w:val="clear" w:color="auto" w:fill="026DC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26DCE"/>
                <w:w w:val="90"/>
              </w:rPr>
            </w:pPr>
            <w:hyperlink w:anchor="page29">
              <w:r>
                <w:rPr>
                  <w:rFonts w:ascii="Arial" w:cs="Arial" w:eastAsia="Arial" w:hAnsi="Arial"/>
                  <w:sz w:val="18"/>
                  <w:szCs w:val="18"/>
                  <w:color w:val="026DCE"/>
                  <w:w w:val="90"/>
                </w:rPr>
                <w:t>Item 2.</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29">
              <w:r>
                <w:rPr>
                  <w:rFonts w:ascii="Arial" w:cs="Arial" w:eastAsia="Arial" w:hAnsi="Arial"/>
                  <w:sz w:val="18"/>
                  <w:szCs w:val="18"/>
                  <w:color w:val="026DCE"/>
                </w:rPr>
                <w:t>Management’s Discussion and Analysis of Financial Condition and Results of Operations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29">
              <w:r>
                <w:rPr>
                  <w:rFonts w:ascii="Arial" w:cs="Arial" w:eastAsia="Arial" w:hAnsi="Arial"/>
                  <w:sz w:val="18"/>
                  <w:szCs w:val="18"/>
                  <w:color w:val="026DCE"/>
                  <w:w w:val="89"/>
                </w:rPr>
                <w:t>28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20" w:type="dxa"/>
            <w:vAlign w:val="bottom"/>
            <w:gridSpan w:val="2"/>
            <w:shd w:val="clear" w:color="auto" w:fill="026DCE"/>
          </w:tcPr>
          <w:p>
            <w:pPr>
              <w:spacing w:after="0" w:line="20" w:lineRule="exact"/>
              <w:rPr>
                <w:sz w:val="1"/>
                <w:szCs w:val="1"/>
                <w:color w:val="auto"/>
              </w:rPr>
            </w:pPr>
          </w:p>
        </w:tc>
        <w:tc>
          <w:tcPr>
            <w:tcW w:w="2040" w:type="dxa"/>
            <w:vAlign w:val="bottom"/>
            <w:tcBorders>
              <w:left w:val="single" w:sz="8" w:color="026DCE"/>
            </w:tcBorders>
            <w:gridSpan w:val="2"/>
            <w:shd w:val="clear" w:color="auto" w:fill="026DCE"/>
          </w:tcPr>
          <w:p>
            <w:pPr>
              <w:spacing w:after="0" w:line="20" w:lineRule="exact"/>
              <w:rPr>
                <w:sz w:val="1"/>
                <w:szCs w:val="1"/>
                <w:color w:val="auto"/>
              </w:rPr>
            </w:pPr>
          </w:p>
        </w:tc>
        <w:tc>
          <w:tcPr>
            <w:tcW w:w="2100" w:type="dxa"/>
            <w:vAlign w:val="bottom"/>
            <w:tcBorders>
              <w:left w:val="single" w:sz="8" w:color="026DCE"/>
            </w:tcBorders>
            <w:gridSpan w:val="2"/>
            <w:shd w:val="clear" w:color="auto" w:fill="026DC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26DCE"/>
                <w:w w:val="90"/>
              </w:rPr>
              <w:t>Item 3.</w:t>
            </w:r>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43">
              <w:r>
                <w:rPr>
                  <w:rFonts w:ascii="Arial" w:cs="Arial" w:eastAsia="Arial" w:hAnsi="Arial"/>
                  <w:sz w:val="18"/>
                  <w:szCs w:val="18"/>
                  <w:color w:val="026DCE"/>
                </w:rPr>
                <w:t>Quantitative and Qualitative Disclosures About Market Risk</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3">
              <w:r>
                <w:rPr>
                  <w:rFonts w:ascii="Arial" w:cs="Arial" w:eastAsia="Arial" w:hAnsi="Arial"/>
                  <w:sz w:val="18"/>
                  <w:szCs w:val="18"/>
                  <w:color w:val="026DCE"/>
                  <w:w w:val="89"/>
                </w:rPr>
                <w:t>41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shd w:val="clear" w:color="auto" w:fill="026DCE"/>
          </w:tcPr>
          <w:p>
            <w:pPr>
              <w:spacing w:after="0" w:line="20" w:lineRule="exact"/>
              <w:rPr>
                <w:sz w:val="1"/>
                <w:szCs w:val="1"/>
                <w:color w:val="auto"/>
              </w:rPr>
            </w:pPr>
          </w:p>
        </w:tc>
        <w:tc>
          <w:tcPr>
            <w:tcW w:w="320" w:type="dxa"/>
            <w:vAlign w:val="bottom"/>
            <w:gridSpan w:val="2"/>
            <w:shd w:val="clear" w:color="auto" w:fill="026DCE"/>
          </w:tcPr>
          <w:p>
            <w:pPr>
              <w:spacing w:after="0" w:line="20" w:lineRule="exact"/>
              <w:rPr>
                <w:sz w:val="1"/>
                <w:szCs w:val="1"/>
                <w:color w:val="auto"/>
              </w:rPr>
            </w:pPr>
          </w:p>
        </w:tc>
        <w:tc>
          <w:tcPr>
            <w:tcW w:w="2040" w:type="dxa"/>
            <w:vAlign w:val="bottom"/>
            <w:tcBorders>
              <w:left w:val="single" w:sz="8" w:color="026DCE"/>
            </w:tcBorders>
            <w:gridSpan w:val="2"/>
            <w:shd w:val="clear" w:color="auto" w:fill="026DCE"/>
          </w:tcPr>
          <w:p>
            <w:pPr>
              <w:spacing w:after="0" w:line="20" w:lineRule="exact"/>
              <w:rPr>
                <w:sz w:val="1"/>
                <w:szCs w:val="1"/>
                <w:color w:val="auto"/>
              </w:rPr>
            </w:pPr>
          </w:p>
        </w:tc>
        <w:tc>
          <w:tcPr>
            <w:tcW w:w="5480" w:type="dxa"/>
            <w:vAlign w:val="bottom"/>
            <w:tcBorders>
              <w:left w:val="single" w:sz="8" w:color="026DCE"/>
            </w:tcBorders>
            <w:gridSpan w:val="7"/>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26DCE"/>
                <w:w w:val="90"/>
              </w:rPr>
            </w:pPr>
            <w:hyperlink w:anchor="page43">
              <w:r>
                <w:rPr>
                  <w:rFonts w:ascii="Arial" w:cs="Arial" w:eastAsia="Arial" w:hAnsi="Arial"/>
                  <w:sz w:val="18"/>
                  <w:szCs w:val="18"/>
                  <w:color w:val="026DCE"/>
                  <w:w w:val="90"/>
                </w:rPr>
                <w:t>Item 4.</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43">
              <w:r>
                <w:rPr>
                  <w:rFonts w:ascii="Arial" w:cs="Arial" w:eastAsia="Arial" w:hAnsi="Arial"/>
                  <w:sz w:val="18"/>
                  <w:szCs w:val="18"/>
                  <w:color w:val="026DCE"/>
                </w:rPr>
                <w:t>Controls and Procedures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3">
              <w:r>
                <w:rPr>
                  <w:rFonts w:ascii="Arial" w:cs="Arial" w:eastAsia="Arial" w:hAnsi="Arial"/>
                  <w:sz w:val="18"/>
                  <w:szCs w:val="18"/>
                  <w:color w:val="026DCE"/>
                  <w:w w:val="89"/>
                </w:rPr>
                <w:t>41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960" w:type="dxa"/>
            <w:vAlign w:val="bottom"/>
            <w:tcBorders>
              <w:bottom w:val="single" w:sz="8" w:color="026DCE"/>
            </w:tcBorders>
            <w:gridSpan w:val="10"/>
          </w:tcPr>
          <w:p>
            <w:pPr>
              <w:spacing w:after="0"/>
              <w:rPr>
                <w:rFonts w:ascii="Arial" w:cs="Arial" w:eastAsia="Arial" w:hAnsi="Arial"/>
                <w:sz w:val="18"/>
                <w:szCs w:val="18"/>
                <w:b w:val="1"/>
                <w:bCs w:val="1"/>
                <w:color w:val="026DCE"/>
              </w:rPr>
            </w:pPr>
            <w:hyperlink w:anchor="page43">
              <w:r>
                <w:rPr>
                  <w:rFonts w:ascii="Arial" w:cs="Arial" w:eastAsia="Arial" w:hAnsi="Arial"/>
                  <w:sz w:val="18"/>
                  <w:szCs w:val="18"/>
                  <w:b w:val="1"/>
                  <w:bCs w:val="1"/>
                  <w:color w:val="026DCE"/>
                </w:rPr>
                <w:t>PART II — OTHER INFORMATION</w:t>
              </w:r>
            </w:hyperlink>
          </w:p>
        </w:tc>
        <w:tc>
          <w:tcPr>
            <w:tcW w:w="784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rFonts w:ascii="Arial" w:cs="Arial" w:eastAsia="Arial" w:hAnsi="Arial"/>
                <w:sz w:val="18"/>
                <w:szCs w:val="18"/>
                <w:color w:val="026DCE"/>
                <w:w w:val="90"/>
              </w:rPr>
            </w:pPr>
            <w:hyperlink w:anchor="page43">
              <w:r>
                <w:rPr>
                  <w:rFonts w:ascii="Arial" w:cs="Arial" w:eastAsia="Arial" w:hAnsi="Arial"/>
                  <w:sz w:val="18"/>
                  <w:szCs w:val="18"/>
                  <w:color w:val="026DCE"/>
                  <w:w w:val="90"/>
                </w:rPr>
                <w:t>Item 1.</w:t>
              </w:r>
            </w:hyperlink>
          </w:p>
        </w:tc>
        <w:tc>
          <w:tcPr>
            <w:tcW w:w="440" w:type="dxa"/>
            <w:vAlign w:val="bottom"/>
            <w:gridSpan w:val="2"/>
          </w:tcPr>
          <w:p>
            <w:pPr>
              <w:spacing w:after="0"/>
              <w:rPr>
                <w:sz w:val="21"/>
                <w:szCs w:val="21"/>
                <w:color w:val="auto"/>
              </w:rPr>
            </w:pPr>
          </w:p>
        </w:tc>
        <w:tc>
          <w:tcPr>
            <w:tcW w:w="9840" w:type="dxa"/>
            <w:vAlign w:val="bottom"/>
            <w:gridSpan w:val="18"/>
          </w:tcPr>
          <w:p>
            <w:pPr>
              <w:spacing w:after="0"/>
              <w:rPr>
                <w:rFonts w:ascii="Arial" w:cs="Arial" w:eastAsia="Arial" w:hAnsi="Arial"/>
                <w:sz w:val="18"/>
                <w:szCs w:val="18"/>
                <w:color w:val="026DCE"/>
              </w:rPr>
            </w:pPr>
            <w:hyperlink w:anchor="page43">
              <w:r>
                <w:rPr>
                  <w:rFonts w:ascii="Arial" w:cs="Arial" w:eastAsia="Arial" w:hAnsi="Arial"/>
                  <w:sz w:val="18"/>
                  <w:szCs w:val="18"/>
                  <w:color w:val="026DCE"/>
                </w:rPr>
                <w:t>Legal Proceedings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3">
              <w:r>
                <w:rPr>
                  <w:rFonts w:ascii="Arial" w:cs="Arial" w:eastAsia="Arial" w:hAnsi="Arial"/>
                  <w:sz w:val="18"/>
                  <w:szCs w:val="18"/>
                  <w:color w:val="026DCE"/>
                  <w:w w:val="89"/>
                </w:rPr>
                <w:t>41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shd w:val="clear" w:color="auto" w:fill="026DCE"/>
          </w:tcPr>
          <w:p>
            <w:pPr>
              <w:spacing w:after="0" w:line="20" w:lineRule="exact"/>
              <w:rPr>
                <w:sz w:val="1"/>
                <w:szCs w:val="1"/>
                <w:color w:val="auto"/>
              </w:rPr>
            </w:pPr>
          </w:p>
        </w:tc>
        <w:tc>
          <w:tcPr>
            <w:tcW w:w="1000" w:type="dxa"/>
            <w:vAlign w:val="bottom"/>
            <w:tcBorders>
              <w:left w:val="single" w:sz="8" w:color="026DCE"/>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gridSpan w:val="3"/>
          </w:tcPr>
          <w:p>
            <w:pPr>
              <w:spacing w:after="0"/>
              <w:rPr>
                <w:rFonts w:ascii="Arial" w:cs="Arial" w:eastAsia="Arial" w:hAnsi="Arial"/>
                <w:sz w:val="18"/>
                <w:szCs w:val="18"/>
                <w:color w:val="026DCE"/>
              </w:rPr>
            </w:pPr>
            <w:hyperlink w:anchor="page43">
              <w:r>
                <w:rPr>
                  <w:rFonts w:ascii="Arial" w:cs="Arial" w:eastAsia="Arial" w:hAnsi="Arial"/>
                  <w:sz w:val="18"/>
                  <w:szCs w:val="18"/>
                  <w:color w:val="026DCE"/>
                </w:rPr>
                <w:t>Item 1A.</w:t>
              </w:r>
            </w:hyperlink>
          </w:p>
        </w:tc>
        <w:tc>
          <w:tcPr>
            <w:tcW w:w="9840" w:type="dxa"/>
            <w:vAlign w:val="bottom"/>
            <w:gridSpan w:val="18"/>
          </w:tcPr>
          <w:p>
            <w:pPr>
              <w:spacing w:after="0"/>
              <w:rPr>
                <w:rFonts w:ascii="Arial" w:cs="Arial" w:eastAsia="Arial" w:hAnsi="Arial"/>
                <w:sz w:val="18"/>
                <w:szCs w:val="18"/>
                <w:color w:val="026DCE"/>
              </w:rPr>
            </w:pPr>
            <w:hyperlink w:anchor="page43">
              <w:r>
                <w:rPr>
                  <w:rFonts w:ascii="Arial" w:cs="Arial" w:eastAsia="Arial" w:hAnsi="Arial"/>
                  <w:sz w:val="18"/>
                  <w:szCs w:val="18"/>
                  <w:color w:val="026DCE"/>
                </w:rPr>
                <w:t>Risk Factors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3">
              <w:r>
                <w:rPr>
                  <w:rFonts w:ascii="Arial" w:cs="Arial" w:eastAsia="Arial" w:hAnsi="Arial"/>
                  <w:sz w:val="18"/>
                  <w:szCs w:val="18"/>
                  <w:color w:val="026DCE"/>
                  <w:w w:val="89"/>
                </w:rPr>
                <w:t>41</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26DC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300" w:type="dxa"/>
            <w:vAlign w:val="bottom"/>
            <w:shd w:val="clear" w:color="auto" w:fill="026DC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26DCE"/>
                <w:w w:val="90"/>
              </w:rPr>
            </w:pPr>
            <w:hyperlink w:anchor="page43">
              <w:r>
                <w:rPr>
                  <w:rFonts w:ascii="Arial" w:cs="Arial" w:eastAsia="Arial" w:hAnsi="Arial"/>
                  <w:sz w:val="18"/>
                  <w:szCs w:val="18"/>
                  <w:color w:val="026DCE"/>
                  <w:w w:val="90"/>
                </w:rPr>
                <w:t>Item 2.</w:t>
              </w:r>
            </w:hyperlink>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43">
              <w:r>
                <w:rPr>
                  <w:rFonts w:ascii="Arial" w:cs="Arial" w:eastAsia="Arial" w:hAnsi="Arial"/>
                  <w:sz w:val="18"/>
                  <w:szCs w:val="18"/>
                  <w:color w:val="026DCE"/>
                </w:rPr>
                <w:t>Unregistered Sales of Equity Securities and Use of Proceeds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3">
              <w:r>
                <w:rPr>
                  <w:rFonts w:ascii="Arial" w:cs="Arial" w:eastAsia="Arial" w:hAnsi="Arial"/>
                  <w:sz w:val="18"/>
                  <w:szCs w:val="18"/>
                  <w:color w:val="026DCE"/>
                  <w:w w:val="89"/>
                </w:rPr>
                <w:t>42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720" w:type="dxa"/>
            <w:vAlign w:val="bottom"/>
            <w:gridSpan w:val="2"/>
            <w:shd w:val="clear" w:color="auto" w:fill="026DCE"/>
          </w:tcPr>
          <w:p>
            <w:pPr>
              <w:spacing w:after="0" w:line="20" w:lineRule="exact"/>
              <w:rPr>
                <w:sz w:val="1"/>
                <w:szCs w:val="1"/>
                <w:color w:val="auto"/>
              </w:rPr>
            </w:pPr>
          </w:p>
        </w:tc>
        <w:tc>
          <w:tcPr>
            <w:tcW w:w="1000" w:type="dxa"/>
            <w:vAlign w:val="bottom"/>
            <w:tcBorders>
              <w:left w:val="single" w:sz="8" w:color="026DCE"/>
            </w:tcBorders>
            <w:gridSpan w:val="4"/>
            <w:shd w:val="clear" w:color="auto" w:fill="026DCE"/>
          </w:tcPr>
          <w:p>
            <w:pPr>
              <w:spacing w:after="0" w:line="20" w:lineRule="exact"/>
              <w:rPr>
                <w:sz w:val="1"/>
                <w:szCs w:val="1"/>
                <w:color w:val="auto"/>
              </w:rPr>
            </w:pPr>
          </w:p>
        </w:tc>
        <w:tc>
          <w:tcPr>
            <w:tcW w:w="2040" w:type="dxa"/>
            <w:vAlign w:val="bottom"/>
            <w:tcBorders>
              <w:left w:val="single" w:sz="8" w:color="026DCE"/>
            </w:tcBorders>
            <w:gridSpan w:val="2"/>
            <w:shd w:val="clear" w:color="auto" w:fill="026DCE"/>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26DCE"/>
                <w:w w:val="90"/>
              </w:rPr>
            </w:pPr>
            <w:hyperlink w:anchor="page44">
              <w:r>
                <w:rPr>
                  <w:rFonts w:ascii="Arial" w:cs="Arial" w:eastAsia="Arial" w:hAnsi="Arial"/>
                  <w:sz w:val="18"/>
                  <w:szCs w:val="18"/>
                  <w:color w:val="026DCE"/>
                  <w:w w:val="90"/>
                </w:rPr>
                <w:t>Item 3.</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44">
              <w:r>
                <w:rPr>
                  <w:rFonts w:ascii="Arial" w:cs="Arial" w:eastAsia="Arial" w:hAnsi="Arial"/>
                  <w:sz w:val="18"/>
                  <w:szCs w:val="18"/>
                  <w:color w:val="026DCE"/>
                </w:rPr>
                <w:t>Defaults Upon Senior Securities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4">
              <w:r>
                <w:rPr>
                  <w:rFonts w:ascii="Arial" w:cs="Arial" w:eastAsia="Arial" w:hAnsi="Arial"/>
                  <w:sz w:val="18"/>
                  <w:szCs w:val="18"/>
                  <w:color w:val="026DCE"/>
                  <w:w w:val="89"/>
                </w:rPr>
                <w:t>42</w:t>
              </w:r>
            </w:hyperlink>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26DC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720" w:type="dxa"/>
            <w:vAlign w:val="bottom"/>
            <w:gridSpan w:val="2"/>
            <w:shd w:val="clear" w:color="auto" w:fill="026DCE"/>
          </w:tcPr>
          <w:p>
            <w:pPr>
              <w:spacing w:after="0" w:line="20" w:lineRule="exact"/>
              <w:rPr>
                <w:sz w:val="1"/>
                <w:szCs w:val="1"/>
                <w:color w:val="auto"/>
              </w:rPr>
            </w:pPr>
          </w:p>
        </w:tc>
        <w:tc>
          <w:tcPr>
            <w:tcW w:w="1000" w:type="dxa"/>
            <w:vAlign w:val="bottom"/>
            <w:tcBorders>
              <w:left w:val="single" w:sz="8" w:color="026DCE"/>
            </w:tcBorders>
            <w:gridSpan w:val="4"/>
            <w:shd w:val="clear" w:color="auto" w:fill="026DCE"/>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26DCE"/>
                <w:w w:val="90"/>
              </w:rPr>
            </w:pPr>
            <w:hyperlink w:anchor="page44">
              <w:r>
                <w:rPr>
                  <w:rFonts w:ascii="Arial" w:cs="Arial" w:eastAsia="Arial" w:hAnsi="Arial"/>
                  <w:sz w:val="18"/>
                  <w:szCs w:val="18"/>
                  <w:color w:val="026DCE"/>
                  <w:w w:val="90"/>
                </w:rPr>
                <w:t>Item 4.</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44">
              <w:r>
                <w:rPr>
                  <w:rFonts w:ascii="Arial" w:cs="Arial" w:eastAsia="Arial" w:hAnsi="Arial"/>
                  <w:sz w:val="18"/>
                  <w:szCs w:val="18"/>
                  <w:color w:val="026DCE"/>
                </w:rPr>
                <w:t>Mine Safety Disclosures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4">
              <w:r>
                <w:rPr>
                  <w:rFonts w:ascii="Arial" w:cs="Arial" w:eastAsia="Arial" w:hAnsi="Arial"/>
                  <w:sz w:val="18"/>
                  <w:szCs w:val="18"/>
                  <w:color w:val="026DCE"/>
                  <w:w w:val="89"/>
                </w:rPr>
                <w:t>42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720" w:type="dxa"/>
            <w:vAlign w:val="bottom"/>
            <w:gridSpan w:val="2"/>
            <w:shd w:val="clear" w:color="auto" w:fill="026DCE"/>
          </w:tcPr>
          <w:p>
            <w:pPr>
              <w:spacing w:after="0" w:line="20" w:lineRule="exact"/>
              <w:rPr>
                <w:sz w:val="1"/>
                <w:szCs w:val="1"/>
                <w:color w:val="auto"/>
              </w:rPr>
            </w:pPr>
          </w:p>
        </w:tc>
        <w:tc>
          <w:tcPr>
            <w:tcW w:w="460" w:type="dxa"/>
            <w:vAlign w:val="bottom"/>
            <w:tcBorders>
              <w:left w:val="single" w:sz="8" w:color="026DCE"/>
            </w:tcBorders>
            <w:shd w:val="clear" w:color="auto" w:fill="026DCE"/>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26DCE"/>
                <w:w w:val="90"/>
              </w:rPr>
            </w:pPr>
            <w:hyperlink w:anchor="page44">
              <w:r>
                <w:rPr>
                  <w:rFonts w:ascii="Arial" w:cs="Arial" w:eastAsia="Arial" w:hAnsi="Arial"/>
                  <w:sz w:val="18"/>
                  <w:szCs w:val="18"/>
                  <w:color w:val="026DCE"/>
                  <w:w w:val="90"/>
                </w:rPr>
                <w:t>Item 5.</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44">
              <w:r>
                <w:rPr>
                  <w:rFonts w:ascii="Arial" w:cs="Arial" w:eastAsia="Arial" w:hAnsi="Arial"/>
                  <w:sz w:val="18"/>
                  <w:szCs w:val="18"/>
                  <w:color w:val="026DCE"/>
                </w:rPr>
                <w:t>Other Information</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4">
              <w:r>
                <w:rPr>
                  <w:rFonts w:ascii="Arial" w:cs="Arial" w:eastAsia="Arial" w:hAnsi="Arial"/>
                  <w:sz w:val="18"/>
                  <w:szCs w:val="18"/>
                  <w:color w:val="026DCE"/>
                  <w:w w:val="89"/>
                </w:rPr>
                <w:t>42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720" w:type="dxa"/>
            <w:vAlign w:val="bottom"/>
            <w:gridSpan w:val="2"/>
            <w:shd w:val="clear" w:color="auto" w:fill="026DCE"/>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26DCE"/>
                <w:w w:val="90"/>
              </w:rPr>
            </w:pPr>
            <w:hyperlink w:anchor="page44">
              <w:r>
                <w:rPr>
                  <w:rFonts w:ascii="Arial" w:cs="Arial" w:eastAsia="Arial" w:hAnsi="Arial"/>
                  <w:sz w:val="18"/>
                  <w:szCs w:val="18"/>
                  <w:color w:val="026DCE"/>
                  <w:w w:val="90"/>
                </w:rPr>
                <w:t>Item 6.</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26DCE"/>
              </w:rPr>
            </w:pPr>
            <w:hyperlink w:anchor="page44">
              <w:r>
                <w:rPr>
                  <w:rFonts w:ascii="Arial" w:cs="Arial" w:eastAsia="Arial" w:hAnsi="Arial"/>
                  <w:sz w:val="18"/>
                  <w:szCs w:val="18"/>
                  <w:color w:val="026DCE"/>
                </w:rPr>
                <w:t>Exhibits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4">
              <w:r>
                <w:rPr>
                  <w:rFonts w:ascii="Arial" w:cs="Arial" w:eastAsia="Arial" w:hAnsi="Arial"/>
                  <w:sz w:val="18"/>
                  <w:szCs w:val="18"/>
                  <w:color w:val="026DCE"/>
                  <w:w w:val="89"/>
                </w:rPr>
                <w:t>43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shd w:val="clear" w:color="auto" w:fill="026DCE"/>
          </w:tcPr>
          <w:p>
            <w:pPr>
              <w:spacing w:after="0" w:line="20" w:lineRule="exact"/>
              <w:rPr>
                <w:sz w:val="1"/>
                <w:szCs w:val="1"/>
                <w:color w:val="auto"/>
              </w:rPr>
            </w:pPr>
          </w:p>
        </w:tc>
        <w:tc>
          <w:tcPr>
            <w:tcW w:w="9240" w:type="dxa"/>
            <w:vAlign w:val="bottom"/>
            <w:gridSpan w:val="15"/>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0" w:type="dxa"/>
            <w:vAlign w:val="bottom"/>
            <w:gridSpan w:val="21"/>
          </w:tcPr>
          <w:p>
            <w:pPr>
              <w:spacing w:after="0"/>
              <w:rPr>
                <w:rFonts w:ascii="Arial" w:cs="Arial" w:eastAsia="Arial" w:hAnsi="Arial"/>
                <w:sz w:val="18"/>
                <w:szCs w:val="18"/>
                <w:b w:val="1"/>
                <w:bCs w:val="1"/>
                <w:color w:val="026DCE"/>
              </w:rPr>
            </w:pPr>
            <w:hyperlink w:anchor="page45">
              <w:r>
                <w:rPr>
                  <w:rFonts w:ascii="Arial" w:cs="Arial" w:eastAsia="Arial" w:hAnsi="Arial"/>
                  <w:sz w:val="18"/>
                  <w:szCs w:val="18"/>
                  <w:b w:val="1"/>
                  <w:bCs w:val="1"/>
                  <w:color w:val="026DCE"/>
                </w:rPr>
                <w:t>SIGNATURES</w:t>
              </w:r>
            </w:hyperlink>
          </w:p>
        </w:tc>
        <w:tc>
          <w:tcPr>
            <w:tcW w:w="580" w:type="dxa"/>
            <w:vAlign w:val="bottom"/>
            <w:gridSpan w:val="3"/>
          </w:tcPr>
          <w:p>
            <w:pPr>
              <w:jc w:val="center"/>
              <w:spacing w:after="0"/>
              <w:rPr>
                <w:rFonts w:ascii="Arial" w:cs="Arial" w:eastAsia="Arial" w:hAnsi="Arial"/>
                <w:sz w:val="18"/>
                <w:szCs w:val="18"/>
                <w:color w:val="026DCE"/>
                <w:w w:val="89"/>
              </w:rPr>
            </w:pPr>
            <w:hyperlink w:anchor="page45">
              <w:r>
                <w:rPr>
                  <w:rFonts w:ascii="Arial" w:cs="Arial" w:eastAsia="Arial" w:hAnsi="Arial"/>
                  <w:sz w:val="18"/>
                  <w:szCs w:val="18"/>
                  <w:color w:val="026DCE"/>
                  <w:w w:val="89"/>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26DCE"/>
          </w:tcPr>
          <w:p>
            <w:pPr>
              <w:spacing w:after="0" w:line="20" w:lineRule="exact"/>
              <w:rPr>
                <w:sz w:val="1"/>
                <w:szCs w:val="1"/>
                <w:color w:val="auto"/>
              </w:rPr>
            </w:pPr>
          </w:p>
        </w:tc>
        <w:tc>
          <w:tcPr>
            <w:tcW w:w="120" w:type="dxa"/>
            <w:vAlign w:val="bottom"/>
            <w:shd w:val="clear" w:color="auto" w:fill="026DCE"/>
          </w:tcPr>
          <w:p>
            <w:pPr>
              <w:spacing w:after="0" w:line="20" w:lineRule="exact"/>
              <w:rPr>
                <w:sz w:val="1"/>
                <w:szCs w:val="1"/>
                <w:color w:val="auto"/>
              </w:rPr>
            </w:pPr>
          </w:p>
        </w:tc>
        <w:tc>
          <w:tcPr>
            <w:tcW w:w="320" w:type="dxa"/>
            <w:vAlign w:val="bottom"/>
            <w:shd w:val="clear" w:color="auto" w:fill="026DCE"/>
          </w:tcPr>
          <w:p>
            <w:pPr>
              <w:spacing w:after="0" w:line="20" w:lineRule="exact"/>
              <w:rPr>
                <w:sz w:val="1"/>
                <w:szCs w:val="1"/>
                <w:color w:val="auto"/>
              </w:rPr>
            </w:pPr>
          </w:p>
        </w:tc>
        <w:tc>
          <w:tcPr>
            <w:tcW w:w="20" w:type="dxa"/>
            <w:vAlign w:val="bottom"/>
            <w:shd w:val="clear" w:color="auto" w:fill="026DCE"/>
          </w:tcPr>
          <w:p>
            <w:pPr>
              <w:spacing w:after="0" w:line="20" w:lineRule="exact"/>
              <w:rPr>
                <w:sz w:val="1"/>
                <w:szCs w:val="1"/>
                <w:color w:val="auto"/>
              </w:rPr>
            </w:pPr>
          </w:p>
        </w:tc>
        <w:tc>
          <w:tcPr>
            <w:tcW w:w="180" w:type="dxa"/>
            <w:vAlign w:val="bottom"/>
            <w:shd w:val="clear" w:color="auto" w:fill="026DC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right w:val="single" w:sz="8" w:color="026DCE"/>
            </w:tcBorders>
          </w:tcPr>
          <w:p>
            <w:pPr>
              <w:spacing w:after="0" w:line="20" w:lineRule="exact"/>
              <w:rPr>
                <w:sz w:val="1"/>
                <w:szCs w:val="1"/>
                <w:color w:val="auto"/>
              </w:rPr>
            </w:pPr>
          </w:p>
        </w:tc>
        <w:tc>
          <w:tcPr>
            <w:tcW w:w="80" w:type="dxa"/>
            <w:vAlign w:val="bottom"/>
            <w:shd w:val="clear" w:color="auto" w:fill="026DCE"/>
          </w:tcPr>
          <w:p>
            <w:pPr>
              <w:spacing w:after="0" w:line="20" w:lineRule="exact"/>
              <w:rPr>
                <w:sz w:val="1"/>
                <w:szCs w:val="1"/>
                <w:color w:val="auto"/>
              </w:rPr>
            </w:pPr>
          </w:p>
        </w:tc>
        <w:tc>
          <w:tcPr>
            <w:tcW w:w="240" w:type="dxa"/>
            <w:vAlign w:val="bottom"/>
            <w:tcBorders>
              <w:left w:val="single" w:sz="8" w:color="026D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1094" w:right="259" w:bottom="1440" w:gutter="0" w:footer="0" w:header="0"/>
        </w:sectPr>
      </w:pPr>
    </w:p>
    <w:bookmarkStart w:id="2" w:name="page3"/>
    <w:bookmarkEnd w:id="2"/>
    <w:p>
      <w:pPr>
        <w:spacing w:after="0"/>
        <w:rPr>
          <w:rFonts w:ascii="Arial" w:cs="Arial" w:eastAsia="Arial" w:hAnsi="Arial"/>
          <w:sz w:val="18"/>
          <w:szCs w:val="18"/>
          <w:u w:val="single" w:color="auto"/>
          <w:color w:val="026DCE"/>
        </w:rPr>
      </w:pPr>
      <w:hyperlink w:anchor="page1">
        <w:r>
          <w:rPr>
            <w:rFonts w:ascii="Arial" w:cs="Arial" w:eastAsia="Arial" w:hAnsi="Arial"/>
            <w:sz w:val="18"/>
            <w:szCs w:val="18"/>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8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1,637,671</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1,101,215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1,034,842</w:t>
            </w:r>
          </w:p>
        </w:tc>
      </w:tr>
      <w:tr>
        <w:trPr>
          <w:trHeight w:val="27"/>
        </w:trPr>
        <w:tc>
          <w:tcPr>
            <w:tcW w:w="8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602,829</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435,026</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167,803</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35,640</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(2,058)</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134,251</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109,410</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22,025</w:t>
            </w:r>
          </w:p>
        </w:tc>
      </w:tr>
      <w:tr>
        <w:trPr>
          <w:trHeight w:val="264"/>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131,435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Earnings per share from continuing operations: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43"/>
        </w:trPr>
        <w:tc>
          <w:tcPr>
            <w:tcW w:w="8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43"/>
        </w:trPr>
        <w:tc>
          <w:tcPr>
            <w:tcW w:w="8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154,520</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157,090</w:t>
            </w:r>
          </w:p>
        </w:tc>
      </w:tr>
      <w:tr>
        <w:trPr>
          <w:trHeight w:val="27"/>
        </w:trPr>
        <w:tc>
          <w:tcPr>
            <w:tcW w:w="8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26DCE"/>
        </w:rPr>
      </w:pPr>
      <w:hyperlink w:anchor="page1">
        <w:r>
          <w:rPr>
            <w:rFonts w:ascii="Arial" w:cs="Arial" w:eastAsia="Arial" w:hAnsi="Arial"/>
            <w:sz w:val="18"/>
            <w:szCs w:val="18"/>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524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95"/>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131,435</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earnings, net of tax</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40"/>
              <w:spacing w:after="0"/>
              <w:rPr>
                <w:sz w:val="20"/>
                <w:szCs w:val="20"/>
                <w:color w:val="auto"/>
              </w:rPr>
            </w:pPr>
            <w:r>
              <w:rPr>
                <w:rFonts w:ascii="Arial" w:cs="Arial" w:eastAsia="Arial" w:hAnsi="Arial"/>
                <w:sz w:val="18"/>
                <w:szCs w:val="18"/>
                <w:color w:val="auto"/>
              </w:rPr>
              <w:t>Foreign currency translation gains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52,308</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20"/>
              <w:spacing w:after="0"/>
              <w:rPr>
                <w:sz w:val="20"/>
                <w:szCs w:val="20"/>
                <w:color w:val="auto"/>
              </w:rPr>
            </w:pPr>
            <w:r>
              <w:rPr>
                <w:rFonts w:ascii="Arial" w:cs="Arial" w:eastAsia="Arial" w:hAnsi="Arial"/>
                <w:sz w:val="18"/>
                <w:szCs w:val="18"/>
                <w:color w:val="auto"/>
              </w:rPr>
              <w:t>Total foreign currency translation adjustments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52,308</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40"/>
              <w:spacing w:after="0"/>
              <w:rPr>
                <w:sz w:val="20"/>
                <w:szCs w:val="20"/>
                <w:color w:val="auto"/>
              </w:rPr>
            </w:pPr>
            <w:r>
              <w:rPr>
                <w:rFonts w:ascii="Arial" w:cs="Arial" w:eastAsia="Arial" w:hAnsi="Arial"/>
                <w:sz w:val="18"/>
                <w:szCs w:val="18"/>
                <w:color w:val="auto"/>
              </w:rPr>
              <w:t>Amortization of actuarial losses included in net periodic pension cost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1,939</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Amortization of prior service costs included in net periodic pension cost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37"/>
        </w:trPr>
        <w:tc>
          <w:tcPr>
            <w:tcW w:w="8120" w:type="dxa"/>
            <w:vAlign w:val="bottom"/>
          </w:tcPr>
          <w:p>
            <w:pPr>
              <w:ind w:left="20"/>
              <w:spacing w:after="0"/>
              <w:rPr>
                <w:sz w:val="20"/>
                <w:szCs w:val="20"/>
                <w:color w:val="auto"/>
              </w:rPr>
            </w:pPr>
            <w:r>
              <w:rPr>
                <w:rFonts w:ascii="Arial" w:cs="Arial" w:eastAsia="Arial" w:hAnsi="Arial"/>
                <w:sz w:val="18"/>
                <w:szCs w:val="18"/>
                <w:color w:val="auto"/>
              </w:rPr>
              <w:t>Total pension and other post-retirement benefit plans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40"/>
              <w:spacing w:after="0"/>
              <w:rPr>
                <w:sz w:val="20"/>
                <w:szCs w:val="20"/>
                <w:color w:val="auto"/>
              </w:rPr>
            </w:pPr>
            <w:r>
              <w:rPr>
                <w:rFonts w:ascii="Arial" w:cs="Arial" w:eastAsia="Arial" w:hAnsi="Arial"/>
                <w:sz w:val="18"/>
                <w:szCs w:val="18"/>
                <w:color w:val="auto"/>
              </w:rPr>
              <w:t>Unrealized net gains arising during period</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gains reclassified into earnings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8120" w:type="dxa"/>
            <w:vAlign w:val="bottom"/>
          </w:tcPr>
          <w:p>
            <w:pPr>
              <w:ind w:left="20"/>
              <w:spacing w:after="0"/>
              <w:rPr>
                <w:sz w:val="20"/>
                <w:szCs w:val="20"/>
                <w:color w:val="auto"/>
              </w:rPr>
            </w:pPr>
            <w:r>
              <w:rPr>
                <w:rFonts w:ascii="Arial" w:cs="Arial" w:eastAsia="Arial" w:hAnsi="Arial"/>
                <w:sz w:val="18"/>
                <w:szCs w:val="18"/>
                <w:color w:val="auto"/>
              </w:rPr>
              <w:t>Total cash flow hedges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earnings,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56,099</w:t>
            </w:r>
          </w:p>
        </w:tc>
      </w:tr>
      <w:tr>
        <w:trPr>
          <w:trHeight w:val="264"/>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187,534</w:t>
            </w:r>
          </w:p>
        </w:tc>
      </w:tr>
      <w:tr>
        <w:trPr>
          <w:trHeight w:val="21"/>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26DCE"/>
        </w:rPr>
      </w:pPr>
      <w:hyperlink w:anchor="page1">
        <w:r>
          <w:rPr>
            <w:rFonts w:ascii="Arial" w:cs="Arial" w:eastAsia="Arial" w:hAnsi="Arial"/>
            <w:sz w:val="18"/>
            <w:szCs w:val="18"/>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4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396,221</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Receivables, net of allowances of $29,116 and $28,469</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1,272,053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1,231,859</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748,796</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141,891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126,878</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Assets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280" w:type="dxa"/>
            <w:vAlign w:val="bottom"/>
          </w:tcPr>
          <w:p>
            <w:pPr>
              <w:ind w:left="7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2,529,466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2,503,754</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806,497</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3,777,277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3,677,328</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1,134,256</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404,350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243,936</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8,657,911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8,365,771</w:t>
            </w:r>
          </w:p>
        </w:tc>
      </w:tr>
      <w:tr>
        <w:trPr>
          <w:trHeight w:val="243"/>
        </w:trPr>
        <w:tc>
          <w:tcPr>
            <w:tcW w:w="7280" w:type="dxa"/>
            <w:vAlign w:val="bottom"/>
          </w:tcPr>
          <w:p>
            <w:pPr>
              <w:ind w:left="4320"/>
              <w:spacing w:after="0"/>
              <w:rPr>
                <w:sz w:val="20"/>
                <w:szCs w:val="20"/>
                <w:color w:val="auto"/>
              </w:rPr>
            </w:pPr>
            <w:r>
              <w:rPr>
                <w:rFonts w:ascii="Arial" w:cs="Arial" w:eastAsia="Arial" w:hAnsi="Arial"/>
                <w:sz w:val="18"/>
                <w:szCs w:val="18"/>
                <w:b w:val="1"/>
                <w:bCs w:val="1"/>
                <w:color w:val="auto"/>
                <w:w w:val="96"/>
              </w:rPr>
              <w:t>Liabilities and Stockholders' Equity</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Notes payable and current maturities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346,255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220,318</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969,531</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Accrued compensation and employee benefits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176,726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212,666</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Accrued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97,600</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337,417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313,452</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 and other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13,854</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Liabilities held for sale</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1,946,922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1,827,421</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2,940,967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2,943,660</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339,325</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54,304</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432,395</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2,837,453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2,768,666</w:t>
            </w:r>
          </w:p>
        </w:tc>
      </w:tr>
      <w:tr>
        <w:trPr>
          <w:trHeight w:val="264"/>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8,657,911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8,365,771</w:t>
            </w:r>
          </w:p>
        </w:tc>
      </w:tr>
      <w:tr>
        <w:trPr>
          <w:trHeight w:val="21"/>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26DCE"/>
        </w:rPr>
      </w:pPr>
      <w:hyperlink w:anchor="page1">
        <w:r>
          <w:rPr>
            <w:rFonts w:ascii="Arial" w:cs="Arial" w:eastAsia="Arial" w:hAnsi="Arial"/>
            <w:sz w:val="18"/>
            <w:szCs w:val="18"/>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 other</w:t>
            </w: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24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 stock</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Additional paid-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3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(loss) earnings</w:t>
            </w: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886,016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2"/>
              </w:rPr>
              <w:t>(5,947,562)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7,815,486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2,768,666</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105,705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105,705</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($0.48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(69,809)</w:t>
            </w:r>
          </w:p>
        </w:tc>
      </w:tr>
      <w:tr>
        <w:trPr>
          <w:trHeight w:val="220"/>
        </w:trPr>
        <w:tc>
          <w:tcPr>
            <w:tcW w:w="3240" w:type="dxa"/>
            <w:vAlign w:val="bottom"/>
          </w:tcPr>
          <w:p>
            <w:pPr>
              <w:ind w:left="20"/>
              <w:spacing w:after="0"/>
              <w:rPr>
                <w:sz w:val="20"/>
                <w:szCs w:val="20"/>
                <w:color w:val="auto"/>
              </w:rPr>
            </w:pPr>
            <w:r>
              <w:rPr>
                <w:rFonts w:ascii="Arial" w:cs="Arial" w:eastAsia="Arial" w:hAnsi="Arial"/>
                <w:sz w:val="16"/>
                <w:szCs w:val="16"/>
                <w:color w:val="auto"/>
                <w:w w:val="94"/>
              </w:rPr>
              <w:t>Common stock issued for the exercise of share-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324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(19,608)</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8,182</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52,150</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(7,833)</w:t>
            </w:r>
          </w:p>
        </w:tc>
      </w:tr>
      <w:tr>
        <w:trPr>
          <w:trHeight w:val="247"/>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258,214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866,365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2"/>
              </w:rPr>
              <w:t>(5,947,562)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7,851,382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(190,946)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2,837,453</w:t>
            </w:r>
          </w:p>
        </w:tc>
      </w:tr>
      <w:tr>
        <w:trPr>
          <w:trHeight w:val="24"/>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 other</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Additional</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comprehensive</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Total stockholders'</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paid-in capital</w:t>
            </w: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(loss) earnings</w:t>
            </w:r>
          </w:p>
        </w:tc>
        <w:tc>
          <w:tcPr>
            <w:tcW w:w="36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256,992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942,485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(5,077,039)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8,455,501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(194,759)</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4,383,180</w:t>
            </w:r>
          </w:p>
        </w:tc>
        <w:tc>
          <w:tcPr>
            <w:tcW w:w="0" w:type="dxa"/>
            <w:vAlign w:val="bottom"/>
          </w:tcPr>
          <w:p>
            <w:pPr>
              <w:spacing w:after="0"/>
              <w:rPr>
                <w:sz w:val="1"/>
                <w:szCs w:val="1"/>
                <w:color w:val="auto"/>
              </w:rPr>
            </w:pPr>
          </w:p>
        </w:tc>
      </w:tr>
      <w:tr>
        <w:trPr>
          <w:trHeight w:val="254"/>
        </w:trPr>
        <w:tc>
          <w:tcPr>
            <w:tcW w:w="3260" w:type="dxa"/>
            <w:vAlign w:val="bottom"/>
          </w:tcPr>
          <w:p>
            <w:pPr>
              <w:ind w:left="20"/>
              <w:spacing w:after="0"/>
              <w:rPr>
                <w:sz w:val="20"/>
                <w:szCs w:val="20"/>
                <w:color w:val="auto"/>
              </w:rPr>
            </w:pPr>
            <w:r>
              <w:rPr>
                <w:rFonts w:ascii="Arial" w:cs="Arial" w:eastAsia="Arial" w:hAnsi="Arial"/>
                <w:sz w:val="16"/>
                <w:szCs w:val="16"/>
                <w:color w:val="auto"/>
              </w:rPr>
              <w:t>Adoption of ASU 2018-02</w:t>
            </w:r>
          </w:p>
        </w:tc>
        <w:tc>
          <w:tcPr>
            <w:tcW w:w="2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(12,856)</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Cumulative catch-up adjustment related to</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Topic 606</w:t>
            </w: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131,435</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($0.47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(72,691)</w:t>
            </w:r>
          </w:p>
        </w:tc>
        <w:tc>
          <w:tcPr>
            <w:tcW w:w="0" w:type="dxa"/>
            <w:vAlign w:val="bottom"/>
          </w:tcPr>
          <w:p>
            <w:pPr>
              <w:spacing w:after="0"/>
              <w:rPr>
                <w:sz w:val="1"/>
                <w:szCs w:val="1"/>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w w:val="95"/>
              </w:rPr>
              <w:t>Common stock issued for the exercise of share-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6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(14,939)</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7,314</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(44,977)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56,099</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56,099</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2018</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257,282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934,596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(5,122,016)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8,527,276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(151,516)</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4,445,622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26DCE"/>
        </w:rPr>
      </w:pPr>
      <w:hyperlink w:anchor="page1">
        <w:r>
          <w:rPr>
            <w:rFonts w:ascii="Arial" w:cs="Arial" w:eastAsia="Arial" w:hAnsi="Arial"/>
            <w:sz w:val="18"/>
            <w:szCs w:val="18"/>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131,435</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cash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Earnings from discontinued operations, net</w:t>
            </w:r>
          </w:p>
        </w:tc>
        <w:tc>
          <w:tcPr>
            <w:tcW w:w="2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(22,025)</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Loss on 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68,625</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(5,440)</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22,781</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(63,554)</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(14,778)</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Accrued compensation and employee benefits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(69,554)</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(36,029)</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Accrued and deferred taxes,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4,019</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(44,678)</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(175,083)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(68,385)</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Proceeds from sale of businesses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(13,763)</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(122,597)</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8140" w:type="dxa"/>
            <w:vAlign w:val="bottom"/>
          </w:tcPr>
          <w:p>
            <w:pPr>
              <w:ind w:left="66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(44,977)</w:t>
            </w: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Change in commercial paper and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195,066</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Dividends paid to stockholders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(72,691)</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(14,943)</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(289,103)</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19,963</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 of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(13,426)</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discontinued operations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6,537</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(386,742)</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753,964</w:t>
            </w:r>
          </w:p>
        </w:tc>
      </w:tr>
      <w:tr>
        <w:trPr>
          <w:trHeight w:val="264"/>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367,222</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7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125" w:right="259" w:bottom="708" w:gutter="0" w:footer="0" w:header="0"/>
          <w:type w:val="continuous"/>
        </w:sectPr>
      </w:pPr>
    </w:p>
    <w:bookmarkStart w:id="7" w:name="page8"/>
    <w:bookmarkEnd w:id="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2018, included in the Company's Annual Report on Form 10-K filed with the SEC on February 15, 2019. The year end Condensed Consolidated Balance Sheet was derived from audited financial statements. Certain amounts in the prior periods have been reclassified to conform to the current year presentation.</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9, 2018, the Company completed a pro-rata distribution of the common stock of Apergy Corporation ("Apergy") to the Company's shareholders of record as of the close of business on April 30, 2018. Apergy holds entities conducting upstream energy businesses previously included in the Energy segment. As discussed in Note 5 - Discontinued and Disposed Operations, the Apergy businesses met the criteria to be reported as discontinued operations because the spin-off is a strategic shift in business that has a major effect on the Company's operations and financial results. Therefore, the Company is reporting the historical results of Apergy, including the results of operations, cash flows, and related assets and liabilities, as discontinued operations for all periods presented herein. Subsequent to the spin-off of Apergy, effective the second quarter of 2018, the Company no longer has the Energy segment and is aligned into three reportable segments. See Note 18 —Segment Information for additional information regarding the updated segments, including segment results for the three months ended March 31, 2019 and 2018. Unless otherwise noted, the accompanying Notes to the Consolidated Financial Statements have all been revised to reflect the effect of the separation of Apergy and all prior year balances have been revised accordingly to reflect continuing operations only.</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Spin-off of Apergy Corporation</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May 9, 2018, Dover completed the distribution of Apergy to its shareholders. The transaction was completed through the pro rata distribution of 100% of the common stock of Apergy to Dover's shareholders of record as of the close of business on April 30, 2018. Each Dover shareholder received one share of Apergy common stock for every two shares of Dover common stock held as of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color w:val="026DCE"/>
        </w:rPr>
      </w:pPr>
      <w:hyperlink w:anchor="page1">
        <w:r>
          <w:rPr>
            <w:rFonts w:ascii="Arial" w:cs="Arial" w:eastAsia="Arial" w:hAnsi="Arial"/>
            <w:sz w:val="16"/>
            <w:szCs w:val="16"/>
            <w:color w:val="026DCE"/>
          </w:rPr>
          <w:t>Table of Contents</w:t>
        </w:r>
      </w:hyperlink>
    </w:p>
    <w:tbl>
      <w:tblPr>
        <w:tblLayout w:type="fixed"/>
        <w:tblInd w:w="0" w:type="dxa"/>
        <w:tblCellMar>
          <w:top w:w="0" w:type="dxa"/>
          <w:left w:w="0" w:type="dxa"/>
          <w:bottom w:w="0" w:type="dxa"/>
          <w:right w:w="0" w:type="dxa"/>
        </w:tblCellMar>
      </w:tblPr>
      <w:tr>
        <w:trPr>
          <w:trHeight w:val="182"/>
        </w:trPr>
        <w:tc>
          <w:tcPr>
            <w:tcW w:w="20" w:type="dxa"/>
            <w:vAlign w:val="bottom"/>
            <w:tcBorders>
              <w:top w:val="single" w:sz="8" w:color="026DCE"/>
            </w:tcBorders>
          </w:tcPr>
          <w:p>
            <w:pPr>
              <w:spacing w:after="0"/>
              <w:rPr>
                <w:sz w:val="15"/>
                <w:szCs w:val="15"/>
                <w:color w:val="auto"/>
              </w:rPr>
            </w:pPr>
          </w:p>
        </w:tc>
        <w:tc>
          <w:tcPr>
            <w:tcW w:w="1140" w:type="dxa"/>
            <w:vAlign w:val="bottom"/>
            <w:tcBorders>
              <w:top w:val="single" w:sz="8" w:color="026DCE"/>
            </w:tcBorders>
          </w:tcPr>
          <w:p>
            <w:pPr>
              <w:spacing w:after="0"/>
              <w:rPr>
                <w:sz w:val="15"/>
                <w:szCs w:val="15"/>
                <w:color w:val="auto"/>
              </w:rPr>
            </w:pPr>
          </w:p>
        </w:tc>
        <w:tc>
          <w:tcPr>
            <w:tcW w:w="8040" w:type="dxa"/>
            <w:vAlign w:val="bottom"/>
          </w:tcPr>
          <w:p>
            <w:pPr>
              <w:jc w:val="center"/>
              <w:ind w:left="999"/>
              <w:spacing w:after="0" w:line="182" w:lineRule="exact"/>
              <w:rPr>
                <w:sz w:val="20"/>
                <w:szCs w:val="20"/>
                <w:color w:val="auto"/>
              </w:rPr>
            </w:pPr>
            <w:r>
              <w:rPr>
                <w:rFonts w:ascii="Arial" w:cs="Arial" w:eastAsia="Arial" w:hAnsi="Arial"/>
                <w:sz w:val="16"/>
                <w:szCs w:val="16"/>
                <w:b w:val="1"/>
                <w:bCs w:val="1"/>
                <w:color w:val="auto"/>
              </w:rPr>
              <w:t>DOVER CORPORATION</w:t>
            </w: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40" w:type="dxa"/>
            <w:vAlign w:val="bottom"/>
          </w:tcPr>
          <w:p>
            <w:pPr>
              <w:jc w:val="center"/>
              <w:ind w:left="979"/>
              <w:spacing w:after="0"/>
              <w:rPr>
                <w:sz w:val="20"/>
                <w:szCs w:val="20"/>
                <w:color w:val="auto"/>
              </w:rPr>
            </w:pPr>
            <w:r>
              <w:rPr>
                <w:rFonts w:ascii="Arial" w:cs="Arial" w:eastAsia="Arial" w:hAnsi="Arial"/>
                <w:sz w:val="16"/>
                <w:szCs w:val="16"/>
                <w:b w:val="1"/>
                <w:bCs w:val="1"/>
                <w:color w:val="auto"/>
              </w:rPr>
              <w:t>NOTES TO CONDENSED CONSOLIDATED FINANCIAL STATEMENTS</w:t>
            </w: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40" w:type="dxa"/>
            <w:vAlign w:val="bottom"/>
          </w:tcPr>
          <w:p>
            <w:pPr>
              <w:jc w:val="center"/>
              <w:ind w:left="999"/>
              <w:spacing w:after="0"/>
              <w:rPr>
                <w:sz w:val="20"/>
                <w:szCs w:val="20"/>
                <w:color w:val="auto"/>
              </w:rPr>
            </w:pPr>
            <w:r>
              <w:rPr>
                <w:rFonts w:ascii="Arial" w:cs="Arial" w:eastAsia="Arial" w:hAnsi="Arial"/>
                <w:sz w:val="16"/>
                <w:szCs w:val="16"/>
                <w:b w:val="1"/>
                <w:bCs w:val="1"/>
                <w:color w:val="auto"/>
                <w:w w:val="90"/>
              </w:rPr>
              <w:t>(Amounts in thousands except share data and where otherwise indicated) (Unaudited)</w:t>
            </w: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587"/>
        </w:trPr>
        <w:tc>
          <w:tcPr>
            <w:tcW w:w="9200" w:type="dxa"/>
            <w:vAlign w:val="bottom"/>
            <w:gridSpan w:val="3"/>
          </w:tcPr>
          <w:p>
            <w:pPr>
              <w:spacing w:after="0"/>
              <w:rPr>
                <w:sz w:val="20"/>
                <w:szCs w:val="20"/>
                <w:color w:val="auto"/>
              </w:rPr>
            </w:pPr>
            <w:r>
              <w:rPr>
                <w:rFonts w:ascii="Arial" w:cs="Arial" w:eastAsia="Arial" w:hAnsi="Arial"/>
                <w:sz w:val="18"/>
                <w:szCs w:val="18"/>
                <w:color w:val="auto"/>
                <w:w w:val="97"/>
              </w:rPr>
              <w:t>The following is a summary of the assets and liabilities transferred to Apergy as part of the separation on May 9, 2018:</w:t>
            </w: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91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10,357</w:t>
            </w:r>
          </w:p>
        </w:tc>
      </w:tr>
      <w:tr>
        <w:trPr>
          <w:trHeight w:val="27"/>
        </w:trPr>
        <w:tc>
          <w:tcPr>
            <w:tcW w:w="20" w:type="dxa"/>
            <w:vAlign w:val="bottom"/>
          </w:tcPr>
          <w:p>
            <w:pPr>
              <w:spacing w:after="0"/>
              <w:rPr>
                <w:sz w:val="2"/>
                <w:szCs w:val="2"/>
                <w:color w:val="auto"/>
              </w:rPr>
            </w:pPr>
          </w:p>
        </w:tc>
        <w:tc>
          <w:tcPr>
            <w:tcW w:w="91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7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462,620</w:t>
            </w:r>
          </w:p>
        </w:tc>
      </w:tr>
      <w:tr>
        <w:trPr>
          <w:trHeight w:val="243"/>
        </w:trPr>
        <w:tc>
          <w:tcPr>
            <w:tcW w:w="20" w:type="dxa"/>
            <w:vAlign w:val="bottom"/>
          </w:tcPr>
          <w:p>
            <w:pPr>
              <w:spacing w:after="0"/>
              <w:rPr>
                <w:sz w:val="21"/>
                <w:szCs w:val="21"/>
                <w:color w:val="auto"/>
              </w:rPr>
            </w:pP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7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1,438,760</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1,911,737</w:t>
            </w:r>
          </w:p>
        </w:tc>
      </w:tr>
      <w:tr>
        <w:trPr>
          <w:trHeight w:val="223"/>
        </w:trPr>
        <w:tc>
          <w:tcPr>
            <w:tcW w:w="20" w:type="dxa"/>
            <w:vAlign w:val="bottom"/>
          </w:tcPr>
          <w:p>
            <w:pPr>
              <w:spacing w:after="0"/>
              <w:rPr>
                <w:sz w:val="19"/>
                <w:szCs w:val="19"/>
                <w:color w:val="auto"/>
              </w:rPr>
            </w:pPr>
          </w:p>
        </w:tc>
        <w:tc>
          <w:tcPr>
            <w:tcW w:w="91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7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91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185,354</w:t>
            </w:r>
          </w:p>
        </w:tc>
      </w:tr>
      <w:tr>
        <w:trPr>
          <w:trHeight w:val="243"/>
        </w:trPr>
        <w:tc>
          <w:tcPr>
            <w:tcW w:w="20" w:type="dxa"/>
            <w:vAlign w:val="bottom"/>
          </w:tcPr>
          <w:p>
            <w:pPr>
              <w:spacing w:after="0"/>
              <w:rPr>
                <w:sz w:val="21"/>
                <w:szCs w:val="21"/>
                <w:color w:val="auto"/>
              </w:rPr>
            </w:pP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7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119,568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80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304,922</w:t>
            </w:r>
          </w:p>
        </w:tc>
      </w:tr>
      <w:tr>
        <w:trPr>
          <w:trHeight w:val="20"/>
        </w:trPr>
        <w:tc>
          <w:tcPr>
            <w:tcW w:w="20" w:type="dxa"/>
            <w:vAlign w:val="bottom"/>
          </w:tcPr>
          <w:p>
            <w:pPr>
              <w:spacing w:after="0" w:line="20" w:lineRule="exact"/>
              <w:rPr>
                <w:sz w:val="1"/>
                <w:szCs w:val="1"/>
                <w:color w:val="auto"/>
              </w:rPr>
            </w:pPr>
          </w:p>
        </w:tc>
        <w:tc>
          <w:tcPr>
            <w:tcW w:w="918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distributed to Apergy Corporation</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1,606,815</w:t>
            </w:r>
          </w:p>
        </w:tc>
      </w:tr>
      <w:tr>
        <w:trPr>
          <w:trHeight w:val="237"/>
        </w:trPr>
        <w:tc>
          <w:tcPr>
            <w:tcW w:w="20" w:type="dxa"/>
            <w:vAlign w:val="bottom"/>
          </w:tcPr>
          <w:p>
            <w:pPr>
              <w:spacing w:after="0"/>
              <w:rPr>
                <w:sz w:val="20"/>
                <w:szCs w:val="20"/>
                <w:color w:val="auto"/>
              </w:rPr>
            </w:pP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Less: Cash received from Apergy Corporation</w:t>
            </w:r>
          </w:p>
        </w:tc>
        <w:tc>
          <w:tcPr>
            <w:tcW w:w="7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700,000</w:t>
            </w:r>
          </w:p>
        </w:tc>
      </w:tr>
      <w:tr>
        <w:trPr>
          <w:trHeight w:val="27"/>
        </w:trPr>
        <w:tc>
          <w:tcPr>
            <w:tcW w:w="20" w:type="dxa"/>
            <w:vAlign w:val="bottom"/>
          </w:tcPr>
          <w:p>
            <w:pPr>
              <w:spacing w:after="0"/>
              <w:rPr>
                <w:sz w:val="2"/>
                <w:szCs w:val="2"/>
                <w:color w:val="auto"/>
              </w:rPr>
            </w:pPr>
          </w:p>
        </w:tc>
        <w:tc>
          <w:tcPr>
            <w:tcW w:w="918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distribution to Apergy Corporation</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906,815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spin-off from the company, Apergy issued and sold $300.0 million in aggregate principal amount of its 6.375% senior notes due May 2026 in a private offering exempt from the registration requirements of the Securities Act of 1933, as amended, and incurred $415.0 million in borrowings under its new senior secured term loan facility to fund a one-time cash payment of $700.0 million to Dover. Dover received net cash of $689.6 million upon separation, which reflects $10.4 million of cash held by Apergy on the distribution date and retained by it in connection with its separation from Dover. Dover utilized the proceeds from Apergy as the primary source of funding for $1 billion of share repurchases started in December 2017 and completed in December 2018.</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within the net assets distributed to Apergy is approximately $33 million of accumulated other comprehensive earnings attributable to Apergy, relating primarily to foreign currency translation gains, offset by unrecognized losses on pension obligations.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historical results of Apergy, including the results of operations, cash flows, and related assets and liabilities have been reclassified to discontinued operations for all periods presented herein. See Note 5 — Held for Sale, Disposed and Discontinued Operations. Pursuant to the separation of Apergy from Dover, and the related separation and distribution agreements, any liabilities due from Dover to Apergy are not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Revenue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Effective January 1, 2018, the Company adopted Accounting Standard Codification ("ASC") Topic 606, Revenue from Contracts with Customers ("Topic 606” or “ASC 606”), using the modified retrospective method applied to those contracts which were not completed as of January 1, 2018.</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Topic 606, a contract with a customer is an agreement which both parties have approved, that creates enforceable rights and obligations, has commercial substance and where payment terms are identified and collectability is probable. Once the Company has entered a contract, it is evaluated to identify performance obligations. For each performance obligation, revenue is recognized as control of promised goods or services transfers to the customer in an amount that reflects the consideration the Company expects to receive in exchange for those goods or services. The amount of revenue recognized takes into account variable consideration, such as discounts and volume rebates.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relates to the sale of engineered to order equipment or services that have no alternative use and in which the contract specifies the Company has a right to payment for its costs, plus a reasonable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end markets, segments and geographic location, as it best depicts the nature and amount of the Company’s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The following table presents revenue disaggregated by end market and segment: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Printing &amp; Identification</w:t>
            </w: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282,522</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Industrials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405,105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389,104</w:t>
            </w: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Engineered Systems segment</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671,626</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Fueling &amp; Transport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319,304</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Pumps</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162,309</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Process Solutions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152,735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146,485</w:t>
            </w: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Fluids segment</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628,098</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278,655</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Equipment</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59,580</w:t>
            </w:r>
          </w:p>
        </w:tc>
      </w:tr>
      <w:tr>
        <w:trPr>
          <w:trHeight w:val="237"/>
        </w:trPr>
        <w:tc>
          <w:tcPr>
            <w:tcW w:w="2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Refrigeration &amp; Food Equipment segment</w:t>
            </w: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334,643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338,235</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64"/>
        </w:trPr>
        <w:tc>
          <w:tcPr>
            <w:tcW w:w="2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 Consolidated Revenue</w:t>
            </w: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1,724,757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1,637,671</w:t>
            </w:r>
          </w:p>
        </w:tc>
      </w:tr>
      <w:tr>
        <w:trPr>
          <w:trHeight w:val="21"/>
        </w:trPr>
        <w:tc>
          <w:tcPr>
            <w:tcW w:w="79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61"/>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The following table presents revenue disaggregated by geography based on the location of the Company's customer: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853,002</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402,645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387,178</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194,603</w:t>
            </w: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133,144</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69,744</w:t>
            </w:r>
          </w:p>
        </w:tc>
      </w:tr>
      <w:tr>
        <w:trPr>
          <w:trHeight w:val="264"/>
        </w:trPr>
        <w:tc>
          <w:tcPr>
            <w:tcW w:w="2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1,724,757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1,637,671</w:t>
            </w:r>
          </w:p>
        </w:tc>
      </w:tr>
      <w:tr>
        <w:trPr>
          <w:trHeight w:val="21"/>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2019, we estimated that $83.0 million in revenue is expected to be recognized in the future related to performance obligations that are unsatisfied (or partially unsatisfied) at the end of the reporting period. We expect to recognize approximately 65% of our unsatisfied (or partially unsatisfied) performance obligations as revenue through 2020, with the remaining balance to be recognized in 2021 and thereafter.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5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At Adoption</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39,733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36,461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48,268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revenue recognized during the three months ended March 31, 2019 and 2018 that was included in the contract liabilities at the beginning of the period amounted to $15,414 and $13,781,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25, 2019, the Company acquired the assets of Belanger, Inc. ("Belanger"), a leading full-line car wash equipment manufacturer for $175,083, net of cash acquired. The Belanger acquisition strengthens Dover's position in the vehicle wash business within the Fueling &amp; Transport end market of the Fluids segment. The following presents the preliminary allocation of acquisition cost to the assets acquired and liabilities assumed, based on their estimated fair values: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Belanger</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 net of cash acquired</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97,817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77,000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and deferred charges</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(9,743)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175,083</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are as follows:</w:t>
            </w: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9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Amount allocated</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Customer intangibles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54,500</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Trademarks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6,500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920" w:type="dxa"/>
            <w:vAlign w:val="bottom"/>
            <w:tcBorders>
              <w:bottom w:val="single" w:sz="8" w:color="CCEEFF"/>
            </w:tcBorders>
            <w:gridSpan w:val="2"/>
            <w:shd w:val="clear" w:color="auto" w:fill="CCEEFF"/>
          </w:tcPr>
          <w:p>
            <w:pPr>
              <w:ind w:left="8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174,817</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goodwill recorded as a result of this acquisition reflects the benefits expected to be derived from product line expansions and operational synergies.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2018, the Company acquired two businesses in separate transactions for total consideration of $68,385, net of cash acquired. These businesses were acquired to complement and expand upon existing operations within the Fluids and Refrigeration &amp; Food Equipment segments. The goodwill recorded as a result of these acquisitions reflects the benefits expected to be derived from product line expansions and operational synergies. The goodwill is non-deductible for U.S. federal income tax purposes for these acquisitions.</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2, 2018, the Company acquired 100% of the voting stock of Ettlinger Group ("Ettlinger"), within the Fluids segment for $53,046, net of cash acquired. In connection with this acquisition, the Company recorded goodwill of $36,505 and intangible assets of $20,084, primarily related to customer intangibles. The intangible assets are being amortized over 8 to 15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12, 2018, the Company acquired 100% of the voting stock of Rosario Handel B.V. ("Rosario"), within the Refrigeration &amp; Food Equipment segment for total consideration of $15,339, net of cash acquired. In connection with this acquisition, the Company recorded goodwill of $10,402 and a customer intangible asset of $4,149. The customer intangible asset is being amortized over 10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information illustrates the impact of 2019 and 2018 acquisitions on the Company’s revenue and earnings from operations for the three months ended March 31, 2019 and 2018,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information assumes that the 2019 and 2018 acquisitions had taken place at the beginning of the prior year, 2018 and 2017, respectively. Unaudited pro forma earnings are adjusted to reflect the comparable impact of additional depreciation and amortization expense, net of tax, resulting from the fair value measurement of intangible and tangible assets relating to the year of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effects for the three months ended March 31, 2019 and 2018 were as follows:</w:t>
      </w:r>
    </w:p>
    <w:p>
      <w:pPr>
        <w:spacing w:after="0" w:line="167"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0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1,637,671</w:t>
            </w:r>
          </w:p>
        </w:tc>
        <w:tc>
          <w:tcPr>
            <w:tcW w:w="0" w:type="dxa"/>
            <w:vAlign w:val="bottom"/>
          </w:tcPr>
          <w:p>
            <w:pPr>
              <w:spacing w:after="0"/>
              <w:rPr>
                <w:sz w:val="1"/>
                <w:szCs w:val="1"/>
                <w:color w:val="auto"/>
              </w:rPr>
            </w:pPr>
          </w:p>
        </w:tc>
      </w:tr>
      <w:tr>
        <w:trPr>
          <w:trHeight w:val="243"/>
        </w:trPr>
        <w:tc>
          <w:tcPr>
            <w:tcW w:w="800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1,651,530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109,410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111,953</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Basic earnings per share from continuing operations:</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800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Held for Sale, Disposed and Discontinued Operations</w:t>
      </w:r>
    </w:p>
    <w:p>
      <w:pPr>
        <w:spacing w:after="0" w:line="2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Held for Sale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29, 2019, the Company entered into a definitive agreement to sell Finder Pompe S.r.l ("Finder"), a wholly owned subsidiary, to Gruppo Aturia S.p.A (“Aturia”) for a total consideration of approximately $23,629 net of estimated selling costs. As of March 31, 2019, Finder met the criteria to be classified as held for sale. The Company classified Finder's assets and liabilities separately on the consolidated balance sheet as of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assets and liabilities associated with the Finder business classified as held for sale as of March 31, 2019.</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9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12,698</w:t>
            </w:r>
          </w:p>
        </w:tc>
      </w:tr>
      <w:tr>
        <w:trPr>
          <w:trHeight w:val="27"/>
        </w:trPr>
        <w:tc>
          <w:tcPr>
            <w:tcW w:w="9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7"/>
        </w:trPr>
        <w:tc>
          <w:tcPr>
            <w:tcW w:w="9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17,441</w:t>
            </w:r>
          </w:p>
        </w:tc>
      </w:tr>
      <w:tr>
        <w:trPr>
          <w:trHeight w:val="237"/>
        </w:trPr>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13,596</w:t>
            </w:r>
          </w:p>
        </w:tc>
      </w:tr>
      <w:tr>
        <w:trPr>
          <w:trHeight w:val="27"/>
        </w:trPr>
        <w:tc>
          <w:tcPr>
            <w:tcW w:w="9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34,524</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Other assets and deferred charges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9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on assets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(21,607)</w:t>
            </w:r>
          </w:p>
        </w:tc>
      </w:tr>
      <w:tr>
        <w:trPr>
          <w:trHeight w:val="264"/>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44,210</w:t>
            </w:r>
          </w:p>
        </w:tc>
      </w:tr>
      <w:tr>
        <w:trPr>
          <w:trHeight w:val="20"/>
        </w:trPr>
        <w:tc>
          <w:tcPr>
            <w:tcW w:w="9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3"/>
        </w:trPr>
        <w:tc>
          <w:tcPr>
            <w:tcW w:w="9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9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5,088</w:t>
            </w:r>
          </w:p>
        </w:tc>
      </w:tr>
      <w:tr>
        <w:trPr>
          <w:trHeight w:val="27"/>
        </w:trPr>
        <w:tc>
          <w:tcPr>
            <w:tcW w:w="9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12,947</w:t>
            </w:r>
          </w:p>
        </w:tc>
      </w:tr>
      <w:tr>
        <w:trPr>
          <w:trHeight w:val="237"/>
        </w:trPr>
        <w:tc>
          <w:tcPr>
            <w:tcW w:w="94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7,011</w:t>
            </w:r>
          </w:p>
        </w:tc>
      </w:tr>
      <w:tr>
        <w:trPr>
          <w:trHeight w:val="27"/>
        </w:trPr>
        <w:tc>
          <w:tcPr>
            <w:tcW w:w="9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64"/>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20,581</w:t>
            </w:r>
          </w:p>
        </w:tc>
      </w:tr>
      <w:tr>
        <w:trPr>
          <w:trHeight w:val="21"/>
        </w:trPr>
        <w:tc>
          <w:tcPr>
            <w:tcW w:w="9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total consideration from the sale, net of selling costs, the Company recorded a loss on the assets held for sale of $46,946, in the Condensed Consolidated Statements of Earnings during the three months ended March 31, 2019. The loss was comprised of an impairment on assets held for sale of $21,607 and $25,339 of foreign currency translation losses reclassified out of accumulated other comprehensive losses.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Finder business is included in the results of the Fluids segment. The sale does not represent a strategic shift that will have a major effect on operations and financial results and, therefore, did not qualify for presentation as a discontinued operation. The sale closed on April 2, 2019. See Note 22 — Subsequent Events for further details on the subsequent completed sale of Finder.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assets or liabilities classified as held for sale as of December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dispositions during the three months ended March 31, 2019 and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as of and for the three months ending March 31, 2019.</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the Apergy businesses, as discussed in Note 2, met the criteria to be reported as discontinued operations because the spin-off was a strategic shift in business that has a major effect on the Company's operations and financial results. Therefore, the results of discontinued operations for the three months ended March 31, 2018 include the historical results of Apergy prior to its distribution on May 9, 2018. The three months ended March 31, 2018 included costs incurred by Dover to complete the spin-off of Apergy amounting to $11,746, reflected in selling, general and administrative expenses in discontinued operations. See Note 2 — Spin-off of Apergy Corporation for further information.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color w:val="026DCE"/>
        </w:rPr>
      </w:pPr>
      <w:hyperlink w:anchor="page1">
        <w:r>
          <w:rPr>
            <w:rFonts w:ascii="Arial" w:cs="Arial" w:eastAsia="Arial" w:hAnsi="Arial"/>
            <w:sz w:val="16"/>
            <w:szCs w:val="16"/>
            <w:color w:val="026DCE"/>
          </w:rPr>
          <w:t>Table of Contents</w:t>
        </w:r>
      </w:hyperlink>
    </w:p>
    <w:tbl>
      <w:tblPr>
        <w:tblLayout w:type="fixed"/>
        <w:tblInd w:w="0" w:type="dxa"/>
        <w:tblCellMar>
          <w:top w:w="0" w:type="dxa"/>
          <w:left w:w="0" w:type="dxa"/>
          <w:bottom w:w="0" w:type="dxa"/>
          <w:right w:w="0" w:type="dxa"/>
        </w:tblCellMar>
      </w:tblPr>
      <w:tr>
        <w:trPr>
          <w:trHeight w:val="182"/>
        </w:trPr>
        <w:tc>
          <w:tcPr>
            <w:tcW w:w="20" w:type="dxa"/>
            <w:vAlign w:val="bottom"/>
            <w:tcBorders>
              <w:top w:val="single" w:sz="8" w:color="026DCE"/>
            </w:tcBorders>
          </w:tcPr>
          <w:p>
            <w:pPr>
              <w:spacing w:after="0"/>
              <w:rPr>
                <w:sz w:val="15"/>
                <w:szCs w:val="15"/>
                <w:color w:val="auto"/>
              </w:rPr>
            </w:pPr>
          </w:p>
        </w:tc>
        <w:tc>
          <w:tcPr>
            <w:tcW w:w="1140" w:type="dxa"/>
            <w:vAlign w:val="bottom"/>
            <w:tcBorders>
              <w:top w:val="single" w:sz="8" w:color="026DCE"/>
            </w:tcBorders>
          </w:tcPr>
          <w:p>
            <w:pPr>
              <w:spacing w:after="0"/>
              <w:rPr>
                <w:sz w:val="15"/>
                <w:szCs w:val="15"/>
                <w:color w:val="auto"/>
              </w:rPr>
            </w:pPr>
          </w:p>
        </w:tc>
        <w:tc>
          <w:tcPr>
            <w:tcW w:w="8080" w:type="dxa"/>
            <w:vAlign w:val="bottom"/>
          </w:tcPr>
          <w:p>
            <w:pPr>
              <w:jc w:val="center"/>
              <w:ind w:left="959"/>
              <w:spacing w:after="0" w:line="182" w:lineRule="exact"/>
              <w:rPr>
                <w:sz w:val="20"/>
                <w:szCs w:val="20"/>
                <w:color w:val="auto"/>
              </w:rPr>
            </w:pPr>
            <w:r>
              <w:rPr>
                <w:rFonts w:ascii="Arial" w:cs="Arial" w:eastAsia="Arial" w:hAnsi="Arial"/>
                <w:sz w:val="16"/>
                <w:szCs w:val="16"/>
                <w:b w:val="1"/>
                <w:bCs w:val="1"/>
                <w:color w:val="auto"/>
              </w:rPr>
              <w:t>DOVER CORPORATION</w:t>
            </w: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80" w:type="dxa"/>
            <w:vAlign w:val="bottom"/>
          </w:tcPr>
          <w:p>
            <w:pPr>
              <w:jc w:val="center"/>
              <w:ind w:left="939"/>
              <w:spacing w:after="0"/>
              <w:rPr>
                <w:sz w:val="20"/>
                <w:szCs w:val="20"/>
                <w:color w:val="auto"/>
              </w:rPr>
            </w:pPr>
            <w:r>
              <w:rPr>
                <w:rFonts w:ascii="Arial" w:cs="Arial" w:eastAsia="Arial" w:hAnsi="Arial"/>
                <w:sz w:val="16"/>
                <w:szCs w:val="16"/>
                <w:b w:val="1"/>
                <w:bCs w:val="1"/>
                <w:color w:val="auto"/>
              </w:rPr>
              <w:t>NOTES TO CONDENSED CONSOLIDATED FINANCIAL STATEMENTS</w:t>
            </w: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80" w:type="dxa"/>
            <w:vAlign w:val="bottom"/>
          </w:tcPr>
          <w:p>
            <w:pPr>
              <w:jc w:val="center"/>
              <w:ind w:left="959"/>
              <w:spacing w:after="0"/>
              <w:rPr>
                <w:sz w:val="20"/>
                <w:szCs w:val="20"/>
                <w:color w:val="auto"/>
              </w:rPr>
            </w:pPr>
            <w:r>
              <w:rPr>
                <w:rFonts w:ascii="Arial" w:cs="Arial" w:eastAsia="Arial" w:hAnsi="Arial"/>
                <w:sz w:val="16"/>
                <w:szCs w:val="16"/>
                <w:b w:val="1"/>
                <w:bCs w:val="1"/>
                <w:color w:val="auto"/>
                <w:w w:val="90"/>
              </w:rPr>
              <w:t>(Amounts in thousands except share data and where otherwise indicated) (Unaudited)</w:t>
            </w: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587"/>
        </w:trPr>
        <w:tc>
          <w:tcPr>
            <w:tcW w:w="9240" w:type="dxa"/>
            <w:vAlign w:val="bottom"/>
            <w:gridSpan w:val="3"/>
          </w:tcPr>
          <w:p>
            <w:pPr>
              <w:spacing w:after="0"/>
              <w:rPr>
                <w:sz w:val="20"/>
                <w:szCs w:val="20"/>
                <w:color w:val="auto"/>
              </w:rPr>
            </w:pPr>
            <w:r>
              <w:rPr>
                <w:rFonts w:ascii="Arial" w:cs="Arial" w:eastAsia="Arial" w:hAnsi="Arial"/>
                <w:sz w:val="18"/>
                <w:szCs w:val="18"/>
                <w:color w:val="auto"/>
              </w:rPr>
              <w:t>Summarized results of the Company's discontinued operations are as follows:</w:t>
            </w: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9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 2018</w:t>
            </w:r>
          </w:p>
        </w:tc>
      </w:tr>
      <w:tr>
        <w:trPr>
          <w:trHeight w:val="27"/>
        </w:trPr>
        <w:tc>
          <w:tcPr>
            <w:tcW w:w="20" w:type="dxa"/>
            <w:vAlign w:val="bottom"/>
          </w:tcPr>
          <w:p>
            <w:pPr>
              <w:spacing w:after="0"/>
              <w:rPr>
                <w:sz w:val="2"/>
                <w:szCs w:val="2"/>
                <w:color w:val="auto"/>
              </w:rPr>
            </w:pPr>
          </w:p>
        </w:tc>
        <w:tc>
          <w:tcPr>
            <w:tcW w:w="9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284,041</w:t>
            </w:r>
          </w:p>
        </w:tc>
      </w:tr>
      <w:tr>
        <w:trPr>
          <w:trHeight w:val="243"/>
        </w:trPr>
        <w:tc>
          <w:tcPr>
            <w:tcW w:w="20" w:type="dxa"/>
            <w:vAlign w:val="bottom"/>
          </w:tcPr>
          <w:p>
            <w:pPr>
              <w:spacing w:after="0"/>
              <w:rPr>
                <w:sz w:val="21"/>
                <w:szCs w:val="21"/>
                <w:color w:val="auto"/>
              </w:rPr>
            </w:pPr>
          </w:p>
        </w:tc>
        <w:tc>
          <w:tcPr>
            <w:tcW w:w="9220" w:type="dxa"/>
            <w:vAlign w:val="bottom"/>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177,928</w:t>
            </w:r>
          </w:p>
        </w:tc>
      </w:tr>
      <w:tr>
        <w:trPr>
          <w:trHeight w:val="27"/>
        </w:trPr>
        <w:tc>
          <w:tcPr>
            <w:tcW w:w="20" w:type="dxa"/>
            <w:vAlign w:val="bottom"/>
          </w:tcPr>
          <w:p>
            <w:pPr>
              <w:spacing w:after="0"/>
              <w:rPr>
                <w:sz w:val="2"/>
                <w:szCs w:val="2"/>
                <w:color w:val="auto"/>
              </w:rPr>
            </w:pPr>
          </w:p>
        </w:tc>
        <w:tc>
          <w:tcPr>
            <w:tcW w:w="9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106,113</w:t>
            </w:r>
          </w:p>
        </w:tc>
      </w:tr>
      <w:tr>
        <w:trPr>
          <w:trHeight w:val="243"/>
        </w:trPr>
        <w:tc>
          <w:tcPr>
            <w:tcW w:w="20" w:type="dxa"/>
            <w:vAlign w:val="bottom"/>
          </w:tcPr>
          <w:p>
            <w:pPr>
              <w:spacing w:after="0"/>
              <w:rPr>
                <w:sz w:val="21"/>
                <w:szCs w:val="21"/>
                <w:color w:val="auto"/>
              </w:rPr>
            </w:pPr>
          </w:p>
        </w:tc>
        <w:tc>
          <w:tcPr>
            <w:tcW w:w="92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79,123</w:t>
            </w:r>
          </w:p>
        </w:tc>
      </w:tr>
      <w:tr>
        <w:trPr>
          <w:trHeight w:val="27"/>
        </w:trPr>
        <w:tc>
          <w:tcPr>
            <w:tcW w:w="20" w:type="dxa"/>
            <w:vAlign w:val="bottom"/>
          </w:tcPr>
          <w:p>
            <w:pPr>
              <w:spacing w:after="0"/>
              <w:rPr>
                <w:sz w:val="2"/>
                <w:szCs w:val="2"/>
                <w:color w:val="auto"/>
              </w:rPr>
            </w:pPr>
          </w:p>
        </w:tc>
        <w:tc>
          <w:tcPr>
            <w:tcW w:w="9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43"/>
        </w:trPr>
        <w:tc>
          <w:tcPr>
            <w:tcW w:w="20" w:type="dxa"/>
            <w:vAlign w:val="bottom"/>
          </w:tcPr>
          <w:p>
            <w:pPr>
              <w:spacing w:after="0"/>
              <w:rPr>
                <w:sz w:val="21"/>
                <w:szCs w:val="21"/>
                <w:color w:val="auto"/>
              </w:rPr>
            </w:pPr>
          </w:p>
        </w:tc>
        <w:tc>
          <w:tcPr>
            <w:tcW w:w="922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20" w:type="dxa"/>
            <w:vAlign w:val="bottom"/>
          </w:tcPr>
          <w:p>
            <w:pPr>
              <w:spacing w:after="0"/>
              <w:rPr>
                <w:sz w:val="2"/>
                <w:szCs w:val="2"/>
                <w:color w:val="auto"/>
              </w:rPr>
            </w:pPr>
          </w:p>
        </w:tc>
        <w:tc>
          <w:tcPr>
            <w:tcW w:w="9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before taxes</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26,506</w:t>
            </w:r>
          </w:p>
        </w:tc>
      </w:tr>
      <w:tr>
        <w:trPr>
          <w:trHeight w:val="243"/>
        </w:trPr>
        <w:tc>
          <w:tcPr>
            <w:tcW w:w="20" w:type="dxa"/>
            <w:vAlign w:val="bottom"/>
          </w:tcPr>
          <w:p>
            <w:pPr>
              <w:spacing w:after="0"/>
              <w:rPr>
                <w:sz w:val="21"/>
                <w:szCs w:val="21"/>
                <w:color w:val="auto"/>
              </w:rPr>
            </w:pPr>
          </w:p>
        </w:tc>
        <w:tc>
          <w:tcPr>
            <w:tcW w:w="92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4,481</w:t>
            </w:r>
          </w:p>
        </w:tc>
      </w:tr>
      <w:tr>
        <w:trPr>
          <w:trHeight w:val="27"/>
        </w:trPr>
        <w:tc>
          <w:tcPr>
            <w:tcW w:w="20" w:type="dxa"/>
            <w:vAlign w:val="bottom"/>
          </w:tcPr>
          <w:p>
            <w:pPr>
              <w:spacing w:after="0"/>
              <w:rPr>
                <w:sz w:val="2"/>
                <w:szCs w:val="2"/>
                <w:color w:val="auto"/>
              </w:rPr>
            </w:pPr>
          </w:p>
        </w:tc>
        <w:tc>
          <w:tcPr>
            <w:tcW w:w="9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22,025</w:t>
            </w: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2018, all assets and liabilities of Apergy were spun-off. Therefore, as of March 31, 2019 and December 31, 2018 there were no assets and liabilities classified as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6. Inventories</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4"/>
                <w:szCs w:val="24"/>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gridSpan w:val="2"/>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439,616</w:t>
            </w:r>
          </w:p>
        </w:tc>
        <w:tc>
          <w:tcPr>
            <w:tcW w:w="0" w:type="dxa"/>
            <w:vAlign w:val="bottom"/>
          </w:tcPr>
          <w:p>
            <w:pPr>
              <w:spacing w:after="0"/>
              <w:rPr>
                <w:sz w:val="1"/>
                <w:szCs w:val="1"/>
                <w:color w:val="auto"/>
              </w:rPr>
            </w:pPr>
          </w:p>
        </w:tc>
      </w:tr>
      <w:tr>
        <w:trPr>
          <w:trHeight w:val="243"/>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177,544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154,878</w:t>
            </w: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265,722</w:t>
            </w:r>
          </w:p>
        </w:tc>
        <w:tc>
          <w:tcPr>
            <w:tcW w:w="0" w:type="dxa"/>
            <w:vAlign w:val="bottom"/>
          </w:tcPr>
          <w:p>
            <w:pPr>
              <w:spacing w:after="0"/>
              <w:rPr>
                <w:sz w:val="1"/>
                <w:szCs w:val="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Subtotal</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940,734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860,216</w:t>
            </w: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(111,420)</w:t>
            </w:r>
          </w:p>
        </w:tc>
        <w:tc>
          <w:tcPr>
            <w:tcW w:w="0" w:type="dxa"/>
            <w:vAlign w:val="bottom"/>
          </w:tcPr>
          <w:p>
            <w:pPr>
              <w:spacing w:after="0"/>
              <w:rPr>
                <w:sz w:val="1"/>
                <w:szCs w:val="1"/>
                <w:color w:val="auto"/>
              </w:rPr>
            </w:pPr>
          </w:p>
        </w:tc>
      </w:tr>
      <w:tr>
        <w:trPr>
          <w:trHeight w:val="264"/>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828,298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748,796</w:t>
            </w:r>
          </w:p>
        </w:tc>
        <w:tc>
          <w:tcPr>
            <w:tcW w:w="0" w:type="dxa"/>
            <w:vAlign w:val="bottom"/>
          </w:tcPr>
          <w:p>
            <w:pPr>
              <w:spacing w:after="0"/>
              <w:rPr>
                <w:sz w:val="1"/>
                <w:szCs w:val="1"/>
                <w:color w:val="auto"/>
              </w:rPr>
            </w:pPr>
          </w:p>
        </w:tc>
      </w:tr>
      <w:tr>
        <w:trPr>
          <w:trHeight w:val="21"/>
        </w:trPr>
        <w:tc>
          <w:tcPr>
            <w:tcW w:w="7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3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4"/>
                <w:szCs w:val="24"/>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53,623</w:t>
            </w:r>
          </w:p>
        </w:tc>
        <w:tc>
          <w:tcPr>
            <w:tcW w:w="0" w:type="dxa"/>
            <w:vAlign w:val="bottom"/>
          </w:tcPr>
          <w:p>
            <w:pPr>
              <w:spacing w:after="0"/>
              <w:rPr>
                <w:sz w:val="1"/>
                <w:szCs w:val="1"/>
                <w:color w:val="auto"/>
              </w:rPr>
            </w:pPr>
          </w:p>
        </w:tc>
      </w:tr>
      <w:tr>
        <w:trPr>
          <w:trHeight w:val="243"/>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518,238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529,982</w:t>
            </w:r>
          </w:p>
        </w:tc>
        <w:tc>
          <w:tcPr>
            <w:tcW w:w="0" w:type="dxa"/>
            <w:vAlign w:val="bottom"/>
          </w:tcPr>
          <w:p>
            <w:pPr>
              <w:spacing w:after="0"/>
              <w:rPr>
                <w:sz w:val="1"/>
                <w:szCs w:val="1"/>
                <w:color w:val="auto"/>
              </w:rPr>
            </w:pPr>
          </w:p>
        </w:tc>
      </w:tr>
      <w:tr>
        <w:trPr>
          <w:trHeight w:val="27"/>
        </w:trPr>
        <w:tc>
          <w:tcPr>
            <w:tcW w:w="730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1,589,863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1,555,345</w:t>
            </w:r>
          </w:p>
        </w:tc>
        <w:tc>
          <w:tcPr>
            <w:tcW w:w="0" w:type="dxa"/>
            <w:vAlign w:val="bottom"/>
          </w:tcPr>
          <w:p>
            <w:pPr>
              <w:spacing w:after="0"/>
              <w:rPr>
                <w:sz w:val="1"/>
                <w:szCs w:val="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2,157,935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2,138,950</w:t>
            </w:r>
          </w:p>
        </w:tc>
        <w:tc>
          <w:tcPr>
            <w:tcW w:w="0" w:type="dxa"/>
            <w:vAlign w:val="bottom"/>
          </w:tcPr>
          <w:p>
            <w:pPr>
              <w:spacing w:after="0"/>
              <w:rPr>
                <w:sz w:val="1"/>
                <w:szCs w:val="1"/>
                <w:color w:val="auto"/>
              </w:rPr>
            </w:pPr>
          </w:p>
        </w:tc>
      </w:tr>
      <w:tr>
        <w:trPr>
          <w:trHeight w:val="27"/>
        </w:trPr>
        <w:tc>
          <w:tcPr>
            <w:tcW w:w="730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(1,360,253)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(1,332,453)</w:t>
            </w:r>
          </w:p>
        </w:tc>
        <w:tc>
          <w:tcPr>
            <w:tcW w:w="0" w:type="dxa"/>
            <w:vAlign w:val="bottom"/>
          </w:tcPr>
          <w:p>
            <w:pPr>
              <w:spacing w:after="0"/>
              <w:rPr>
                <w:sz w:val="1"/>
                <w:szCs w:val="1"/>
                <w:color w:val="auto"/>
              </w:rPr>
            </w:pPr>
          </w:p>
        </w:tc>
      </w:tr>
      <w:tr>
        <w:trPr>
          <w:trHeight w:val="264"/>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797,682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806,497</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$32,188 and $32,164 for the three months ended March 31,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Leases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ASC Topic 842 - Leases as of January 1, 2019, using the transition method per ASU No. 2018-11 issued on July 2018 wherein entities were allowed to initially apply the new leases standard at adoption date and recognize a cumulative-effect adjustment to the opening balance of retained earnings in the period of adoption. Accordingly, all periods prior to January 1, 2019 were presented in accordance with the previous ASC Topic 840, Leases, and no retrospective adjustments were made to the comparative periods presented. Adoption of ASC 842 resulted in an increase to total assets and liabilities due to the recording of operating lease right-of-use assets ("ROU") and operating lease liabilities of approximately $163 million, as of January 1, 2019. Finance leases were not impacted by the adoption of ASC 842, as finance lease liabilities and the corresponding ROU assets were already recorded in the balance sheet under the previous guidance, ASC 840. The adoption did not materially impact the Company’s Consolidated Statements of Earnings or Cash Flows.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has operating and finance leases for corporate offices, manufacturing plants, research and development facilities, shared services facilities, vehicle fleets and certain office and manufacturing equipment. Leases with an initial term of 12 months or less are not recorded in the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determines if an arrangement is a lease at inception of a contract. Operating lease ROU assets are included in other assets and deferred charges and operating lease liabilities are included in other accrued expenses and other liabilities in the Consolidated Balance Sheet. Finance lease ROU assets are included in property and equipment, and the related lease liabilities are included in other accrued expenses and other liabilities in the Consolidated Balance Sheet.</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liabilities are recognized at commencement date based on the net present value of fixed lease payments over the lease term. The Company's lease term include options to extend or terminate the lease when it is reasonably certain that we will exercise that option. ROU assets also include any advance lease payments made and exclude lease incentives. As most of the Company's operating leases do not provide an implicit rate, the Company uses its incremental borrowing rate based on the information available at commencement date in determining the present value of lease payments. Finance lease agreements generally include an interest rate that is used to determine the present value of future lease payments. Operating fixed lease expense and finance lease depreciation expense are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ind w:left="2760"/>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ind w:left="274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left="2760"/>
        <w:spacing w:after="0"/>
        <w:rPr>
          <w:sz w:val="20"/>
          <w:szCs w:val="20"/>
          <w:color w:val="auto"/>
        </w:rPr>
      </w:pPr>
      <w:r>
        <w:rPr>
          <w:rFonts w:ascii="Arial" w:cs="Arial" w:eastAsia="Arial" w:hAnsi="Arial"/>
          <w:sz w:val="14"/>
          <w:szCs w:val="14"/>
          <w:b w:val="1"/>
          <w:bCs w:val="1"/>
          <w:color w:val="auto"/>
        </w:rPr>
        <w:t>(Amounts in thousands except share data and where otherwise indicated) (Unaudited)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443865</wp:posOffset>
            </wp:positionV>
            <wp:extent cx="72377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Variable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Finance lease cost and sublease income were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cash flows from finance leases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 and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liabilities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37160"/>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 of use assets: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377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37160"/>
                    </a:xfrm>
                    <a:prstGeom prst="rect">
                      <a:avLst/>
                    </a:prstGeom>
                    <a:noFill/>
                  </pic:spPr>
                </pic:pic>
              </a:graphicData>
            </a:graphic>
          </wp:anchor>
        </w:drawing>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accrued expenses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financing lease liabilities</w:t>
      </w:r>
    </w:p>
    <w:p>
      <w:pPr>
        <w:spacing w:after="0" w:line="16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Finance lease assets are recorded net of accumulated depreciation of $909.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2019</w:t>
      </w:r>
    </w:p>
    <w:p>
      <w:pPr>
        <w:spacing w:after="0" w:line="319"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12,244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2,047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4,865</w:t>
      </w:r>
    </w:p>
    <w:p>
      <w:pPr>
        <w:spacing w:after="0" w:line="77"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1406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2019</w:t>
      </w:r>
    </w:p>
    <w:p>
      <w:pPr>
        <w:spacing w:after="0" w:line="319"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12,414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409</w:t>
      </w:r>
    </w:p>
    <w:p>
      <w:pPr>
        <w:spacing w:after="0" w:line="77"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1406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10,708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77"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1406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154,562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1406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43,247</w:t>
      </w:r>
    </w:p>
    <w:p>
      <w:pPr>
        <w:spacing w:after="0" w:line="8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118,783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1406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80"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1406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11,856</w:t>
      </w:r>
    </w:p>
    <w:p>
      <w:pPr>
        <w:spacing w:after="0" w:line="200" w:lineRule="exact"/>
        <w:rPr>
          <w:sz w:val="20"/>
          <w:szCs w:val="20"/>
          <w:color w:val="auto"/>
        </w:rPr>
      </w:pPr>
    </w:p>
    <w:p>
      <w:pPr>
        <w:spacing w:after="0" w:line="372"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1,526</w:t>
      </w:r>
    </w:p>
    <w:p>
      <w:pPr>
        <w:spacing w:after="0" w:line="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8,350</w:t>
      </w:r>
    </w:p>
    <w:p>
      <w:pPr>
        <w:spacing w:after="0" w:line="100"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1406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8680" w:space="540"/>
            <w:col w:w="2140"/>
          </w:cols>
          <w:pgMar w:left="240" w:top="1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60"/>
          </w:cols>
          <w:pgMar w:left="240" w:top="130" w:right="299" w:bottom="1440" w:gutter="0" w:footer="0" w:header="0"/>
          <w:type w:val="continuous"/>
        </w:sectPr>
      </w:pPr>
    </w:p>
    <w:bookmarkStart w:id="16" w:name="page17"/>
    <w:bookmarkEnd w:id="1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9"/>
          </w:tcPr>
          <w:p>
            <w:pPr>
              <w:spacing w:after="0"/>
              <w:rPr>
                <w:sz w:val="20"/>
                <w:szCs w:val="20"/>
                <w:color w:val="auto"/>
              </w:rPr>
            </w:pPr>
            <w:r>
              <w:rPr>
                <w:rFonts w:ascii="Arial" w:cs="Arial" w:eastAsia="Arial" w:hAnsi="Arial"/>
                <w:sz w:val="18"/>
                <w:szCs w:val="18"/>
                <w:color w:val="auto"/>
                <w:w w:val="92"/>
              </w:rPr>
              <w:t>The aggregate future lease payments for operating and finance leases as of March 31, 2019 were as follows:</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8"/>
              </w:rPr>
              <w:t>Operating</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4"/>
          </w:tcPr>
          <w:p>
            <w:pPr>
              <w:ind w:left="24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2019 (excluding the three months ending March 31, 2019)</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37,090</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39,237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29,666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21,329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13,544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42,182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4,040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183,048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8"/>
                <w:szCs w:val="18"/>
                <w:color w:val="auto"/>
              </w:rPr>
              <w:t>(21,018)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162,030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9"/>
            <w:vMerge w:val="restart"/>
          </w:tcPr>
          <w:p>
            <w:pPr>
              <w:spacing w:after="0"/>
              <w:rPr>
                <w:sz w:val="20"/>
                <w:szCs w:val="20"/>
                <w:color w:val="auto"/>
              </w:rPr>
            </w:pPr>
            <w:r>
              <w:rPr>
                <w:rFonts w:ascii="Arial" w:cs="Arial" w:eastAsia="Arial" w:hAnsi="Arial"/>
                <w:sz w:val="18"/>
                <w:szCs w:val="18"/>
                <w:color w:val="auto"/>
                <w:w w:val="91"/>
              </w:rPr>
              <w:t>The aggregate future lease payments for operating and capital leases as of December 31, 2018 are as follows:</w:t>
            </w: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080" w:type="dxa"/>
            <w:vAlign w:val="bottom"/>
            <w:gridSpan w:val="9"/>
            <w:vMerge w:val="continue"/>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Operating</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3"/>
              </w:rPr>
              <w:t>Capital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38,620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29,396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21,767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13,994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42,087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194,873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9"/>
          </w:tcPr>
          <w:p>
            <w:pPr>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gridSpan w:val="2"/>
            <w:vMerge w:val="restart"/>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Finance leases</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87"/>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9. Goodwill and Other Intangible Assets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80" w:type="dxa"/>
            <w:vAlign w:val="bottom"/>
            <w:gridSpan w:val="9"/>
          </w:tcPr>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Refrigeration &amp;</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Engineered Systems</w:t>
            </w:r>
          </w:p>
        </w:tc>
        <w:tc>
          <w:tcPr>
            <w:tcW w:w="34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Fluids</w:t>
            </w:r>
          </w:p>
        </w:tc>
        <w:tc>
          <w:tcPr>
            <w:tcW w:w="17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9"/>
              </w:rPr>
              <w:t>Food Equipment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1,507,602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3,677,328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97,817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Held for sale</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6,871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1,622,200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1,609,066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546,011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3,777,277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2019, the Company recorded additions of $97,817 to goodwill as a result of the acquisition discussed in Note 4 — Acquisitions. As noted in Note 5 — Held for Sale, Disposed and Discontinued Operations, the Company classified Finder's assets and liabilities as held for sale as of March 31, 2019. As a result, the Fluids segment goodwill balance was reduced by $4,739.</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2019</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December 31, 2018</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80" w:type="dxa"/>
            <w:vAlign w:val="bottom"/>
          </w:tcPr>
          <w:p>
            <w:pPr>
              <w:spacing w:after="0"/>
              <w:rPr>
                <w:sz w:val="18"/>
                <w:szCs w:val="18"/>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18"/>
                <w:szCs w:val="18"/>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Net Carrying</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Gross 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32"/>
        </w:trPr>
        <w:tc>
          <w:tcPr>
            <w:tcW w:w="288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line="20" w:lineRule="exact"/>
              <w:rPr>
                <w:sz w:val="1"/>
                <w:szCs w:val="1"/>
                <w:color w:val="auto"/>
              </w:rPr>
            </w:pPr>
          </w:p>
        </w:tc>
      </w:tr>
      <w:tr>
        <w:trPr>
          <w:trHeight w:val="230"/>
        </w:trPr>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Customer intangibles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1,395,742</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750,437</w:t>
            </w:r>
          </w:p>
        </w:tc>
        <w:tc>
          <w:tcPr>
            <w:tcW w:w="0" w:type="dxa"/>
            <w:vAlign w:val="bottom"/>
          </w:tcPr>
          <w:p>
            <w:pPr>
              <w:spacing w:after="0"/>
              <w:rPr>
                <w:sz w:val="1"/>
                <w:szCs w:val="1"/>
                <w:color w:val="auto"/>
              </w:rPr>
            </w:pPr>
          </w:p>
        </w:tc>
      </w:tr>
      <w:tr>
        <w:trPr>
          <w:trHeight w:val="243"/>
        </w:trPr>
        <w:tc>
          <w:tcPr>
            <w:tcW w:w="288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217,996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142,469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43"/>
        </w:trPr>
        <w:tc>
          <w:tcPr>
            <w:tcW w:w="2880" w:type="dxa"/>
            <w:vAlign w:val="bottom"/>
          </w:tcPr>
          <w:p>
            <w:pPr>
              <w:ind w:left="440"/>
              <w:spacing w:after="0"/>
              <w:rPr>
                <w:sz w:val="20"/>
                <w:szCs w:val="20"/>
                <w:color w:val="auto"/>
              </w:rPr>
            </w:pPr>
            <w:r>
              <w:rPr>
                <w:rFonts w:ascii="Arial" w:cs="Arial" w:eastAsia="Arial" w:hAnsi="Arial"/>
                <w:sz w:val="18"/>
                <w:szCs w:val="18"/>
                <w:color w:val="auto"/>
              </w:rPr>
              <w:t>Unpatented technologies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155,481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Distributor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45,027</w:t>
            </w:r>
          </w:p>
        </w:tc>
        <w:tc>
          <w:tcPr>
            <w:tcW w:w="0" w:type="dxa"/>
            <w:vAlign w:val="bottom"/>
          </w:tcPr>
          <w:p>
            <w:pPr>
              <w:spacing w:after="0"/>
              <w:rPr>
                <w:sz w:val="1"/>
                <w:szCs w:val="1"/>
                <w:color w:val="auto"/>
              </w:rPr>
            </w:pPr>
          </w:p>
        </w:tc>
      </w:tr>
      <w:tr>
        <w:trPr>
          <w:trHeight w:val="243"/>
        </w:trPr>
        <w:tc>
          <w:tcPr>
            <w:tcW w:w="2880" w:type="dxa"/>
            <w:vAlign w:val="bottom"/>
          </w:tcPr>
          <w:p>
            <w:pPr>
              <w:ind w:left="440"/>
              <w:spacing w:after="0"/>
              <w:rPr>
                <w:sz w:val="20"/>
                <w:szCs w:val="20"/>
                <w:color w:val="auto"/>
              </w:rPr>
            </w:pPr>
            <w:r>
              <w:rPr>
                <w:rFonts w:ascii="Arial" w:cs="Arial" w:eastAsia="Arial" w:hAnsi="Arial"/>
                <w:sz w:val="18"/>
                <w:szCs w:val="18"/>
                <w:color w:val="auto"/>
              </w:rPr>
              <w:t>Drawings &amp; manuals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2,070,771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1,018,306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1,052,465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2,046,063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1,008,475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1,037,588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96,668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2,142,731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1,134,256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2019 and 2018, amortization expense was $35,550 and $36,461, respectively, including acquisition-related intangible amortization of $35,155 and $35,889,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10. Restructuring Activities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80"/>
        </w:trPr>
        <w:tc>
          <w:tcPr>
            <w:tcW w:w="7660" w:type="dxa"/>
            <w:vAlign w:val="bottom"/>
            <w:gridSpan w:val="2"/>
          </w:tcPr>
          <w:p>
            <w:pPr>
              <w:spacing w:after="0"/>
              <w:rPr>
                <w:sz w:val="20"/>
                <w:szCs w:val="20"/>
                <w:color w:val="auto"/>
              </w:rPr>
            </w:pPr>
            <w:r>
              <w:rPr>
                <w:rFonts w:ascii="Arial" w:cs="Arial" w:eastAsia="Arial" w:hAnsi="Arial"/>
                <w:sz w:val="18"/>
                <w:szCs w:val="18"/>
                <w:color w:val="auto"/>
              </w:rPr>
              <w:t>The Company's restructuring charges by segment were as follows: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0"/>
        </w:trPr>
        <w:tc>
          <w:tcPr>
            <w:tcW w:w="21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31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Pr>
          <w:p>
            <w:pPr>
              <w:spacing w:after="0"/>
              <w:rPr>
                <w:sz w:val="23"/>
                <w:szCs w:val="23"/>
                <w:color w:val="auto"/>
              </w:rPr>
            </w:pPr>
          </w:p>
        </w:tc>
      </w:tr>
      <w:tr>
        <w:trPr>
          <w:trHeight w:val="27"/>
        </w:trPr>
        <w:tc>
          <w:tcPr>
            <w:tcW w:w="21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Engineered Systems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Fluids</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2,051</w:t>
            </w:r>
          </w:p>
        </w:tc>
      </w:tr>
      <w:tr>
        <w:trPr>
          <w:trHeight w:val="27"/>
        </w:trPr>
        <w:tc>
          <w:tcPr>
            <w:tcW w:w="76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7660" w:type="dxa"/>
            <w:vAlign w:val="bottom"/>
            <w:tcBorders>
              <w:bottom w:val="single" w:sz="8" w:color="CCEEFF"/>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w w:val="98"/>
              </w:rPr>
              <w:t>These amounts are classified in the Condensed Consolidated Statements of Earnings as follows:</w:t>
            </w: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76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7"/>
        </w:trPr>
        <w:tc>
          <w:tcPr>
            <w:tcW w:w="7660" w:type="dxa"/>
            <w:vAlign w:val="bottom"/>
            <w:tcBorders>
              <w:bottom w:val="single" w:sz="8" w:color="CCEEFF"/>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9"/>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restructuring expenses of $2,936 incurred during the three months ended March 31, 2019 were related to two significant rightsizing restructuring programs initiated in 2018 comprised primarily of broad-based selling, general and administrative expense reduction and footprint consolidation initiatives designed to increase operating margin, enhance operations and position the Company for sustained growth and investment.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Company expects to incur charges of approximately $5 million related to the selling, general and administrative expense reduction initiative, $2 million of which was incurred during the three months ended March 31, 2019 and $3 million of which the Company expects to incur during the remainder of 2019. In 2019 and 2020, the Company expects to incur total restructuring charges of approximately $10 million related to footprint consolidation initiatives, $1 million of which was incurred during the three months ended March 31, 2019 and $9 million of which the Company expects to incur in the second quarter of 2019 through 2020. Additional programs, beyond the scope of the announced programs, may be implemented during 2019 with related restructuring charges.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$2,936 of restructuring charges incurred during the first quarter of 2019 primarily included the following items:</w:t>
      </w:r>
    </w:p>
    <w:p>
      <w:pPr>
        <w:spacing w:after="0" w:line="22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Engineered Systems segment recorded $370 of restructuring charges related to programs focused on headcount reduction.</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Fluids segment recorded $1,119 of restructuring charges principally related to headcount reductions and facility restructuring costs.</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Refrigeration and Food Equipment segment recorded $1,412 of restructuring expense primarily due to headcount reductions and facility restructuring costs.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Corporate recorded $35 of restructuring charges primarily related to headcount reductions.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40" w:type="dxa"/>
            <w:vAlign w:val="bottom"/>
          </w:tcPr>
          <w:p>
            <w:pPr>
              <w:spacing w:after="0"/>
              <w:rPr>
                <w:sz w:val="23"/>
                <w:szCs w:val="23"/>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Exit</w:t>
            </w:r>
          </w:p>
        </w:tc>
        <w:tc>
          <w:tcPr>
            <w:tcW w:w="32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6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2,936</w:t>
            </w:r>
          </w:p>
        </w:tc>
      </w:tr>
      <w:tr>
        <w:trPr>
          <w:trHeight w:val="27"/>
        </w:trPr>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(1,669)</w:t>
            </w:r>
          </w:p>
        </w:tc>
      </w:tr>
      <w:tr>
        <w:trPr>
          <w:trHeight w:val="27"/>
        </w:trPr>
        <w:tc>
          <w:tcPr>
            <w:tcW w:w="6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11.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consisted of the following:</w:t>
      </w:r>
    </w:p>
    <w:p>
      <w:pPr>
        <w:spacing w:after="0" w:line="59" w:lineRule="exact"/>
        <w:rPr>
          <w:sz w:val="20"/>
          <w:szCs w:val="20"/>
          <w:color w:val="auto"/>
        </w:rPr>
      </w:pPr>
    </w:p>
    <w:p>
      <w:pPr>
        <w:ind w:left="8420"/>
        <w:spacing w:after="0"/>
        <w:tabs>
          <w:tab w:leader="none" w:pos="9900" w:val="left"/>
        </w:tabs>
        <w:rPr>
          <w:sz w:val="20"/>
          <w:szCs w:val="20"/>
          <w:color w:val="auto"/>
        </w:rPr>
      </w:pPr>
      <w:r>
        <w:rPr>
          <w:rFonts w:ascii="Arial" w:cs="Arial" w:eastAsia="Arial" w:hAnsi="Arial"/>
          <w:sz w:val="18"/>
          <w:szCs w:val="18"/>
          <w:b w:val="1"/>
          <w:bCs w:val="1"/>
          <w:color w:val="auto"/>
        </w:rPr>
        <w:t>March 31, 2019</w:t>
      </w:r>
      <w:r>
        <w:rPr>
          <w:sz w:val="20"/>
          <w:szCs w:val="20"/>
          <w:color w:val="auto"/>
        </w:rPr>
        <w:tab/>
      </w: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34290</wp:posOffset>
            </wp:positionV>
            <wp:extent cx="2006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w:t>
      </w:r>
    </w:p>
    <w:p>
      <w:pPr>
        <w:spacing w:after="0" w:line="67" w:lineRule="exact"/>
        <w:rPr>
          <w:sz w:val="20"/>
          <w:szCs w:val="20"/>
          <w:color w:val="auto"/>
        </w:rPr>
      </w:pPr>
    </w:p>
    <w:p>
      <w:pPr>
        <w:ind w:left="40" w:right="1440"/>
        <w:spacing w:after="0" w:line="334" w:lineRule="auto"/>
        <w:rPr>
          <w:sz w:val="20"/>
          <w:szCs w:val="20"/>
          <w:color w:val="auto"/>
        </w:rPr>
      </w:pPr>
      <w:r>
        <w:rPr>
          <w:rFonts w:ascii="Arial" w:cs="Arial" w:eastAsia="Arial" w:hAnsi="Arial"/>
          <w:sz w:val="18"/>
          <w:szCs w:val="18"/>
          <w:color w:val="auto"/>
        </w:rPr>
        <w:t>Current portion of long-term debt and short-term borrowings Commercial paper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Notes payable and current maturities of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344,900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220,318</w:t>
            </w: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346,255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220,318</w:t>
            </w: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42"/>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w w:val="95"/>
              </w:rPr>
              <w:t xml:space="preserve">Carrying amount </w:t>
            </w:r>
            <w:r>
              <w:rPr>
                <w:rFonts w:ascii="Arial" w:cs="Arial" w:eastAsia="Arial" w:hAnsi="Arial"/>
                <w:sz w:val="23"/>
                <w:szCs w:val="23"/>
                <w:b w:val="1"/>
                <w:bCs w:val="1"/>
                <w:color w:val="auto"/>
                <w:w w:val="95"/>
                <w:vertAlign w:val="superscript"/>
              </w:rPr>
              <w:t>(1)</w:t>
            </w:r>
          </w:p>
        </w:tc>
        <w:tc>
          <w:tcPr>
            <w:tcW w:w="740" w:type="dxa"/>
            <w:vAlign w:val="bottom"/>
            <w:tcBorders>
              <w:bottom w:val="single" w:sz="8" w:color="auto"/>
            </w:tcBorders>
          </w:tcPr>
          <w:p>
            <w:pPr>
              <w:spacing w:after="0"/>
              <w:rPr>
                <w:sz w:val="24"/>
                <w:szCs w:val="24"/>
                <w:color w:val="auto"/>
              </w:rPr>
            </w:pPr>
          </w:p>
        </w:tc>
      </w:tr>
      <w:tr>
        <w:trPr>
          <w:trHeight w:val="237"/>
        </w:trPr>
        <w:tc>
          <w:tcPr>
            <w:tcW w:w="18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Principal</w:t>
            </w:r>
          </w:p>
        </w:tc>
        <w:tc>
          <w:tcPr>
            <w:tcW w:w="1500" w:type="dxa"/>
            <w:vAlign w:val="bottom"/>
            <w:gridSpan w:val="4"/>
          </w:tcPr>
          <w:p>
            <w:pPr>
              <w:ind w:left="20"/>
              <w:spacing w:after="0"/>
              <w:rPr>
                <w:sz w:val="20"/>
                <w:szCs w:val="20"/>
                <w:color w:val="auto"/>
              </w:rPr>
            </w:pPr>
            <w:r>
              <w:rPr>
                <w:rFonts w:ascii="Arial" w:cs="Arial" w:eastAsia="Arial" w:hAnsi="Arial"/>
                <w:sz w:val="18"/>
                <w:szCs w:val="18"/>
                <w:b w:val="1"/>
                <w:bCs w:val="1"/>
                <w:color w:val="auto"/>
              </w:rPr>
              <w:t>March 31, 2019</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-1156970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-814070</wp:posOffset>
            </wp:positionV>
            <wp:extent cx="7229475"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5860" w:space="720"/>
            <w:col w:w="484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2.125%</w:t>
            </w: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7-year notes due December 1, 2020 (euro-denominated)</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300,000</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338,583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339,657</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4.30%</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10-year notes due March 1, 2021</w:t>
            </w: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450,000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449,293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449,200</w:t>
            </w:r>
          </w:p>
        </w:tc>
      </w:tr>
      <w:tr>
        <w:trPr>
          <w:trHeight w:val="27"/>
        </w:trPr>
        <w:tc>
          <w:tcPr>
            <w:tcW w:w="600" w:type="dxa"/>
            <w:vAlign w:val="bottom"/>
            <w:gridSpan w:val="2"/>
          </w:tcPr>
          <w:p>
            <w:pPr>
              <w:spacing w:after="0"/>
              <w:rPr>
                <w:sz w:val="2"/>
                <w:szCs w:val="2"/>
                <w:color w:val="auto"/>
              </w:rPr>
            </w:pPr>
          </w:p>
        </w:tc>
        <w:tc>
          <w:tcPr>
            <w:tcW w:w="5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1"/>
              </w:rPr>
              <w:t>3.150%</w:t>
            </w: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10-year notes due November 15, 2025</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395,368</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1.25%</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670,021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672,103</w:t>
            </w:r>
          </w:p>
        </w:tc>
      </w:tr>
      <w:tr>
        <w:trPr>
          <w:trHeight w:val="27"/>
        </w:trPr>
        <w:tc>
          <w:tcPr>
            <w:tcW w:w="520" w:type="dxa"/>
            <w:vAlign w:val="bottom"/>
          </w:tcPr>
          <w:p>
            <w:pPr>
              <w:spacing w:after="0"/>
              <w:rPr>
                <w:sz w:val="2"/>
                <w:szCs w:val="2"/>
                <w:color w:val="auto"/>
              </w:rPr>
            </w:pPr>
          </w:p>
        </w:tc>
        <w:tc>
          <w:tcPr>
            <w:tcW w:w="51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6.65%</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30-year debentures due June 1, 2028</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199,054</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5040" w:type="dxa"/>
            <w:vAlign w:val="bottom"/>
          </w:tcPr>
          <w:p>
            <w:pPr>
              <w:ind w:left="20"/>
              <w:spacing w:after="0"/>
              <w:rPr>
                <w:sz w:val="20"/>
                <w:szCs w:val="20"/>
                <w:color w:val="auto"/>
              </w:rPr>
            </w:pPr>
            <w:r>
              <w:rPr>
                <w:rFonts w:ascii="Arial" w:cs="Arial" w:eastAsia="Arial" w:hAnsi="Arial"/>
                <w:sz w:val="18"/>
                <w:szCs w:val="18"/>
                <w:color w:val="auto"/>
              </w:rPr>
              <w:t>30-year debentures due October 15, 2035</w:t>
            </w: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300,000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295,873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295,811</w:t>
            </w:r>
          </w:p>
        </w:tc>
      </w:tr>
      <w:tr>
        <w:trPr>
          <w:trHeight w:val="27"/>
        </w:trPr>
        <w:tc>
          <w:tcPr>
            <w:tcW w:w="520" w:type="dxa"/>
            <w:vAlign w:val="bottom"/>
          </w:tcPr>
          <w:p>
            <w:pPr>
              <w:spacing w:after="0"/>
              <w:rPr>
                <w:sz w:val="2"/>
                <w:szCs w:val="2"/>
                <w:color w:val="auto"/>
              </w:rPr>
            </w:pPr>
          </w:p>
        </w:tc>
        <w:tc>
          <w:tcPr>
            <w:tcW w:w="51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6.60%</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15, 2038</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247,827</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5040" w:type="dxa"/>
            <w:vAlign w:val="bottom"/>
          </w:tcPr>
          <w:p>
            <w:pPr>
              <w:ind w:left="20"/>
              <w:spacing w:after="0"/>
              <w:rPr>
                <w:sz w:val="20"/>
                <w:szCs w:val="20"/>
                <w:color w:val="auto"/>
              </w:rPr>
            </w:pPr>
            <w:r>
              <w:rPr>
                <w:rFonts w:ascii="Arial" w:cs="Arial" w:eastAsia="Arial" w:hAnsi="Arial"/>
                <w:sz w:val="18"/>
                <w:szCs w:val="18"/>
                <w:color w:val="auto"/>
              </w:rPr>
              <w:t>30-year notes due March 1, 2041</w:t>
            </w:r>
          </w:p>
        </w:tc>
        <w:tc>
          <w:tcPr>
            <w:tcW w:w="1440" w:type="dxa"/>
            <w:vAlign w:val="bottom"/>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350,000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343,946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343,877</w:t>
            </w:r>
          </w:p>
        </w:tc>
      </w:tr>
      <w:tr>
        <w:trPr>
          <w:trHeight w:val="27"/>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37"/>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Total long-term debt</w:t>
            </w:r>
          </w:p>
        </w:tc>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2,940,967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2,943,660</w:t>
            </w:r>
          </w:p>
        </w:tc>
      </w:tr>
      <w:tr>
        <w:trPr>
          <w:trHeight w:val="27"/>
        </w:trPr>
        <w:tc>
          <w:tcPr>
            <w:tcW w:w="5640" w:type="dxa"/>
            <w:vAlign w:val="bottom"/>
            <w:gridSpan w:val="3"/>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long-term debt current portion</w:t>
            </w:r>
          </w:p>
        </w:tc>
        <w:tc>
          <w:tcPr>
            <w:tcW w:w="1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Net long-term debt</w:t>
            </w: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2,940,967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2,943,660</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hanging="168"/>
        <w:spacing w:after="0"/>
        <w:tabs>
          <w:tab w:leader="none" w:pos="500"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Carrying amount is net of unamortized debt discount and deferred debt issuance costs. Total unamortized debt discounts were</w:t>
      </w:r>
    </w:p>
    <w:p>
      <w:pPr>
        <w:ind w:left="340"/>
        <w:spacing w:after="0" w:line="257" w:lineRule="auto"/>
        <w:rPr>
          <w:sz w:val="20"/>
          <w:szCs w:val="20"/>
          <w:color w:val="auto"/>
        </w:rPr>
      </w:pPr>
      <w:r>
        <w:rPr>
          <w:rFonts w:ascii="Arial" w:cs="Arial" w:eastAsia="Arial" w:hAnsi="Arial"/>
          <w:sz w:val="16"/>
          <w:szCs w:val="16"/>
          <w:color w:val="auto"/>
        </w:rPr>
        <w:t>$15.4 million and $15.8 million as of March 31, 2019 and December 31, 2018, respectively. Total deferred debt issuance costs were $12.6 million and $13.0 million as of March 31, 2019 and December 31, 2018, respectively.</w:t>
      </w:r>
    </w:p>
    <w:p>
      <w:pPr>
        <w:sectPr>
          <w:pgSz w:w="11900" w:h="16838" w:orient="portrait"/>
          <w:cols w:equalWidth="0" w:num="1">
            <w:col w:w="11420"/>
          </w:cols>
          <w:pgMar w:left="240" w:top="13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$1.0 billion five-year unsecured revolving credit facility (the "Credit Agreement") with a syndicate of banks which expires on November 10, 2020. The Company was in compliance with all covenants in the Credit Agreement and other long-term debt covenants at March 31, 2019 and had a coverage ratio of 9.7 to 1.0. The Company uses the Credit Agreement as liquidity back-up for its commercial paper program and has not drawn down any loans under the Credit Agreement and does not anticipate doing so. The Company generally uses commercial paper borrowings for general corporate purposes, funding of acquisitions and repurchases of its common stock.</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2019, the Company had approximately $142.4 million outstanding in letters of credit and performance and other guarantees which expire on various dates through 2028. These letters of credit are primarily maintained as security for insurance, warranty and other performance obligations. In general, we would only be liable for the amount of these guarantees in the event of default in the performance of our obligations.</w:t>
      </w:r>
    </w:p>
    <w:p>
      <w:pPr>
        <w:spacing w:after="0" w:line="189" w:lineRule="exact"/>
        <w:rPr>
          <w:sz w:val="20"/>
          <w:szCs w:val="20"/>
          <w:color w:val="auto"/>
        </w:rPr>
      </w:pPr>
    </w:p>
    <w:p>
      <w:pPr>
        <w:ind w:right="9440" w:firstLine="8"/>
        <w:spacing w:after="0" w:line="566" w:lineRule="auto"/>
        <w:tabs>
          <w:tab w:leader="none" w:pos="270"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March 31, 2019 and December 31, 2018, the Company had contracts with U.S. dollar equivalent notional amounts of $210,787 and $153,873, respectively, to exchange foreign currencies, principally the Pound Sterling, Chinese Yuan, Swedish Krona, Swiss Franc, and Canadian Dollar. The Company believes it is probable that all forecasted cash flow transactions will occur.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with a total notional amount of $91,749 and $66,906 as of March 31, 2019 and December 31, 2018, respectively, that are not designated as hedging instruments. These instruments are used to reduce the Company's exposure for operating receivables and payables that are denominated in non-functional currencies. Gains and losses on these contracts are recorded in other (income) expense, net in the Condensed Consolidated Statements of Earnings.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March 31, 2019 and December 31, 2018 and the balance sheet lines in which they are recorded:</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5"/>
          </w:tcPr>
          <w:p>
            <w:pPr>
              <w:ind w:left="740"/>
              <w:spacing w:after="0"/>
              <w:rPr>
                <w:sz w:val="20"/>
                <w:szCs w:val="20"/>
                <w:color w:val="auto"/>
              </w:rPr>
            </w:pPr>
            <w:r>
              <w:rPr>
                <w:rFonts w:ascii="Arial" w:cs="Arial" w:eastAsia="Arial" w:hAnsi="Arial"/>
                <w:sz w:val="18"/>
                <w:szCs w:val="18"/>
                <w:b w:val="1"/>
                <w:bCs w:val="1"/>
                <w:color w:val="auto"/>
              </w:rPr>
              <w:t>Fair Value Asset (Liability)</w:t>
            </w:r>
          </w:p>
        </w:tc>
        <w:tc>
          <w:tcPr>
            <w:tcW w:w="288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forward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 Other current assets</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Foreign currency forward</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 cash flow hedge, the effective portion of the change in estimated fair value of a hedging instrument is recorded in accumulated other comprehensive loss (earnings) as a separate component of the Condensed Consolidated Statement of Stockholders' Equity and is reclassified into revenues and cost of goods and services in the Condensed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designated the €600,000 and €300,000 of euro-denominated notes issued November 9, 2016 and December 4, 2013,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4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euro-denominated debt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(44,109)</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Tax (expense) benefit</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9,263</w:t>
            </w:r>
          </w:p>
        </w:tc>
      </w:tr>
      <w:tr>
        <w:trPr>
          <w:trHeight w:val="27"/>
        </w:trPr>
        <w:tc>
          <w:tcPr>
            <w:tcW w:w="79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on net investment hedges, net of tax</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192405</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Level 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7"/>
        </w:trPr>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4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cash flow hedges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cash flow hedges</w:t>
            </w: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7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interim disclosures regarding the fair value of all of the Company’s financial instruments.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long-term debt, net at March 31, 2019 and December 31, 2018, was $3,190,794 and $3,132,330, respectively, compared to the carrying value of $2,940,967 and $2,943,660, respectively. The estimated fair value of long-term debt is based on quoted market prices for similar instruments and is, therefore, classified as Level 2 within the fair value hierarchy.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notes payable are reasonable estimates of their fair values as of March 31, 2019, and December 31, 2018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Income Taxes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effective tax rates for the three months ended March 31, 2019 and 2018 were 23.6% and 18.5%, respectively. The increase in the effective tax rate for the three months ended March 31, 2019 relative to the prior comparable period was predominantly driven by the exclusion of capital losses on assets held for sale of Finder under local tax law. Additionally, the effective tax rates for the three months ended March 31, 2019 and 2018 included discrete tax benefits principally from stock award exercises.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next twelve months uncertain tax positions may be resolved and statutes of limitations will expire, which could result in a decrease in the gross amount of unrecognized tax benefits of approximately zero to $12.2 million.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Equity Incentive Program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typically grants equity awards annually at its regularly scheduled first quarter meeting of the Compensation Committee of the Board of Directors. During the three months ended March 31, 2019, the Company issued stock-settled appreciation rights ("SARs") covering 610,979 shares, performance share awards of 34,402 and restricted stock units ("RSUs") of 121,560.</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range of assumptions used in determining the fair value of the SARs awarded during the respective periods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SARs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2018</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122"/>
        </w:trPr>
        <w:tc>
          <w:tcPr>
            <w:tcW w:w="78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spacing w:after="0"/>
              <w:rPr>
                <w:sz w:val="10"/>
                <w:szCs w:val="10"/>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18"/>
                <w:szCs w:val="18"/>
                <w:color w:val="auto"/>
              </w:rPr>
              <w:t>Grant price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3"/>
                <w:szCs w:val="23"/>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$79.75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$82.09</w:t>
            </w:r>
          </w:p>
        </w:tc>
      </w:t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$14.58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r>
    </w:tbl>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performance share awards granted in 2019 and 2018 are considered performance condition awards as attainment is based on Dover's performance relative to established internal metrics. The fair value of these awards was determined using Dover's closing stock price on the date of grant. The expected attainment of the internal metrics for these awards is analyzed each reporting period, and the related expense is adjusted based on expected attainment, if that attainment differs from previous estimates. The cumulative effect on current and prior periods of a change in attainment is recognized in selling, general and administrative expenses in the Condensed Consolidated Statements of Earnings in the period of change.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and average attainment used in determining stock-based compensation cost for the performance shares issued in 2019 and 2018 is as follows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142875</wp:posOffset>
            </wp:positionV>
            <wp:extent cx="21355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$79.75  -</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8"/>
              </w:rPr>
              <w:t>$82.09</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Average attainment rate reflected in expense</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211.68%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267.91%</w:t>
            </w:r>
          </w:p>
        </w:tc>
        <w:tc>
          <w:tcPr>
            <w:tcW w:w="8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granted RSUs, and the fair value of these awards was determined using Dover's closing stock price on the date of grant.</w:t>
      </w:r>
    </w:p>
    <w:p>
      <w:pPr>
        <w:spacing w:after="0" w:line="264"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Stock-based compensation is reported within selling, general and administrative expenses of continuing operations in the Condensed Consolidated Statements of Earnings. The following table summarizes the Company’s compensation expense relating to all stock-based incentive plans:</w:t>
      </w: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2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 (continuing)</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88"/>
              </w:rPr>
              <w:t>6,745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0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91"/>
              </w:rPr>
              <w:t>(1,496)</w:t>
            </w:r>
          </w:p>
        </w:tc>
      </w:tr>
      <w:tr>
        <w:trPr>
          <w:trHeight w:val="27"/>
        </w:trPr>
        <w:tc>
          <w:tcPr>
            <w:tcW w:w="8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7,134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8"/>
              </w:rPr>
              <w:t>5,249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attributable to Apergy employees for the three months ended March 31, 2018 was $569. These costs are reported within earnings from discontinued operations in the Condensed Consolidated Statement of Earnings.</w:t>
      </w:r>
    </w:p>
    <w:p>
      <w:pPr>
        <w:spacing w:after="0" w:line="193" w:lineRule="exact"/>
        <w:rPr>
          <w:sz w:val="20"/>
          <w:szCs w:val="20"/>
          <w:color w:val="auto"/>
        </w:rPr>
      </w:pPr>
    </w:p>
    <w:p>
      <w:pPr>
        <w:ind w:right="8000" w:firstLine="8"/>
        <w:spacing w:after="0" w:line="534" w:lineRule="auto"/>
        <w:tabs>
          <w:tab w:leader="none" w:pos="270" w:val="left"/>
        </w:tabs>
        <w:numPr>
          <w:ilvl w:val="0"/>
          <w:numId w:val="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Commitments and Contingent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reserves have been established. At March 31, 2019 and December 31, 2018, the Company has reserves totaling $31,555 and $31,797, respectively, for environmental and other matters, including private party claims for exposure to hazardous substances that are probable and estimable.</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reserves for legal matters that are probable and estimable and not otherwise covered by insurance, and at March 31, 2019 and December 31, 2018, these reserves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March 31, 2019 and 2018,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59,403</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12,447</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March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1" w:lineRule="exact"/>
        <w:rPr>
          <w:sz w:val="20"/>
          <w:szCs w:val="20"/>
          <w:color w:val="auto"/>
        </w:rPr>
      </w:pPr>
    </w:p>
    <w:p>
      <w:pPr>
        <w:ind w:right="9320" w:firstLine="8"/>
        <w:spacing w:after="0" w:line="534" w:lineRule="auto"/>
        <w:tabs>
          <w:tab w:leader="none" w:pos="270"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color w:val="auto"/>
        </w:rPr>
        <w:t>Retirement Plans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offers defined contribution retirement plans which cover the majority of its U.S. employees, as well as employees in certain other countries. In addition, the Company sponsors qualified defined benefit pension plans covering certain employees of the Company and its subsidiaries.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tables below set forth the components of the Company’s net periodic (income) expense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 The amounts recorded to discontinued operations represent the net periodic benefit expense for several non-U.S. qualified and U.S. non-qualified plans that were transferred to Apergy at the spin-off date of May 9,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Benefits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9"/>
          </w:tcPr>
          <w:p>
            <w:pPr>
              <w:ind w:left="40"/>
              <w:spacing w:after="0"/>
              <w:rPr>
                <w:sz w:val="20"/>
                <w:szCs w:val="20"/>
                <w:color w:val="auto"/>
              </w:rPr>
            </w:pPr>
            <w:r>
              <w:rPr>
                <w:rFonts w:ascii="Arial" w:cs="Arial" w:eastAsia="Arial" w:hAnsi="Arial"/>
                <w:sz w:val="16"/>
                <w:szCs w:val="16"/>
                <w:b w:val="1"/>
                <w:bCs w:val="1"/>
                <w:color w:val="auto"/>
                <w:w w:val="93"/>
              </w:rPr>
              <w:t>Three Months Ended March 31,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jc w:val="right"/>
              <w:ind w:right="676"/>
              <w:spacing w:after="0"/>
              <w:rPr>
                <w:sz w:val="20"/>
                <w:szCs w:val="20"/>
                <w:color w:val="auto"/>
              </w:rPr>
            </w:pPr>
            <w:r>
              <w:rPr>
                <w:rFonts w:ascii="Arial" w:cs="Arial" w:eastAsia="Arial" w:hAnsi="Arial"/>
                <w:sz w:val="16"/>
                <w:szCs w:val="16"/>
                <w:b w:val="1"/>
                <w:bCs w:val="1"/>
                <w:color w:val="auto"/>
              </w:rPr>
              <w:t>U.S. Plan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b w:val="1"/>
                <w:bCs w:val="1"/>
                <w:color w:val="auto"/>
                <w:w w:val="97"/>
              </w:rPr>
              <w:t>Non-U.S. Plans</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5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5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3"/>
          </w:tcPr>
          <w:p>
            <w:pPr>
              <w:jc w:val="right"/>
              <w:ind w:right="255"/>
              <w:spacing w:after="0"/>
              <w:rPr>
                <w:sz w:val="20"/>
                <w:szCs w:val="20"/>
                <w:color w:val="auto"/>
              </w:rPr>
            </w:pPr>
            <w:r>
              <w:rPr>
                <w:rFonts w:ascii="Arial" w:cs="Arial" w:eastAsia="Arial" w:hAnsi="Arial"/>
                <w:sz w:val="16"/>
                <w:szCs w:val="16"/>
                <w:b w:val="1"/>
                <w:bCs w:val="1"/>
                <w:color w:val="auto"/>
                <w:w w:val="89"/>
              </w:rPr>
              <w:t>2019</w:t>
            </w:r>
          </w:p>
        </w:tc>
        <w:tc>
          <w:tcPr>
            <w:tcW w:w="60" w:type="dxa"/>
            <w:vAlign w:val="bottom"/>
          </w:tcPr>
          <w:p>
            <w:pPr>
              <w:spacing w:after="0"/>
              <w:rPr>
                <w:sz w:val="18"/>
                <w:szCs w:val="18"/>
                <w:color w:val="auto"/>
              </w:rPr>
            </w:pPr>
          </w:p>
        </w:tc>
        <w:tc>
          <w:tcPr>
            <w:tcW w:w="1040" w:type="dxa"/>
            <w:vAlign w:val="bottom"/>
            <w:gridSpan w:val="3"/>
          </w:tcPr>
          <w:p>
            <w:pPr>
              <w:jc w:val="right"/>
              <w:ind w:right="25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4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1,241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(2,091)</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Prior service cost (credit)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Recognized actuarial loss</w:t>
            </w: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816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Transition obligation</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Net periodic (income) expense</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2,027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Net periodic (income) expense - Continuing operations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2,027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
        </w:trPr>
        <w:tc>
          <w:tcPr>
            <w:tcW w:w="70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Non-Qualified Supplemental Benefits</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gridSpan w:val="9"/>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w w:val="94"/>
              </w:rPr>
              <w:t>2018</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80" w:type="dxa"/>
            <w:vAlign w:val="bottom"/>
            <w:tcBorders>
              <w:bottom w:val="single" w:sz="8" w:color="CCEEFF"/>
            </w:tcBorders>
            <w:gridSpan w:val="3"/>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Recognized actuarial gain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(570)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5"/>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2,296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Discontinued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64"/>
        </w:trPr>
        <w:tc>
          <w:tcPr>
            <w:tcW w:w="7080" w:type="dxa"/>
            <w:vAlign w:val="bottom"/>
          </w:tcPr>
          <w:p>
            <w:pPr>
              <w:ind w:left="20"/>
              <w:spacing w:after="0"/>
              <w:rPr>
                <w:sz w:val="20"/>
                <w:szCs w:val="20"/>
                <w:color w:val="auto"/>
              </w:rPr>
            </w:pPr>
            <w:r>
              <w:rPr>
                <w:rFonts w:ascii="Arial" w:cs="Arial" w:eastAsia="Arial" w:hAnsi="Arial"/>
                <w:sz w:val="18"/>
                <w:szCs w:val="18"/>
                <w:color w:val="auto"/>
              </w:rPr>
              <w:t>Net periodic expense - Continuing operations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2,042</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maintains post-retirement benefit plans, although these plans are closed to new entrants. The supplemental and post-retirement benefit plans are supported by the general assets of the Company. The following table sets forth the components of the Company’s net periodic expense relating to its post-retirement benefit plans: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9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20"/>
              <w:spacing w:after="0"/>
              <w:rPr>
                <w:sz w:val="20"/>
                <w:szCs w:val="20"/>
                <w:color w:val="auto"/>
              </w:rPr>
            </w:pPr>
            <w:r>
              <w:rPr>
                <w:rFonts w:ascii="Arial" w:cs="Arial" w:eastAsia="Arial" w:hAnsi="Arial"/>
                <w:sz w:val="18"/>
                <w:szCs w:val="18"/>
                <w:color w:val="auto"/>
              </w:rPr>
              <w:t>Prior service cost</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Recognized actuarial gain</w:t>
            </w: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814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1"/>
        </w:trPr>
        <w:tc>
          <w:tcPr>
            <w:tcW w:w="8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amortized out of accumulated other comprehensive earnings into net periodic pension and post-retirement expense totaled $952 and $3,410 for the three months ended March 31, 2019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offers defined contribution retirement plans which cover the majority of its U.S. employees, as well as employees in certain other countries. The Company’s expense relating to defined contribution plans were $12,906 and $12,870 for the three months ended March 31, 2019 and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Other Comprehensive Earnings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other comprehensive earnings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40" w:type="dxa"/>
            <w:vAlign w:val="bottom"/>
            <w:gridSpan w:val="8"/>
          </w:tcPr>
          <w:p>
            <w:pPr>
              <w:jc w:val="right"/>
              <w:spacing w:after="0"/>
              <w:rPr>
                <w:sz w:val="20"/>
                <w:szCs w:val="20"/>
                <w:color w:val="auto"/>
              </w:rPr>
            </w:pPr>
            <w:r>
              <w:rPr>
                <w:rFonts w:ascii="Arial" w:cs="Arial" w:eastAsia="Arial" w:hAnsi="Arial"/>
                <w:sz w:val="18"/>
                <w:szCs w:val="18"/>
                <w:b w:val="1"/>
                <w:bCs w:val="1"/>
                <w:color w:val="auto"/>
                <w:w w:val="96"/>
              </w:rPr>
              <w:t>Three Months Ended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2019</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w w:val="93"/>
              </w:rPr>
              <w:t>March 31, 2018</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Net of tax</w:t>
            </w:r>
          </w:p>
        </w:tc>
        <w:tc>
          <w:tcPr>
            <w:tcW w:w="180" w:type="dxa"/>
            <w:vAlign w:val="bottom"/>
          </w:tcPr>
          <w:p>
            <w:pPr>
              <w:spacing w:after="0"/>
              <w:rPr>
                <w:sz w:val="20"/>
                <w:szCs w:val="20"/>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Tax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Net of tax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49,786</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43,045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fair value of cash flow hedges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Total other comprehensive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8,240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Total comprehensive earnings were as follows: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4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gridSpan w:val="9"/>
          </w:tcPr>
          <w:p>
            <w:pPr>
              <w:jc w:val="right"/>
              <w:spacing w:after="0"/>
              <w:rPr>
                <w:sz w:val="20"/>
                <w:szCs w:val="20"/>
                <w:color w:val="auto"/>
              </w:rPr>
            </w:pPr>
            <w:r>
              <w:rPr>
                <w:rFonts w:ascii="Arial" w:cs="Arial" w:eastAsia="Arial" w:hAnsi="Arial"/>
                <w:sz w:val="18"/>
                <w:szCs w:val="18"/>
                <w:b w:val="1"/>
                <w:bCs w:val="1"/>
                <w:color w:val="auto"/>
                <w:w w:val="96"/>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105,705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52,150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157,855</w:t>
            </w:r>
          </w:p>
        </w:tc>
        <w:tc>
          <w:tcPr>
            <w:tcW w:w="16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187,534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Amounts reclassified from accumulated other comprehensive loss to earnings during the three months ended March 31, 2019 and 2018 were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26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foreign currency translation losses to earnings for assets held for sale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Pension and other postretirement benefit plans: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gains reclassified into earnings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reclassification of foreign currency translation losses to earnings relates to the Finder assets and liabilities held for sale. See Note 5 — Held for Sale, Disposed and Discontinued Operations for further details.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Segment Information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categorizes its operating companies into three distinct reportable segments. Segment financial information and a reconciliation of segment results to consolidated results is as follows:</w:t>
      </w:r>
    </w:p>
    <w:p>
      <w:pPr>
        <w:spacing w:after="0" w:line="197" w:lineRule="exact"/>
        <w:rPr>
          <w:sz w:val="20"/>
          <w:szCs w:val="20"/>
          <w:color w:val="auto"/>
        </w:rPr>
      </w:pPr>
    </w:p>
    <w:p>
      <w:pPr>
        <w:jc w:val="both"/>
        <w:ind w:left="660" w:hanging="328"/>
        <w:spacing w:after="0" w:line="26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0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 efficient equipment and systems serving the commercial refrigeration and food equipment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w w:val="94"/>
              </w:rPr>
              <w:t>Segment financial information and a reconciliation of segment results to consolidated results is as follows: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7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7"/>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40"/>
              <w:spacing w:after="0"/>
              <w:rPr>
                <w:sz w:val="20"/>
                <w:szCs w:val="20"/>
                <w:color w:val="auto"/>
              </w:rPr>
            </w:pPr>
            <w:r>
              <w:rPr>
                <w:rFonts w:ascii="Arial" w:cs="Arial" w:eastAsia="Arial" w:hAnsi="Arial"/>
                <w:sz w:val="18"/>
                <w:szCs w:val="18"/>
                <w:color w:val="auto"/>
              </w:rPr>
              <w:t>Engineered Systems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687,191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671,626</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Fluids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628,098</w:t>
            </w:r>
          </w:p>
        </w:tc>
      </w:tr>
      <w:tr>
        <w:trPr>
          <w:trHeight w:val="243"/>
        </w:trPr>
        <w:tc>
          <w:tcPr>
            <w:tcW w:w="7980" w:type="dxa"/>
            <w:vAlign w:val="bottom"/>
          </w:tcPr>
          <w:p>
            <w:pPr>
              <w:ind w:left="440"/>
              <w:spacing w:after="0"/>
              <w:rPr>
                <w:sz w:val="20"/>
                <w:szCs w:val="20"/>
                <w:color w:val="auto"/>
              </w:rPr>
            </w:pPr>
            <w:r>
              <w:rPr>
                <w:rFonts w:ascii="Arial" w:cs="Arial" w:eastAsia="Arial" w:hAnsi="Arial"/>
                <w:sz w:val="18"/>
                <w:szCs w:val="18"/>
                <w:color w:val="auto"/>
              </w:rPr>
              <w:t>Refrigeration &amp; Food Equipment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334,643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338,235</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1,724,757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1,637,671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0"/>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7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Engineered Systems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102,066</w:t>
            </w:r>
          </w:p>
        </w:tc>
      </w:tr>
      <w:tr>
        <w:trPr>
          <w:trHeight w:val="270"/>
        </w:trPr>
        <w:tc>
          <w:tcPr>
            <w:tcW w:w="7980" w:type="dxa"/>
            <w:vAlign w:val="bottom"/>
          </w:tcPr>
          <w:p>
            <w:pPr>
              <w:ind w:left="460"/>
              <w:spacing w:after="0"/>
              <w:rPr>
                <w:sz w:val="20"/>
                <w:szCs w:val="20"/>
                <w:color w:val="auto"/>
              </w:rPr>
            </w:pPr>
            <w:r>
              <w:rPr>
                <w:rFonts w:ascii="Arial" w:cs="Arial" w:eastAsia="Arial" w:hAnsi="Arial"/>
                <w:sz w:val="18"/>
                <w:szCs w:val="18"/>
                <w:color w:val="auto"/>
              </w:rPr>
              <w:t xml:space="preserve">Fluids </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52,221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67,348</w:t>
            </w:r>
          </w:p>
        </w:tc>
      </w:tr>
      <w:tr>
        <w:trPr>
          <w:trHeight w:val="270"/>
        </w:trPr>
        <w:tc>
          <w:tcPr>
            <w:tcW w:w="7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Refrigeration &amp; Food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198,596</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35,640</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 and discontinued operations</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134,251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109,410</w:t>
            </w:r>
          </w:p>
        </w:tc>
      </w:tr>
      <w:tr>
        <w:trPr>
          <w:trHeight w:val="21"/>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hanging="168"/>
        <w:spacing w:after="0"/>
        <w:tabs>
          <w:tab w:leader="none" w:pos="500" w:val="left"/>
        </w:tabs>
        <w:numPr>
          <w:ilvl w:val="1"/>
          <w:numId w:val="8"/>
        </w:numPr>
        <w:rPr>
          <w:rFonts w:ascii="Arial" w:cs="Arial" w:eastAsia="Arial" w:hAnsi="Arial"/>
          <w:sz w:val="20"/>
          <w:szCs w:val="20"/>
          <w:color w:val="auto"/>
          <w:vertAlign w:val="superscript"/>
        </w:rPr>
      </w:pPr>
      <w:r>
        <w:rPr>
          <w:rFonts w:ascii="Arial" w:cs="Arial" w:eastAsia="Arial" w:hAnsi="Arial"/>
          <w:sz w:val="15"/>
          <w:szCs w:val="15"/>
          <w:color w:val="auto"/>
        </w:rPr>
        <w:t>Segment earnings includes non-operating income and expense directly attributable to the segments.</w:t>
      </w:r>
    </w:p>
    <w:p>
      <w:pPr>
        <w:ind w:left="500" w:hanging="168"/>
        <w:spacing w:after="0" w:line="197" w:lineRule="auto"/>
        <w:tabs>
          <w:tab w:leader="none" w:pos="500" w:val="left"/>
        </w:tabs>
        <w:numPr>
          <w:ilvl w:val="1"/>
          <w:numId w:val="8"/>
        </w:numPr>
        <w:rPr>
          <w:rFonts w:ascii="Arial" w:cs="Arial" w:eastAsia="Arial" w:hAnsi="Arial"/>
          <w:sz w:val="20"/>
          <w:szCs w:val="20"/>
          <w:color w:val="auto"/>
          <w:vertAlign w:val="superscript"/>
        </w:rPr>
      </w:pPr>
      <w:r>
        <w:rPr>
          <w:rFonts w:ascii="Arial" w:cs="Arial" w:eastAsia="Arial" w:hAnsi="Arial"/>
          <w:sz w:val="15"/>
          <w:szCs w:val="15"/>
          <w:color w:val="auto"/>
        </w:rPr>
        <w:t>The three months ended March 31, 2019 includes a $46,946 loss on assets held for sale for Finder. Excluding this loss, Fluids segment earnings was $99,167.</w:t>
      </w:r>
    </w:p>
    <w:p>
      <w:pPr>
        <w:ind w:left="340" w:right="20" w:hanging="8"/>
        <w:spacing w:after="0" w:line="260" w:lineRule="auto"/>
        <w:tabs>
          <w:tab w:leader="none" w:pos="515" w:val="left"/>
        </w:tabs>
        <w:numPr>
          <w:ilvl w:val="1"/>
          <w:numId w:val="8"/>
        </w:numPr>
        <w:rPr>
          <w:rFonts w:ascii="Arial" w:cs="Arial" w:eastAsia="Arial" w:hAnsi="Arial"/>
          <w:sz w:val="18"/>
          <w:szCs w:val="18"/>
          <w:color w:val="auto"/>
          <w:vertAlign w:val="superscript"/>
        </w:rPr>
      </w:pPr>
      <w:r>
        <w:rPr>
          <w:rFonts w:ascii="Arial" w:cs="Arial" w:eastAsia="Arial" w:hAnsi="Arial"/>
          <w:sz w:val="14"/>
          <w:szCs w:val="14"/>
          <w:color w:val="auto"/>
        </w:rPr>
        <w:t>Certain expenses are maintained at the corporate level and not allocated to the segments. These expenses include executive and functional compensation costs, non-service pension costs, non-operating insurance expenses, shared business services costs and various administrative expenses relating to the corporate headquarters.</w:t>
      </w:r>
    </w:p>
    <w:p>
      <w:pPr>
        <w:spacing w:after="0" w:line="200" w:lineRule="exact"/>
        <w:rPr>
          <w:rFonts w:ascii="Arial" w:cs="Arial" w:eastAsia="Arial" w:hAnsi="Arial"/>
          <w:sz w:val="18"/>
          <w:szCs w:val="18"/>
          <w:color w:val="auto"/>
          <w:vertAlign w:val="superscript"/>
        </w:rPr>
      </w:pPr>
    </w:p>
    <w:p>
      <w:pPr>
        <w:ind w:left="280" w:hanging="272"/>
        <w:spacing w:after="0"/>
        <w:tabs>
          <w:tab w:leader="none" w:pos="280"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Share Repurchases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January 2015 authorization which expired on January 9, 2018, the Company repurchased 440,608 shares of common stock during the three months ended March 31, 2018 at a total cost of $44,977, or $102.08 per share. There were 5,271,168 shares available for repurchase under this authorization upon expiration.</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the Company's Board of Directors approved a new standing share repurchase authorization, whereby the Company may repurchase up to 20 million shares of its common stock through December 31, 2020. This share repurchase authorization replaced the January 2015 share repurchase authorization. There were no repurchases under the February 2018 authorization during the three months ended March 31, 2019 and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9,703,666 shares remain authorized for repurchase under the February 2018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20. Earnings per Share</w:t>
            </w:r>
          </w:p>
        </w:tc>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740" w:type="dxa"/>
            <w:vAlign w:val="bottom"/>
            <w:gridSpan w:val="5"/>
          </w:tcPr>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109,410</w:t>
            </w:r>
          </w:p>
        </w:tc>
        <w:tc>
          <w:tcPr>
            <w:tcW w:w="0" w:type="dxa"/>
            <w:vAlign w:val="bottom"/>
          </w:tcPr>
          <w:p>
            <w:pPr>
              <w:spacing w:after="0"/>
              <w:rPr>
                <w:sz w:val="1"/>
                <w:szCs w:val="1"/>
                <w:color w:val="auto"/>
              </w:rPr>
            </w:pP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Earnings from discontinued operations, net</w:t>
            </w:r>
          </w:p>
        </w:tc>
        <w:tc>
          <w:tcPr>
            <w:tcW w:w="2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22,025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131,435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Earnings from discontinued operations,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79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162"/>
        </w:trPr>
        <w:tc>
          <w:tcPr>
            <w:tcW w:w="798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145,087,000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154,520,000</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Earnings from discontinued operations,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79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162"/>
        </w:trPr>
        <w:tc>
          <w:tcPr>
            <w:tcW w:w="798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146,911,000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157,090,000</w:t>
            </w:r>
          </w:p>
        </w:tc>
        <w:tc>
          <w:tcPr>
            <w:tcW w:w="0" w:type="dxa"/>
            <w:vAlign w:val="bottom"/>
          </w:tcPr>
          <w:p>
            <w:pPr>
              <w:spacing w:after="0"/>
              <w:rPr>
                <w:sz w:val="1"/>
                <w:szCs w:val="1"/>
                <w:color w:val="auto"/>
              </w:rPr>
            </w:pPr>
          </w:p>
        </w:tc>
      </w:tr>
      <w:tr>
        <w:trPr>
          <w:trHeight w:val="561"/>
        </w:trPr>
        <w:tc>
          <w:tcPr>
            <w:tcW w:w="7980" w:type="dxa"/>
            <w:vAlign w:val="bottom"/>
            <w:gridSpan w:val="2"/>
          </w:tcPr>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145,087,000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154,520,000</w:t>
            </w:r>
          </w:p>
        </w:tc>
        <w:tc>
          <w:tcPr>
            <w:tcW w:w="0" w:type="dxa"/>
            <w:vAlign w:val="bottom"/>
          </w:tcPr>
          <w:p>
            <w:pPr>
              <w:spacing w:after="0"/>
              <w:rPr>
                <w:sz w:val="1"/>
                <w:szCs w:val="1"/>
                <w:color w:val="auto"/>
              </w:rPr>
            </w:pP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Dilutive effect of assumed exercise of SARs and vesting of performance shares and RSUs</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2,570,000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146,911,000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157,090,000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number of anti-dilutive potential common shares excluded from the calculation above were approximately 42,000 and 13,000 for the three months ended March 31, 2019 and 2018, respectively.</w:t>
      </w:r>
    </w:p>
    <w:p>
      <w:pPr>
        <w:spacing w:after="0" w:line="193" w:lineRule="exact"/>
        <w:rPr>
          <w:sz w:val="20"/>
          <w:szCs w:val="20"/>
          <w:color w:val="auto"/>
        </w:rPr>
      </w:pPr>
    </w:p>
    <w:p>
      <w:pPr>
        <w:ind w:right="8360" w:firstLine="8"/>
        <w:spacing w:after="0" w:line="641" w:lineRule="auto"/>
        <w:tabs>
          <w:tab w:leader="none" w:pos="270" w:val="left"/>
        </w:tabs>
        <w:numPr>
          <w:ilvl w:val="0"/>
          <w:numId w:val="10"/>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 xml:space="preserve">Recent Accounting Pronouncements </w:t>
      </w:r>
      <w:r>
        <w:rPr>
          <w:rFonts w:ascii="Arial" w:cs="Arial" w:eastAsia="Arial" w:hAnsi="Arial"/>
          <w:sz w:val="15"/>
          <w:szCs w:val="15"/>
          <w:b w:val="1"/>
          <w:bCs w:val="1"/>
          <w:color w:val="auto"/>
        </w:rPr>
        <w:t>Recently Issued Accounting Standards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standards, issued by the Financial Accounting Standards Board ("FASB"), will, or are expected to, result in a change in practice and/or have a financial impact to the Company’s Consolidated Financial Statements: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guidance is effective for interim and annual periods for the Company on January 1, 2020, with early adoption permitted. Management has not yet completed its assessment of the impact of the new standard on the Company’s Consolidated Financial Statements. Currently, the Company believes that the most notable impact of this ASU may relate to its processes around the assessment of the adequacy of its allowance for doubtful accounts on trade accounts receivable and the recognition of credit losses.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where otherwise indicated)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the amendments in this update. The Company early adopted this guidance prospectively beginning on January 1, 2019. The adoption of this ASU did not have a material impact on the Company's Consolidated Financial Statements.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This ASU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The Company adopted this guidance on January 1, 2019. The adoption of this ASU did not have a material impact on the Company's Consolidated Financial Statements.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(Topic 842), which amends existing guidance to require lessees to recognize assets and liabilities on the balance sheet for the rights and obligations created by long-term leases and to disclose additional quantitative and qualitative information about leasing arrangements. This ASU also provides clarifications surrounding the presentation of the effects of leases in the income statement and statement of cash flows. The Company adopted this guidance on January 1, 2019.</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commenced its assessment of ASU 2016-02 in the second half of 2017 and developed a project plan to guide the implementation. The Company completed this project plan, in which it analyzed the ASU's impact on its leases, surveyed the Company's businesses, assessed the portfolio of leases, compiled a central repository of active leases, and established a future lease process to keep the lease accounting portfolio up to date. The Company evaluated the key policy elections and considerations under the standard and completed the internal policy documentation and training to address the new standard requirements. The Company also implemented a new lease accounting software solution to support the new reporting requirements. The Company adopted this new guidance using the updated modified transition method allowed per ASU 2018-11. Upon adoption on January 1, 2019, total assets and liabilities increased due to the recording of right-of-use assets and lease liabilities amounting to approximately $163 million. See Note 8 — Leases for further details.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22. Subsequent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2019 Dover completed the sale of Finder to Aturia, which generated total cash proceeds of $24,218, of which $2,245 was received on March 29, 2019. Any final working capital adjustments, which are not expected to be significant, will be recorded in the second quarter of 2019. The assets and liabilities of Finder were classified as held for sale as of March 31, 2019. See Note 5 — Held for Sale, Disposed and Discontinued Operations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Dover is a diversified global manufacturer delivering innovative equipment and components, specialty systems, consumable supplies, software and digital solutions and support services through three operating segments: Engineered Systems, Fluids, and Refrigeration &amp; Food Equipment.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Dover's three operating segments are as follows:</w:t>
      </w:r>
    </w:p>
    <w:p>
      <w:pPr>
        <w:spacing w:after="0" w:line="252" w:lineRule="exact"/>
        <w:rPr>
          <w:sz w:val="20"/>
          <w:szCs w:val="20"/>
          <w:color w:val="auto"/>
        </w:rPr>
      </w:pPr>
    </w:p>
    <w:p>
      <w:pPr>
        <w:jc w:val="both"/>
        <w:ind w:left="660" w:hanging="328"/>
        <w:spacing w:after="0" w:line="26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0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 efficient equipment and systems serving the commercial refrigeration and food equipment end markets.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2019, revenue was $1.7 billion, which increased $87.1 million as compared to the first quarter of 2018. Results were driven by organic revenue growth of 8.3% and acquisition-related revenue growth of 0.5%. This growth was offset by an unfavorable impact from foreign currency translation of 3.4% and decline of 0.1% due to previously disposed businesses in 2018.</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8.3% organic revenue growth was led by 15.1% organic growth in our Fluids segment, which was driven by strong activity in international retail fueling, industrial pumps, biopharma and other industrial markets. Engineered Systems segment organic revenue increased 5.8%, reflecting broad-based growth across the segment with particular strength in our Printing &amp; Identification platform, environmental solutions, vehicle service and industrial winch businesses. Organic revenue increased 0.7% in our Refrigeration &amp; Food Equipment segment driven by increased refrigeration remodel activity and increased demand for heat exchanger products, partially offset by project timing in our can-shaping business.</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From a geographic perspective, revenue for the U.S., our largest market, and Europe grew 7% and 14% organically year over year, respectively. U.S. organic growth was driven by strength across our Fluids and Engineered Systems segments while Europe growth was broad-based across all three segments.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2019, we acquired Belanger, Inc. ("Belanger"), a leading full-line car wash equipment manufacturer for $175.1 million, net of cash acquired. The acquisition of Belanger strengthens our position in the vehicle wash business within the Fueling &amp; Transport end market of the Fluids segment.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2019, we entered into a definitive agreement to sell Finder Pompe S.r.l ("Finder"), a wholly owned subsidiary, to Gruppo Aturia S.p.A for total consideration of approximately $23.6 million net of estimated selling costs. As of March 31, 2019, Finder met the criteria to be classified as held for sale. We classified Finder's assets and liabilities separately on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balance sheet as of March 31, 2019 and recorded a loss of $46.9 million on the net assets held for sale. Subsequently, on April 2, 2019, we completed the sale of Finder.</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months ended March 31, 2019, we continued to execute on our previously announced rightsizing initiatives to further optimize operations. Rightsizing programs in 2019 include: 1) broad-based selling, general and administrative expense reduction initiatives and 2) footprint consolidation actions. These actions resulted in approximately $4.0 million of rightsizing and other related costs across our segments, inclusive of restructuring costs. These charges relate to employee reductions and facility restructuring costs. We incurred rightsizing and other related costs of $0.5 million in Engineered Systems, $1.2 million in Fluids and $2.3 million in Refrigeration &amp; Food Equipment. These charges were recorded in cost of goods and services and selling, general and administrative expenses in the Condensed Consolidated Statement of Earnings. In 2019 and 2020, we expect to incur total rightsizing and other related charges, inclusive of restructuring costs, of approximately $20 million related to the completion of our selling, general and administrative expense reduction actions and continuation of our footprint consolidation initiatives. We incurred $4.0 million of charges during the three months ended March 31, 2019 and expect to incur approximately $11 million during the remainder of 2019 and approximately $5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34"/>
        </w:trPr>
        <w:tc>
          <w:tcPr>
            <w:tcW w:w="38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6"/>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Pr>
          <w:p>
            <w:pPr>
              <w:spacing w:after="0"/>
              <w:rPr>
                <w:sz w:val="24"/>
                <w:szCs w:val="24"/>
                <w:color w:val="auto"/>
              </w:rPr>
            </w:pPr>
          </w:p>
        </w:tc>
      </w:tr>
      <w:tr>
        <w:trPr>
          <w:trHeight w:val="27"/>
        </w:trPr>
        <w:tc>
          <w:tcPr>
            <w:tcW w:w="74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 except per share data)</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4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1,637,671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1,101,215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1,034,842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602,829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420" w:type="dxa"/>
            <w:vAlign w:val="bottom"/>
            <w:gridSpan w:val="2"/>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36.2 %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36.8 %</w:t>
            </w:r>
          </w:p>
        </w:tc>
        <w:tc>
          <w:tcPr>
            <w:tcW w:w="1160" w:type="dxa"/>
            <w:vAlign w:val="bottom"/>
            <w:gridSpan w:val="3"/>
          </w:tcPr>
          <w:p>
            <w:pPr>
              <w:jc w:val="right"/>
              <w:spacing w:after="0"/>
              <w:rPr>
                <w:sz w:val="20"/>
                <w:szCs w:val="20"/>
                <w:color w:val="auto"/>
              </w:rPr>
            </w:pPr>
            <w:r>
              <w:rPr>
                <w:rFonts w:ascii="Arial" w:cs="Arial" w:eastAsia="Arial" w:hAnsi="Arial"/>
                <w:sz w:val="18"/>
                <w:szCs w:val="18"/>
                <w:i w:val="1"/>
                <w:iCs w:val="1"/>
                <w:color w:val="auto"/>
              </w:rPr>
              <w:t>(0.6)%</w:t>
            </w:r>
          </w:p>
        </w:tc>
      </w:tr>
      <w:tr>
        <w:trPr>
          <w:trHeight w:val="27"/>
        </w:trPr>
        <w:tc>
          <w:tcPr>
            <w:tcW w:w="7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16"/>
        </w:trPr>
        <w:tc>
          <w:tcPr>
            <w:tcW w:w="74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435,026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Selling, general and administrative expenses as a percent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26.6 %</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r>
      <w:tr>
        <w:trPr>
          <w:trHeight w:val="216"/>
        </w:trPr>
        <w:tc>
          <w:tcPr>
            <w:tcW w:w="7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742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spacing w:after="0"/>
              <w:rPr>
                <w:sz w:val="23"/>
                <w:szCs w:val="23"/>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7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16"/>
        </w:trPr>
        <w:tc>
          <w:tcPr>
            <w:tcW w:w="7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 and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134,251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18.5 %</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r>
      <w:tr>
        <w:trPr>
          <w:trHeight w:val="216"/>
        </w:trPr>
        <w:tc>
          <w:tcPr>
            <w:tcW w:w="7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109,410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Earnings from discontinued operations, net</w:t>
            </w: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22,025</w:t>
            </w:r>
          </w:p>
        </w:tc>
        <w:tc>
          <w:tcPr>
            <w:tcW w:w="1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131,435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 per common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 per common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rPr>
              <w:t>* nm - not meaningful</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2019, revenue increased $87.1 million, or 5.3%, from the comparable period. Results included organic revenue growth of 8.3% led by our Fluids and Engineered Systems segments and acquisition-related revenue growth of 0.5% from our Fluids segment. This growth was partially offset by an unfavorable impact from foreign currency translation of 3.4% and a revenue decline of 0.1% due to businesses previously disposed of in 2018 within the Fluids segment. Customer pricing favorably impacted revenue by approximately 1.1% in the first quarter of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three months ended March 31, 2019 increased $20.7 million, or 3.4%, from the comparable period, primarily due to organic revenue growth of 8.3%, benefits from productivity initiatives and the benefits of rightsizing and other restructuring actions taken in 2018, partially offset by increased material costs and U.S. Sections 232 and 301 tariff exposure as well as unfavorable business and regional mix. Gross profit margin decreased by 60 basis points for the three months ended March 31, 2019 from the comparable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for the three months ended March 31, 2019 decreased $26.6 million, or 6.1%, from the comparable period, primarily due to $28 million of benefits from rightsizing actions started in 2018. As a percentage of revenue, selling, general and administrative expenses decreased 290 basis points to 23.7%, reflecting the leverage of costs on a higher revenue base and the decrease in expenses.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$34.6 million and $35.8 million, for the three months ended March 31, 2019 and 2018, respectively. These costs as a percent of revenue were 2.0% and 2.2% for the three months ended March 31, 2019 and 2018,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assets held for sale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2019, the Company entered into a definitive agreement to sell Finder for total consideration of approximately $23.6 million net of estimated selling costs. As of March 31, 2019, Finder met the criteria to be classified as held for sale and based on the total consideration from the sale, net of selling costs, the Company recorded a loss on the assets held for sale of $46.9 million. The loss was comprised of an impairment on assets held for sale of $21.6 million and foreign currency translation losses reclassified from accumulated other comprehensive losses to current earnings of $25.3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effective tax rates for the three months ended March 31, 2019 and 2018 were 23.6% and 18.5%, respectively. The increase in the effective tax rate for the three months ended March 31, 2019 relative to the prior comparable period was predominantly driven by the exclusion of capital losses on assets held for sale of Finder under local tax law. Additionally, the effective tax rates for the three months ended March 31, 2019 and 2018 included discrete tax benefits principally from stock award exercises.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$12.2 million.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Earnings from continuing operations for the three months ended March 31, 2019 decreased 3.4% to $105.7 million, or $0.72 diluted earnings per share, from $109.4 million, or $0.70 diluted earnings per share, from the comparable period. The decrease in earnings from continuing operations is mainly attributable to the loss on assets held for sale for Finder in the Fluids segment of $46.9 million. Excluding the loss on assets held for sale, earnings from continuing operations increased by $43.2 million or 39.5% or $0.29 diluted earnings per share, mainly driven by the 3.4% increase in gross profit due to an increase in revenues led by the Fluids and Engineered Systems segments and 6.1% decrease in selling, general and administrative expenses due to benefits from restructuring programs initiated in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2019, there were no earnings or losses presented as discontinued operations. For the three months ended March 31, 2018, the historical results of Apergy were presented as discontinued operations as the May 9, 2018 spin-off represented a strategic shift in operations with a major impact on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Pr>
          <w:p>
            <w:pPr>
              <w:spacing w:after="0"/>
              <w:rPr>
                <w:sz w:val="20"/>
                <w:szCs w:val="20"/>
                <w:color w:val="auto"/>
              </w:rPr>
            </w:pPr>
          </w:p>
        </w:tc>
      </w:tr>
      <w:tr>
        <w:trPr>
          <w:trHeight w:val="27"/>
        </w:trPr>
        <w:tc>
          <w:tcPr>
            <w:tcW w:w="72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2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7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282,086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282,522</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405,105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687,191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671,626</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3"/>
        </w:trPr>
        <w:tc>
          <w:tcPr>
            <w:tcW w:w="7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123,074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102,066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16"/>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gridSpan w:val="2"/>
          </w:tcPr>
          <w:p>
            <w:pPr>
              <w:ind w:left="34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280,658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284,437</w:t>
            </w: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414,786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466,722</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64"/>
        </w:trPr>
        <w:tc>
          <w:tcPr>
            <w:tcW w:w="7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695,444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751,159</w:t>
            </w:r>
          </w:p>
        </w:tc>
        <w:tc>
          <w:tcPr>
            <w:tcW w:w="1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43"/>
        </w:trPr>
        <w:tc>
          <w:tcPr>
            <w:tcW w:w="7240" w:type="dxa"/>
            <w:vAlign w:val="bottom"/>
            <w:gridSpan w:val="2"/>
          </w:tcPr>
          <w:p>
            <w:pPr>
              <w:ind w:left="34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121,374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135,915</w:t>
            </w: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376,474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7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512,389</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3"/>
        </w:trPr>
        <w:tc>
          <w:tcPr>
            <w:tcW w:w="7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24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89"/>
        </w:trPr>
        <w:tc>
          <w:tcPr>
            <w:tcW w:w="7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2019 Compared to the First Quarter 2018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Engineered Systems revenue for the first quarter of 2019 increased $15.6 million, or 2.3%, as compared to the first quarter of 2018, comprised of broad-based organic growth of 5.8% partially offset by an unfavorable impact from foreign currency translation of 3.5%. Customer pricing favorably impacted revenue by approximately 1.8% in the first quarter of 2019.</w:t>
      </w:r>
    </w:p>
    <w:p>
      <w:pPr>
        <w:spacing w:after="0" w:line="181" w:lineRule="exact"/>
        <w:rPr>
          <w:sz w:val="20"/>
          <w:szCs w:val="20"/>
          <w:color w:val="auto"/>
        </w:rPr>
      </w:pPr>
    </w:p>
    <w:p>
      <w:pPr>
        <w:jc w:val="both"/>
        <w:ind w:left="660" w:hanging="328"/>
        <w:spacing w:after="0" w:line="31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Printing &amp; Identification revenue (representing 41.0% of segment revenue) decreased $0.4 million, or 0.2%, as compared to the prior year quarter. The decrease was primarily driven by organic revenue growth of 5.3% which was more than offset by an unfavorable impact from foreign currency translation of 5.5%. Organic revenue growth was led by strong activity in digital printing, complemented by growth in marking and coding.</w:t>
      </w:r>
    </w:p>
    <w:p>
      <w:pPr>
        <w:spacing w:after="0" w:line="173" w:lineRule="exact"/>
        <w:rPr>
          <w:rFonts w:ascii="Arial" w:cs="Arial" w:eastAsia="Arial" w:hAnsi="Arial"/>
          <w:sz w:val="16"/>
          <w:szCs w:val="16"/>
          <w:color w:val="auto"/>
        </w:rPr>
      </w:pPr>
    </w:p>
    <w:p>
      <w:pPr>
        <w:jc w:val="both"/>
        <w:ind w:left="660" w:hanging="328"/>
        <w:spacing w:after="0" w:line="31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Industrials revenue (representing 59.0% of segment revenue) increased $16.0 million, or 4.1%, as compared to the prior year quarter. The increase was primarily driven by organic revenue growth of 6.2% partially offset by an unfavorable impact of foreign currency translation of 2.1%. Organic revenue growth was broad-based, with particular strength in our environmental solutions, vehicle service, and industrial winch businesses.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Engineered Systems segment earnings increased $21.0 million, or 20.6%, compared to the first quarter of 2018. This increase was primarily driven by solid conversion on organic volume growth, favorable pricing and productivity initiatives including the benefits of rightsizing actions and cost reduction initiatives across both platforms. These benefits more than offset increases in material costs primarily driven by U.S. Section 232 tariffs, most notably commodity cost increases impacting steel, U.S. Section 301 tariffs, and unfavorable foreign currency translation. Segment margins increased 270 basis points to 17.9% from 15.2 % as compared to the prior year quarter.</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Bookings decreased 7.4% for the segment, including an organic decline of 4.4% and an unfavorable impact of 3.0% from foreign currency translation. Bookings for our Industrials platform decreased 11.1%, compared to the prior year quarter, driven by a strong prior period for our environmental solutions and vehicle service businesses, along with the unfavorable impact of foreign currency translation of 1.6%. Our Printing &amp; Identification bookings decreased 1.3% compared to the prior year quarter, driven by organic growth of 4.1% which was more than offset by the impact from unfavorable foreign currency translation of 5.4%. Segment book-to-bill was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Pr>
          <w:p>
            <w:pPr>
              <w:spacing w:after="0"/>
              <w:rPr>
                <w:sz w:val="20"/>
                <w:szCs w:val="20"/>
                <w:color w:val="auto"/>
              </w:rPr>
            </w:pPr>
          </w:p>
        </w:tc>
      </w:tr>
      <w:tr>
        <w:trPr>
          <w:trHeight w:val="27"/>
        </w:trPr>
        <w:tc>
          <w:tcPr>
            <w:tcW w:w="72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2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7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Fueling &amp; Transport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373,050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319,304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Pumps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162,309</w:t>
            </w: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70"/>
        </w:trPr>
        <w:tc>
          <w:tcPr>
            <w:tcW w:w="72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Process Solutions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152,735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146,485</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r>
      <w:tr>
        <w:trPr>
          <w:trHeight w:val="289"/>
        </w:trPr>
        <w:tc>
          <w:tcPr>
            <w:tcW w:w="7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703,224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628,098</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r>
      <w:tr>
        <w:trPr>
          <w:trHeight w:val="163"/>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7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67,348</w:t>
            </w: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7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7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87,647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101,797</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16"/>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35,426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34,449</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712,856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703,461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538,888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544,250</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240" w:type="dxa"/>
            <w:vAlign w:val="bottom"/>
            <w:gridSpan w:val="2"/>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24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89"/>
        </w:trPr>
        <w:tc>
          <w:tcPr>
            <w:tcW w:w="7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firstLine="8"/>
        <w:spacing w:after="0"/>
        <w:tabs>
          <w:tab w:leader="none" w:pos="168"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Excluding a loss on assets held for sale for Finder, segment earnings was $99,167 and $67,348 for the three months ended March 31, 2019 and 2018, respectively. Segment margin was 14.1% and 10.7% for the three months ended March 31, 2019 and 2018, respectively.</w:t>
      </w:r>
    </w:p>
    <w:p>
      <w:pPr>
        <w:spacing w:after="0" w:line="1" w:lineRule="exact"/>
        <w:rPr>
          <w:rFonts w:ascii="Arial" w:cs="Arial" w:eastAsia="Arial" w:hAnsi="Arial"/>
          <w:sz w:val="19"/>
          <w:szCs w:val="19"/>
          <w:color w:val="auto"/>
          <w:vertAlign w:val="superscript"/>
        </w:rPr>
      </w:pPr>
    </w:p>
    <w:p>
      <w:pPr>
        <w:jc w:val="both"/>
        <w:ind w:firstLine="8"/>
        <w:spacing w:after="0" w:line="224" w:lineRule="auto"/>
        <w:tabs>
          <w:tab w:leader="none" w:pos="18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Excluding a loss on assets held for sale for Finder, segment EBITDA was $134,593 and $101,797 for the three months ended March 31, 2019 and 2018, respectively. Segment EBITDA margin was 19.1% and 16.2% for the three months ended March 31, 2019 and 2018, respectively. See "Non-GAAP Disclosures" for definitions of segment EBITDA and segment EBITDA margin.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2019 Compared to the First Quarter 2018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Fluids revenue for the first quarter of 2019 increased $75.1 million, or 12.0%, comprised of organic growth of 15.1% and acquisition-related growth of 1.3%, partially offset by an unfavorable impact from foreign currency translation of 4.1% and a 0.3% decrease due to businesses previously disposed of in 2018. Customer pricing favorably impacted revenue by approximately 0.9% in the first quarter of 2019.</w:t>
      </w:r>
    </w:p>
    <w:p>
      <w:pPr>
        <w:spacing w:after="0" w:line="208" w:lineRule="exact"/>
        <w:rPr>
          <w:sz w:val="20"/>
          <w:szCs w:val="20"/>
          <w:color w:val="auto"/>
        </w:rPr>
      </w:pPr>
    </w:p>
    <w:p>
      <w:pPr>
        <w:jc w:val="both"/>
        <w:ind w:left="660" w:hanging="328"/>
        <w:spacing w:after="0" w:line="27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Fueling &amp; Transport revenue (representing 53.0% of segment revenue) increased $53.7 million, or 16.8%, as compared to the prior year quarter, primarily driven by continued strong international retail fueling activity, specifically in the Asia Pacific region, strong dispenser growth in North America, and the acquisition of Belanger. Transport revenue improved over the prior year and the rail business experienced strong growth, in part, due to softer volumes experienced in the prior year quarter and the continued rebound of aftermarket volumes.</w:t>
      </w:r>
    </w:p>
    <w:p>
      <w:pPr>
        <w:spacing w:after="0" w:line="198"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Pumps revenue (representing 25.2% of segment revenue) increased $15.1 million, or 9.3%, as compared to the prior year quarter. This increase reflects growth in North America where bookings increased 17.0% over the prior year, and continued strength from industrial pump sales to large original equipment manufacturers ("OEMs"). Additionally, strong activity in other industrial markets, specifically biopharma, continue to trend positively.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Process Solutions revenue (representing 21.8% of segment revenue) increased $6.3 million, or 4.3%, as compared to the prior year quarter. This revenue increase was driven by broad-based strength in critical component for rotating equipment and plastic &amp; polymers equipment.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Fluids segment earnings decreased $15.1 million, or 22.5%, over the prior year quarter. The decrease was predominantly driven by the $46.9 million loss on the Finder assets held for sale during the quarter. Excluding this loss, earnings increased $31.8 million, or 47.2%, over the prior year quarter, driven by pricing initiatives, volume leverage, productivity actions and benefits of selling, general and administrative cost reduction realized. These benefits were partially offset by increased material costs and U.S. Sections 232 and 301 exposure, along with unfavorable product and regional mix. Segment margin decreased 330 basis points over the prior year quarter. Excluding the previously mentioned loss on assets held for sale, segment margin improved 340 basis points over the prior year quarter.</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bookings increased 1.3% as compared to the prior year quarter, driven by our Pumps and Process Solutions end markets. Segment book to bill was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Refrigeration &amp; Food Equipment segment is a provider of innovative and energy efficient equipment and systems serving the commercial refrigeration and food equipment end 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6"/>
          </w:tcPr>
          <w:p>
            <w:pPr>
              <w:jc w:val="right"/>
              <w:ind w:right="77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2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2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Refrigeration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277,598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278,655</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Food Equipment</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334,643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338,235</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183"/>
        </w:trPr>
        <w:tc>
          <w:tcPr>
            <w:tcW w:w="7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29,182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Bookings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376,998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372,701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Backlog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Components of revenue decline: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Organic growth</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2019 Compared to the First Quarter 2018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Refrigeration &amp; Food Equipment revenue decreased $3.6 million, or 1.1%, as compared to the first quarter of 2018, reflecting organic revenue growth of 0.7% which was more than offset by an unfavorable impact from foreign currency translation of 1.8%. Customer pricing did not have a significant impact on revenue in the first quarter of 2019.</w:t>
      </w:r>
    </w:p>
    <w:p>
      <w:pPr>
        <w:spacing w:after="0" w:line="208" w:lineRule="exact"/>
        <w:rPr>
          <w:sz w:val="20"/>
          <w:szCs w:val="20"/>
          <w:color w:val="auto"/>
        </w:rPr>
      </w:pPr>
    </w:p>
    <w:p>
      <w:pPr>
        <w:jc w:val="both"/>
        <w:ind w:left="660" w:right="2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Refrigeration revenue (representing 83.0% of segment revenue) decreased $1.1 million, or 0.4%, as compared to the prior year quarter. Organic revenue growth of 1.8% was more than offset by the unfavorable impact of foreign currency translation of 2.2%. Organic growth was principally driven by increased remodel activity across a broad based group of retailers and increased demand for heat exchanger products, most notably in Europe.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Food Equipment revenue (representing 17.0% of segment revenue) decreased $2.5 million, or 4.3%, as compared to the prior year quarter, due to project timing in our can-shaping equipment business, partially offset by modest growth in foodservice equipment driven by increased demand from restaurant chains.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Refrigeration &amp; Food Equipment segment earnings decreased $4.4 million, or 15.0%, as compared to the first quarter of 2018. Segment margin decreased to 7.4% from 8.6% in the prior year quarter due to unfavorable business mix primarily in our can-shaping business, higher material costs, and expenses related to footprint consolidation activities more than offsetting benefits from prior year restructuring actions and improved productivity.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Bookings in the first quarter of 2019 increased 1.2% from the prior year quarter driven by increased project orders in our can-shaping business partially offset by unfavorable foreign currency translation. Segment book to bill for the first quarter of 2019 was 1.13. Backlog increased 10.0% over the prior year quarter as a result of increased demand for retail refrigeration and can-shaping equipment products.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 while managing our capital structure on a short and long-term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w w:val="99"/>
              </w:rPr>
              <w:t>The following table is derived from our Condensed Consolidated Statements of Cash Flows: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Continuing Operations </w:t>
            </w: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24,524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15,535</w:t>
            </w:r>
          </w:p>
        </w:tc>
      </w:tr>
      <w:tr>
        <w:trPr>
          <w:trHeight w:val="27"/>
        </w:trPr>
        <w:tc>
          <w:tcPr>
            <w:tcW w:w="7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(122,597)</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36,067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(289,103)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the three months ended March 31, 2019 increased approximately $9.0 million compared to the comparable period in 2018. This increase was primarily driven by higher continuing earnings before the impact of depreciation, amortization and loss on sale of assets. The increase was partially offset by higher investments in working capital of $90.5 million relative to the prior year primarily due to strong sales during the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26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2"/>
                <w:szCs w:val="22"/>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44"/>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1,231,859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828,298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748,796</w:t>
            </w:r>
          </w:p>
        </w:tc>
      </w:tr>
      <w:tr>
        <w:trPr>
          <w:trHeight w:val="27"/>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969,531</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1,148,189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1,011,124</w:t>
            </w:r>
          </w:p>
        </w:tc>
      </w:tr>
    </w:tbl>
    <w:p>
      <w:pPr>
        <w:spacing w:after="0" w:line="3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working capital increased from December 31, 2018 by $137.1 million, or 13.6%, to $1.1 billion at March 31, 2019, which reflected an increase of $40.2 million in accounts receivable and an increase of $79.5 million in inventory, partially offset by a decrease in accounts payable of $17.4 million. Excluding acquisitions, dispositions, and the effects of foreign currency translation, adjusted working capital increased by $137.9 million, or 13.6%, for the three months ended March 31, 2019 primarily driven by higher investments in working capital to support strong sales during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or used in investing activities generally results from cash outflows for capital expenditures and acquisitions, offset by proceeds from sales of businesses and property, plant and equipment. For the three months ended March 31, 2019 and 2018, we used cash through investing activities of $217.7 million and $122.6 million, respectively, driven mainly by the following factors:</w:t>
      </w:r>
    </w:p>
    <w:p>
      <w:pPr>
        <w:spacing w:after="0" w:line="208" w:lineRule="exact"/>
        <w:rPr>
          <w:sz w:val="20"/>
          <w:szCs w:val="20"/>
          <w:color w:val="auto"/>
        </w:rPr>
      </w:pPr>
    </w:p>
    <w:p>
      <w:pPr>
        <w:jc w:val="both"/>
        <w:ind w:left="660" w:hanging="328"/>
        <w:spacing w:after="0" w:line="264"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three months ended March 31, 2019, we acquired Belanger, within the Fluids segment for $175.1 million, net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During the three months ended March 31, 2018, we acquired Ettlinger, within the Fluids segment for $53.1 million, net of cash acquired, and Rosario, within the Refrigeration &amp; Food Equipment segment for $15.3 million, net of cash acquired.</w:t>
      </w:r>
    </w:p>
    <w:p>
      <w:pPr>
        <w:spacing w:after="0" w:line="208"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Our capital expenditures decreased $7.6 million during the three months ended March 31, 2019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60" w:hanging="328"/>
        <w:spacing w:after="0" w:line="312" w:lineRule="auto"/>
        <w:tabs>
          <w:tab w:leader="none" w:pos="655"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Proceeds from sale of businesses: </w:t>
      </w:r>
      <w:r>
        <w:rPr>
          <w:rFonts w:ascii="Arial" w:cs="Arial" w:eastAsia="Arial" w:hAnsi="Arial"/>
          <w:sz w:val="16"/>
          <w:szCs w:val="16"/>
          <w:color w:val="auto"/>
        </w:rPr>
        <w:t>For the three months ended March 31, 2019, we received partial proceeds of $2.2 million from the sale of Finder</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second quarter of 2019. This sale was completed on April 2, 2019 at which time the remainder of the cash on sale was received. For the three months ended March 31, 2018, we generated cash of $2.1 million primarily from the sale of a small business in the fourth quarter of 2017.</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that capital expenditures and any acquisitions we make through the remainder of 2019 will be funded from available cash and internally generated funds and through the issuance of commercial paper, use of established lines of credit or public or private debt or equity markets, as necessary.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cash flow from financing activities generally relates to the use of cash for the repurchase of our common stock and payments of dividends, offset by net borrowing activity and proceeds from the exercises of share-based awards. For the three months ended March 31, 2019 and 2018, we generated cash totaling $36.1 million and used cash totaling $289.1 million, respectively, for financing activities, with the activity primarily attributable to the following:</w:t>
      </w:r>
    </w:p>
    <w:p>
      <w:pPr>
        <w:spacing w:after="0" w:line="174" w:lineRule="exact"/>
        <w:rPr>
          <w:sz w:val="20"/>
          <w:szCs w:val="20"/>
          <w:color w:val="auto"/>
        </w:rPr>
      </w:pPr>
    </w:p>
    <w:p>
      <w:pPr>
        <w:ind w:left="660" w:right="20" w:hanging="328"/>
        <w:spacing w:after="0" w:line="342" w:lineRule="auto"/>
        <w:tabs>
          <w:tab w:leader="none" w:pos="655"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Repurchase of common stock: </w:t>
      </w:r>
      <w:r>
        <w:rPr>
          <w:rFonts w:ascii="Arial" w:cs="Arial" w:eastAsia="Arial" w:hAnsi="Arial"/>
          <w:sz w:val="16"/>
          <w:szCs w:val="16"/>
          <w:color w:val="auto"/>
        </w:rPr>
        <w:t>There were no share repurchases during the three months ended March 31, 2019. During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2018, we used $45.0 million to repurchase 440,608 shares under our January 2015 authorization, which expired on January 9, 2018.</w:t>
      </w:r>
    </w:p>
    <w:p>
      <w:pPr>
        <w:spacing w:after="0" w:line="150" w:lineRule="exact"/>
        <w:rPr>
          <w:rFonts w:ascii="Arial" w:cs="Arial" w:eastAsia="Arial" w:hAnsi="Arial"/>
          <w:sz w:val="16"/>
          <w:szCs w:val="16"/>
          <w:i w:val="1"/>
          <w:iCs w:val="1"/>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commercial paper and notes payable: </w:t>
      </w:r>
      <w:r>
        <w:rPr>
          <w:rFonts w:ascii="Arial" w:cs="Arial" w:eastAsia="Arial" w:hAnsi="Arial"/>
          <w:sz w:val="18"/>
          <w:szCs w:val="18"/>
          <w:color w:val="auto"/>
        </w:rPr>
        <w:t>During the three months ended March 31, 2019, we received net proceeds from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paper and notes payable of $125.9 million primarily to fund the acquisition of Belanger. During the three months ended March 31, 2018, commercial paper and notes payable increased by $195.1 million used to fund the repayment of the Company's $350.0 million 5.45% notes, which matured on March 15, 2018.</w:t>
      </w:r>
    </w:p>
    <w:p>
      <w:pPr>
        <w:spacing w:after="0" w:line="213" w:lineRule="exact"/>
        <w:rPr>
          <w:rFonts w:ascii="Arial" w:cs="Arial" w:eastAsia="Arial" w:hAnsi="Arial"/>
          <w:sz w:val="18"/>
          <w:szCs w:val="18"/>
          <w:i w:val="1"/>
          <w:iCs w:val="1"/>
          <w:color w:val="auto"/>
        </w:rPr>
      </w:pPr>
    </w:p>
    <w:p>
      <w:pPr>
        <w:jc w:val="both"/>
        <w:ind w:left="660" w:hanging="328"/>
        <w:spacing w:after="0" w:line="279"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Dividend payments: </w:t>
      </w:r>
      <w:r>
        <w:rPr>
          <w:rFonts w:ascii="Arial" w:cs="Arial" w:eastAsia="Arial" w:hAnsi="Arial"/>
          <w:sz w:val="17"/>
          <w:szCs w:val="17"/>
          <w:color w:val="auto"/>
        </w:rPr>
        <w:t>Dividends paid to shareholders during the three months ended March 31, 2019 totaled $69.8 million as compared to $72.7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same period in 2018. Our dividends paid per common share increased 2.0% to $0.48 during the three months ended March 31, 2019 compared to $0.47 during the same period in 2018. The number of common shares outstanding decreased during the three months ended March 31, 2019 compared to the same period in 2018 as a result of share buyback programs completed in 2018.</w:t>
      </w:r>
    </w:p>
    <w:p>
      <w:pPr>
        <w:spacing w:after="0" w:line="198" w:lineRule="exact"/>
        <w:rPr>
          <w:rFonts w:ascii="Arial" w:cs="Arial" w:eastAsia="Arial" w:hAnsi="Arial"/>
          <w:sz w:val="17"/>
          <w:szCs w:val="17"/>
          <w:color w:val="auto"/>
        </w:rPr>
      </w:pPr>
    </w:p>
    <w:p>
      <w:pPr>
        <w:jc w:val="both"/>
        <w:ind w:left="660" w:hanging="328"/>
        <w:spacing w:after="0" w:line="264"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 based awards increased $4.7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period. This increase is primarily due to the increased number of shares exercised as well as an increase in the average stock price compared to the prior 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Discontinued Operations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cash flows from discontinued operations for the three months ended March 31, 2018 generated $6.5 million. These cash flows reflect the operating results of Apergy prior to its separation during the second quarter of 2018. Cash flows generated by discontinued operations for the three months ended March 31, 2018 primarily reflects cash provided by operating activities of approximately $20.0 million, partially offset by capital expenditures.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7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15,535</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(44,678)</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2019, we used free cash flow of $12.6 million, representing 0.7% of revenue. Free cash flow for the three months ended March 31, 2019 increased $16.5 million compared to the prior year period, primarily due to higher cash flow provided by operations, as previously noted, as well as lower capital expenditures. The adoption of Accounting Standard Codification Topic 842 - Leases on January 1, 2019 did not did not materially impact free cash flow.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commercial paper borrowings for general corporate purposes, including the funding of acquisitions and the repurchase of our common stock. We maintain a $1.0 billion, five-year, unsecured committed revolving credit facility (the "Credit Agreement") with a syndicate of banks which will expire on November 10, 2020. The Credit Agreement is used as liquidity back-up for our commercial paper program. We have not drawn down any loans under the Credit Agreement nor do we anticipate doing so. Under the Credit Agreement, we are required to pay a facility fee and to maintain an interest coverage ratio of consolidated EBITDA to consolidated net interest expense of not less than 3.0 to 1.0. We were in compliance with this covenant and our other long-term debt covenants at March 31, 2019 and had a coverage ratio of 9.7 to 1.0. We are not aware of any potential impairment to our liquidity and expect to remain in compliance with all of our debt covenants.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2019, our cash and cash equivalents totaled $243.0 million, of which $204.1 million was held outside the United States. At December 31, 2018, our cash and cash equivalents totaled $396.2 million, of which $247.5 million was held outside the United States. Cash and cash equivalents are invested in highly liquid investment-grade money market instruments and bank deposits with maturities of three months or less. We regularly invest cash in excess of near-term requirements in money market instruments or short-term investments, which consist of investment grade time deposits with original maturity dates at the time of purchase of no greater than three months.</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xml:space="preserve">Net Debt to Net Capitalization Ratio </w:t>
            </w: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December 31, 2018</w:t>
            </w:r>
          </w:p>
        </w:tc>
      </w:tr>
      <w:tr>
        <w:trPr>
          <w:trHeight w:val="244"/>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344,900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220,318</w:t>
            </w:r>
          </w:p>
        </w:tc>
      </w:tr>
      <w:tr>
        <w:trPr>
          <w:trHeight w:val="27"/>
        </w:trPr>
        <w:tc>
          <w:tcPr>
            <w:tcW w:w="6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payable and 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220,318</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2,940,967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2,943,660</w:t>
            </w:r>
          </w:p>
        </w:tc>
      </w:tr>
      <w:tr>
        <w:trPr>
          <w:trHeight w:val="27"/>
        </w:trPr>
        <w:tc>
          <w:tcPr>
            <w:tcW w:w="6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3,163,978</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Less: Cash and cash equivalents</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(243,014)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(396,221)</w:t>
            </w:r>
          </w:p>
        </w:tc>
      </w:tr>
      <w:tr>
        <w:trPr>
          <w:trHeight w:val="27"/>
        </w:trPr>
        <w:tc>
          <w:tcPr>
            <w:tcW w:w="6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2,767,757</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Add: Stockholders' equity</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2,837,453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2,768,666</w:t>
            </w:r>
          </w:p>
        </w:tc>
      </w:tr>
      <w:tr>
        <w:trPr>
          <w:trHeight w:val="27"/>
        </w:trPr>
        <w:tc>
          <w:tcPr>
            <w:tcW w:w="6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5,881,661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5,536,423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Net debt to net capitalization</w:t>
            </w: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51.8 %</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50.0 %</w:t>
            </w: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debt to net capitalization ratio increased to 51.8% at March 31, 2019 from 50.0% at December 31, 2018. The increase in this ratio was driven primarily by the increase in net debt which exceeded the increase in stockholders' equity during the three months ended March 31, 2019. Net debt increased $276.5 million during the period primarily due to an increase in commercial paper and a reduction in cash levels to fund the acquisition of Belanger, dividends, and other operating purposes. Stockholders' equity increased $68.8 million primarily as a result of higher earnings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Operating cash flow and access to capital markets are expected to satisfy our various cash flow requirements, including acquisitions and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spending and/or share repurchases could potentially increase our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Part 1, Notes to Condensed Consolidated Financial Statements, Note 21 — Recent Accounting Pronouncements. The adoption of recent accounting standards as included in Note 21 — Recent Accounting Pronouncements in the Condensed Consolidated Financial Statements has not had and is not expected to have a significant impact on our revenue, earnings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Quarterly Report on Form 10-Q, especially "Management’s Discussion and Analysis of Financial Condition and Results of Operations,"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U.S. tax reform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2018. The Company undertakes no obligation to publicly update any forward-looking statement, whether as a result of new information, future events or otherwise.</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an effort to provide investors with additional information regarding our results as determined by GAAP, we also disclose non-GAAP information that we believe provides useful information to investors. Segment EBITDA, segment EBITDA margin, free cash flow, net debt, net capitalization, the net debt to net capitalization ratio, adjusted working capital and organic revenue growth are not financial measures under GAAP and should not be considered as a substitute for cash flows from operating activities, debt or equity, earnings, revenue or working capital as determined in accordance with GAAP, and they may not be comparable to similarly titled measures reported by other companies. 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are not allocated at a segment level. Segment EBITDA margin is calculated as segment EBITDA divided by segment revenue.</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the net debt to net capitalization ratio and free cash flow are important measures of liquidity. Net debt to net capitalization is helpful in evaluating our capital structure and the amount of leverage we employ. Free cash flow provides both management and investors a measurement of cash generated from operations that is available to fund acquisitions, pay dividends, repay debt and repurchase our common stock. Reconciliations of free cash flow, net debt and net capitalization can be found above in this Item 2, MD&amp;A. We believe that reporting adjusted working capital, which is calculated as accounts receivable, plus inventory, less accounts payable, provides a meaningful measure of our operational results by showing the changes caused solely by revenue. We believe that reporting organic revenue and organic revenue growth, which exclude the impact of foreign currency exchange rates and the impact of acquisitions and divestitures, provides a useful comparison of our revenue performance and trends between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significant change in our exposure to market risk during the three months ended March 31, 2019. For a discussion of our exposure to market risk, refer to Item 7A, "Quantitative and Qualitative Disclosures about Market Risk," contained in our Annual Report on Form 10-K for the fiscal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March 31, 2019.</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2019, there were no changes in the Company’s internal control over financial reporting that materially affected, or are reasonably likely to materially affect, the Company’s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Notes to Condensed Consolidated Financial Statements, Note 15 — Commitments and Contingent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jc w:val="both"/>
        <w:ind w:left="340" w:hanging="332"/>
        <w:spacing w:after="0" w:line="259" w:lineRule="auto"/>
        <w:tabs>
          <w:tab w:leader="none" w:pos="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February 2018, the Company's Board of Directors approved a new standing share repurchase authorization, whereby the Company may repurchase up to 20 million shares of its common stock through December 31, 2020. No share repurchases were made under the February 2018 authorization during the three months ended March 31, 2019. As of March 31, 2019, the number of shares still available for repurchase under the February 2018 share repurchase authorization was 9,703,666.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47">
        <w:r>
          <w:rPr>
            <w:rFonts w:ascii="Arial" w:cs="Arial" w:eastAsia="Arial" w:hAnsi="Arial"/>
            <w:sz w:val="18"/>
            <w:szCs w:val="18"/>
            <w:u w:val="single" w:color="auto"/>
            <w:color w:val="026DCE"/>
          </w:rPr>
          <w:t>Form of award grant letter for SSAR grants made under the Dover Corporation 2012 Equity and Cash Incentive Plan.*</w:t>
        </w:r>
      </w:hyperlink>
    </w:p>
    <w:p>
      <w:pPr>
        <w:spacing w:after="0" w:line="212"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10.2 </w:t>
      </w:r>
      <w:hyperlink w:anchor="page49">
        <w:r>
          <w:rPr>
            <w:rFonts w:ascii="Arial" w:cs="Arial" w:eastAsia="Arial" w:hAnsi="Arial"/>
            <w:sz w:val="17"/>
            <w:szCs w:val="17"/>
            <w:u w:val="single" w:color="auto"/>
            <w:color w:val="026DCE"/>
          </w:rPr>
          <w:t>Form of award grant letter for cash performance awards made under the Dover Corporation 2012 Equity and Cash Incentive Plan.*</w:t>
        </w:r>
      </w:hyperlink>
    </w:p>
    <w:p>
      <w:pPr>
        <w:spacing w:after="0" w:line="223"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10.3 </w:t>
      </w:r>
      <w:hyperlink w:anchor="page52">
        <w:r>
          <w:rPr>
            <w:rFonts w:ascii="Arial" w:cs="Arial" w:eastAsia="Arial" w:hAnsi="Arial"/>
            <w:sz w:val="17"/>
            <w:szCs w:val="17"/>
            <w:u w:val="single" w:color="auto"/>
            <w:color w:val="026DCE"/>
          </w:rPr>
          <w:t>Form of award grant letter for performance share awards made under the Dover Corporation 2012 Equity and Cash Incentive Plan.*</w:t>
        </w:r>
      </w:hyperlink>
    </w:p>
    <w:p>
      <w:pPr>
        <w:spacing w:after="0" w:line="223"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10.4 </w:t>
      </w:r>
      <w:hyperlink w:anchor="page55">
        <w:r>
          <w:rPr>
            <w:rFonts w:ascii="Arial" w:cs="Arial" w:eastAsia="Arial" w:hAnsi="Arial"/>
            <w:sz w:val="18"/>
            <w:szCs w:val="18"/>
            <w:u w:val="single" w:color="auto"/>
            <w:color w:val="026DCE"/>
          </w:rPr>
          <w:t>Form of award grant letter for RSU awards made under the Dover Corporation 2012 Equity and Cash Incentive Plan.*</w:t>
        </w:r>
      </w:hyperlink>
    </w:p>
    <w:p>
      <w:pPr>
        <w:spacing w:after="0" w:line="225"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57">
        <w:r>
          <w:rPr>
            <w:rFonts w:ascii="Arial" w:cs="Arial" w:eastAsia="Arial" w:hAnsi="Arial"/>
            <w:sz w:val="17"/>
            <w:szCs w:val="17"/>
            <w:u w:val="single" w:color="auto"/>
            <w:color w:val="026DCE"/>
          </w:rPr>
          <w:t>Certificate pursuant to Rule 13a-14(a) of the Securities Exchange Act of 1934, as amended, signed and dated by Brad M. Cerepak.</w:t>
        </w:r>
      </w:hyperlink>
    </w:p>
    <w:p>
      <w:pPr>
        <w:spacing w:after="0" w:line="196"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58">
        <w:r>
          <w:rPr>
            <w:rFonts w:ascii="Arial" w:cs="Arial" w:eastAsia="Arial" w:hAnsi="Arial"/>
            <w:sz w:val="17"/>
            <w:szCs w:val="17"/>
            <w:u w:val="single" w:color="auto"/>
            <w:color w:val="026DCE"/>
          </w:rPr>
          <w:t>Certificate pursuant to Rule 13a-14(a) of the Securities Exchange Act of 1934, as amended, signed and dated by Richard J. Tobin.</w:t>
        </w:r>
      </w:hyperlink>
    </w:p>
    <w:p>
      <w:pPr>
        <w:spacing w:after="0" w:line="183" w:lineRule="exact"/>
        <w:rPr>
          <w:sz w:val="20"/>
          <w:szCs w:val="20"/>
          <w:color w:val="auto"/>
        </w:rPr>
      </w:pPr>
    </w:p>
    <w:p>
      <w:pPr>
        <w:ind w:left="960" w:right="300" w:hanging="215"/>
        <w:spacing w:after="0" w:line="235" w:lineRule="auto"/>
        <w:rPr>
          <w:rFonts w:ascii="Arial" w:cs="Arial" w:eastAsia="Arial" w:hAnsi="Arial"/>
          <w:sz w:val="18"/>
          <w:szCs w:val="18"/>
          <w:u w:val="single" w:color="auto"/>
          <w:color w:val="026DCE"/>
        </w:rPr>
      </w:pPr>
      <w:r>
        <w:rPr>
          <w:rFonts w:ascii="Arial" w:cs="Arial" w:eastAsia="Arial" w:hAnsi="Arial"/>
          <w:sz w:val="18"/>
          <w:szCs w:val="18"/>
          <w:color w:val="auto"/>
        </w:rPr>
        <w:t xml:space="preserve">32 </w:t>
      </w:r>
      <w:hyperlink w:anchor="page59">
        <w:r>
          <w:rPr>
            <w:rFonts w:ascii="Arial" w:cs="Arial" w:eastAsia="Arial" w:hAnsi="Arial"/>
            <w:sz w:val="18"/>
            <w:szCs w:val="18"/>
            <w:u w:val="single" w:color="auto"/>
            <w:color w:val="026DCE"/>
          </w:rPr>
          <w:t>Certificate pursuant to 18 U.S.C. Section 1350, as adopted pursuant to Section 906 of the Sarbanes-Oxley Act of 2002, signed and dated by</w:t>
        </w:r>
      </w:hyperlink>
      <w:r>
        <w:rPr>
          <w:rFonts w:ascii="Arial" w:cs="Arial" w:eastAsia="Arial" w:hAnsi="Arial"/>
          <w:sz w:val="18"/>
          <w:szCs w:val="18"/>
          <w:color w:val="auto"/>
        </w:rPr>
        <w:t xml:space="preserve"> </w:t>
      </w:r>
      <w:hyperlink w:anchor="page59">
        <w:r>
          <w:rPr>
            <w:rFonts w:ascii="Arial" w:cs="Arial" w:eastAsia="Arial" w:hAnsi="Arial"/>
            <w:sz w:val="18"/>
            <w:szCs w:val="18"/>
            <w:u w:val="single" w:color="auto"/>
            <w:color w:val="026DCE"/>
          </w:rPr>
          <w:t>Richard J. Tobin and Brad M. Cerepak.</w:t>
        </w:r>
      </w:hyperlink>
    </w:p>
    <w:p>
      <w:pPr>
        <w:spacing w:after="0" w:line="135" w:lineRule="exact"/>
        <w:rPr>
          <w:sz w:val="20"/>
          <w:szCs w:val="20"/>
          <w:color w:val="auto"/>
        </w:rPr>
      </w:pPr>
    </w:p>
    <w:p>
      <w:pPr>
        <w:jc w:val="both"/>
        <w:ind w:left="960" w:hanging="353"/>
        <w:spacing w:after="0" w:line="25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March 31, 2019 formatted in iXBRL (Inline eXtensible Business Reporting Language): (i) the Condensed Consolidated Statements of Earnings, (ii) the Condensed Consolidated Statements of Comprehensive Earnings, (iii) the Condensed Consolidated Balance Sheets, (iv) the Condensed Consolidated Statement of Stockholders’ Equity, (v) the Condensed Consolidated Statements of Cash Flows, and (vi)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91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00"/>
          </w:cols>
          <w:pgMar w:left="240" w:top="130" w:right="359" w:bottom="1440" w:gutter="0" w:footer="0" w:header="0"/>
        </w:sectPr>
      </w:pPr>
    </w:p>
    <w:bookmarkStart w:id="45" w:name="page46"/>
    <w:bookmarkEnd w:id="4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5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DOVER CORPORATION</w:t>
      </w:r>
    </w:p>
    <w:p>
      <w:pPr>
        <w:spacing w:after="0" w:line="333" w:lineRule="exact"/>
        <w:rPr>
          <w:sz w:val="20"/>
          <w:szCs w:val="20"/>
          <w:color w:val="auto"/>
        </w:rPr>
      </w:pPr>
    </w:p>
    <w:p>
      <w:pPr>
        <w:ind w:left="20"/>
        <w:spacing w:after="0"/>
        <w:tabs>
          <w:tab w:leader="none" w:pos="640" w:val="left"/>
          <w:tab w:leader="none" w:pos="6020" w:val="left"/>
        </w:tabs>
        <w:rPr>
          <w:sz w:val="20"/>
          <w:szCs w:val="20"/>
          <w:color w:val="auto"/>
        </w:rPr>
      </w:pPr>
      <w:r>
        <w:rPr>
          <w:rFonts w:ascii="Arial" w:cs="Arial" w:eastAsia="Arial" w:hAnsi="Arial"/>
          <w:sz w:val="18"/>
          <w:szCs w:val="18"/>
          <w:color w:val="auto"/>
        </w:rPr>
        <w:t>Date:</w:t>
        <w:tab/>
        <w:t>April 18, 2019</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395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20"/>
        <w:spacing w:after="0"/>
        <w:tabs>
          <w:tab w:leader="none" w:pos="640" w:val="left"/>
          <w:tab w:leader="none" w:pos="6020" w:val="left"/>
        </w:tabs>
        <w:rPr>
          <w:sz w:val="20"/>
          <w:szCs w:val="20"/>
          <w:color w:val="auto"/>
        </w:rPr>
      </w:pPr>
      <w:r>
        <w:rPr>
          <w:rFonts w:ascii="Arial" w:cs="Arial" w:eastAsia="Arial" w:hAnsi="Arial"/>
          <w:sz w:val="18"/>
          <w:szCs w:val="18"/>
          <w:color w:val="auto"/>
        </w:rPr>
        <w:t>Date:</w:t>
        <w:tab/>
        <w:t>April 18, 2019</w:t>
      </w:r>
      <w:r>
        <w:rPr>
          <w:sz w:val="20"/>
          <w:szCs w:val="20"/>
          <w:color w:val="auto"/>
        </w:rPr>
        <w:tab/>
      </w:r>
      <w:r>
        <w:rPr>
          <w:rFonts w:ascii="Arial" w:cs="Arial" w:eastAsia="Arial" w:hAnsi="Arial"/>
          <w:sz w:val="16"/>
          <w:szCs w:val="16"/>
          <w:color w:val="auto"/>
        </w:rPr>
        <w:t>/s/ Carrie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395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Carrie Anderson</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Controller</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26540"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65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SSAR Award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&lt;&lt;Name&gt;&gt;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SSAR grant: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Number of shares of Dover Common Stock -  &lt;&lt;# of Shares&gt;&gt;</w:t>
      </w:r>
    </w:p>
    <w:p>
      <w:pPr>
        <w:spacing w:after="0" w:line="23" w:lineRule="exact"/>
        <w:rPr>
          <w:sz w:val="20"/>
          <w:szCs w:val="20"/>
          <w:color w:val="auto"/>
        </w:rPr>
      </w:pPr>
    </w:p>
    <w:p>
      <w:pPr>
        <w:ind w:left="1300"/>
        <w:spacing w:after="0"/>
        <w:tabs>
          <w:tab w:leader="none" w:pos="3620" w:val="left"/>
        </w:tabs>
        <w:rPr>
          <w:sz w:val="20"/>
          <w:szCs w:val="20"/>
          <w:color w:val="auto"/>
        </w:rPr>
      </w:pPr>
      <w:r>
        <w:rPr>
          <w:rFonts w:ascii="Arial" w:cs="Arial" w:eastAsia="Arial" w:hAnsi="Arial"/>
          <w:sz w:val="18"/>
          <w:szCs w:val="18"/>
          <w:color w:val="auto"/>
        </w:rPr>
        <w:t>SSAR Base Price Per Share -</w:t>
      </w:r>
      <w:r>
        <w:rPr>
          <w:sz w:val="20"/>
          <w:szCs w:val="20"/>
          <w:color w:val="auto"/>
        </w:rPr>
        <w:tab/>
      </w:r>
      <w:r>
        <w:rPr>
          <w:rFonts w:ascii="Arial" w:cs="Arial" w:eastAsia="Arial" w:hAnsi="Arial"/>
          <w:sz w:val="16"/>
          <w:szCs w:val="16"/>
          <w:color w:val="auto"/>
        </w:rPr>
        <w:t>$</w:t>
      </w:r>
      <w:r>
        <w:rPr>
          <w:rFonts w:ascii="Arial" w:cs="Arial" w:eastAsia="Arial" w:hAnsi="Arial"/>
          <w:sz w:val="16"/>
          <w:szCs w:val="16"/>
          <w:color w:val="FF0000"/>
        </w:rPr>
        <w:t>xx.xx</w:t>
      </w:r>
    </w:p>
    <w:p>
      <w:pPr>
        <w:spacing w:after="0" w:line="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Date of Grant -</w:t>
      </w:r>
      <w:r>
        <w:rPr>
          <w:sz w:val="20"/>
          <w:szCs w:val="20"/>
          <w:color w:val="auto"/>
        </w:rPr>
        <w:tab/>
      </w:r>
      <w:r>
        <w:rPr>
          <w:rFonts w:ascii="Arial" w:cs="Arial" w:eastAsia="Arial" w:hAnsi="Arial"/>
          <w:sz w:val="16"/>
          <w:szCs w:val="16"/>
          <w:color w:val="auto"/>
        </w:rPr>
        <w:t>February 15, 2019</w:t>
      </w:r>
    </w:p>
    <w:p>
      <w:pPr>
        <w:spacing w:after="0" w:line="9"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color w:val="auto"/>
        </w:rPr>
        <w:t>Expiration Date -</w:t>
      </w:r>
      <w:r>
        <w:rPr>
          <w:sz w:val="20"/>
          <w:szCs w:val="20"/>
          <w:color w:val="auto"/>
        </w:rPr>
        <w:tab/>
      </w:r>
      <w:r>
        <w:rPr>
          <w:rFonts w:ascii="Arial" w:cs="Arial" w:eastAsia="Arial" w:hAnsi="Arial"/>
          <w:sz w:val="16"/>
          <w:szCs w:val="16"/>
          <w:color w:val="auto"/>
        </w:rPr>
        <w:t>February 15, 2029</w:t>
      </w:r>
    </w:p>
    <w:p>
      <w:pPr>
        <w:spacing w:after="0" w:line="200" w:lineRule="exact"/>
        <w:rPr>
          <w:sz w:val="20"/>
          <w:szCs w:val="20"/>
          <w:color w:val="auto"/>
        </w:rPr>
      </w:pPr>
    </w:p>
    <w:p>
      <w:pPr>
        <w:spacing w:after="0" w:line="2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Your Stock Settled Appreciation Right (SSAR)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SSAR Award is subject to the following:</w:t>
      </w:r>
    </w:p>
    <w:p>
      <w:pPr>
        <w:spacing w:after="0" w:line="225" w:lineRule="exact"/>
        <w:rPr>
          <w:sz w:val="20"/>
          <w:szCs w:val="20"/>
          <w:color w:val="auto"/>
        </w:rPr>
      </w:pPr>
    </w:p>
    <w:p>
      <w:pPr>
        <w:ind w:left="660" w:right="340" w:hanging="418"/>
        <w:spacing w:after="0" w:line="308" w:lineRule="auto"/>
        <w:tabs>
          <w:tab w:leader="none" w:pos="6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earliest date on which the SSAR Award may be exercised is the third anniversary of the Grant Date. Earlier exercise may be permitted in the event of a Change of Control or death or disability as provided in the Plan. No payment is required to exercise a SSAR Award.</w:t>
      </w:r>
    </w:p>
    <w:p>
      <w:pPr>
        <w:spacing w:after="0" w:line="169" w:lineRule="exact"/>
        <w:rPr>
          <w:rFonts w:ascii="Arial" w:cs="Arial" w:eastAsia="Arial" w:hAnsi="Arial"/>
          <w:sz w:val="17"/>
          <w:szCs w:val="17"/>
          <w:color w:val="auto"/>
        </w:rPr>
      </w:pPr>
    </w:p>
    <w:p>
      <w:pPr>
        <w:ind w:left="660" w:right="160" w:hanging="382"/>
        <w:spacing w:after="0" w:line="282" w:lineRule="auto"/>
        <w:tabs>
          <w:tab w:leader="none" w:pos="687"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It is your responsibility to keep track of your SSAR Award and to ensure that you exercise your SSAR Award before it expires. Dover will not remind or notify you that your SSAR Award is nearing its expiration date.</w:t>
      </w:r>
    </w:p>
    <w:p>
      <w:pPr>
        <w:spacing w:after="0" w:line="165" w:lineRule="exact"/>
        <w:rPr>
          <w:rFonts w:ascii="Arial" w:cs="Arial" w:eastAsia="Arial" w:hAnsi="Arial"/>
          <w:sz w:val="18"/>
          <w:szCs w:val="18"/>
          <w:color w:val="auto"/>
        </w:rPr>
      </w:pPr>
    </w:p>
    <w:p>
      <w:pPr>
        <w:ind w:left="660" w:hanging="382"/>
        <w:spacing w:after="0" w:line="277" w:lineRule="auto"/>
        <w:tabs>
          <w:tab w:leader="none" w:pos="6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Your SSAR Award is subject to earlier termination as provided in the Plan, for example, upon termination of employment (including retirement) prior to the expiration date.</w:t>
      </w:r>
    </w:p>
    <w:p>
      <w:pPr>
        <w:spacing w:after="0" w:line="170" w:lineRule="exact"/>
        <w:rPr>
          <w:rFonts w:ascii="Arial" w:cs="Arial" w:eastAsia="Arial" w:hAnsi="Arial"/>
          <w:sz w:val="18"/>
          <w:szCs w:val="18"/>
          <w:color w:val="auto"/>
        </w:rPr>
      </w:pPr>
    </w:p>
    <w:p>
      <w:pPr>
        <w:ind w:left="660" w:hanging="382"/>
        <w:spacing w:after="0" w:line="274" w:lineRule="auto"/>
        <w:tabs>
          <w:tab w:leader="none" w:pos="642" w:val="left"/>
        </w:tabs>
        <w:numPr>
          <w:ilvl w:val="1"/>
          <w:numId w:val="22"/>
        </w:numPr>
        <w:rPr>
          <w:rFonts w:ascii="Arial" w:cs="Arial" w:eastAsia="Arial" w:hAnsi="Arial"/>
          <w:sz w:val="17"/>
          <w:szCs w:val="17"/>
          <w:color w:val="auto"/>
        </w:rPr>
      </w:pPr>
      <w:r>
        <w:rPr>
          <w:rFonts w:ascii="Arial" w:cs="Arial" w:eastAsia="Arial" w:hAnsi="Arial"/>
          <w:sz w:val="17"/>
          <w:szCs w:val="17"/>
          <w:color w:val="auto"/>
        </w:rPr>
        <w:t>Upon exercise of your SSAR Award, you will be entitled to receive from Dover that number of whole shares of Common Stock equal in value, on the date of exercise of the SSAR Award, to the excess of (A) the value of a share of Common Stock on the date of exercise of the SSAR</w:t>
      </w:r>
    </w:p>
    <w:p>
      <w:pPr>
        <w:ind w:left="660" w:right="200"/>
        <w:spacing w:after="0" w:line="254" w:lineRule="auto"/>
        <w:rPr>
          <w:rFonts w:ascii="Arial" w:cs="Arial" w:eastAsia="Arial" w:hAnsi="Arial"/>
          <w:sz w:val="17"/>
          <w:szCs w:val="17"/>
          <w:color w:val="auto"/>
        </w:rPr>
      </w:pPr>
      <w:r>
        <w:rPr>
          <w:rFonts w:ascii="Arial" w:cs="Arial" w:eastAsia="Arial" w:hAnsi="Arial"/>
          <w:sz w:val="18"/>
          <w:szCs w:val="18"/>
          <w:color w:val="auto"/>
        </w:rPr>
        <w:t>Award multiplied by the number of SSARs being exercised over (B) the sum of (i) the per share base price of the SSAR 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disregarded.</w:t>
      </w:r>
    </w:p>
    <w:p>
      <w:pPr>
        <w:spacing w:after="0" w:line="190" w:lineRule="exact"/>
        <w:rPr>
          <w:sz w:val="20"/>
          <w:szCs w:val="20"/>
          <w:color w:val="auto"/>
        </w:rPr>
      </w:pPr>
    </w:p>
    <w:p>
      <w:pPr>
        <w:ind w:left="660" w:right="100" w:hanging="418"/>
        <w:spacing w:after="0" w:line="273" w:lineRule="auto"/>
        <w:tabs>
          <w:tab w:leader="none" w:pos="6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As a condition of receiving your SSAR Award, you agree to be bound by the terms and conditions of the Dover Corporation Anti-hedging and Anti-pledging Policy and by any Clawback Policy to be adopted by Dover, as such policies may be in effect from time to time. The Anti-hedging and Anti-pledging Policy prohibits hedging or pledging </w:t>
      </w:r>
      <w:r>
        <w:rPr>
          <w:rFonts w:ascii="Arial" w:cs="Arial" w:eastAsia="Arial" w:hAnsi="Arial"/>
          <w:sz w:val="17"/>
          <w:szCs w:val="17"/>
          <w:u w:val="single" w:color="auto"/>
          <w:color w:val="auto"/>
        </w:rPr>
        <w:t>any</w:t>
      </w:r>
      <w:r>
        <w:rPr>
          <w:rFonts w:ascii="Arial" w:cs="Arial" w:eastAsia="Arial" w:hAnsi="Arial"/>
          <w:sz w:val="17"/>
          <w:szCs w:val="17"/>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any Clawback Policy to be adopted by Dover, by contacting the Benefits Department at 630-541-1540.</w:t>
      </w:r>
    </w:p>
    <w:p>
      <w:pPr>
        <w:spacing w:after="0" w:line="205" w:lineRule="exact"/>
        <w:rPr>
          <w:rFonts w:ascii="Arial" w:cs="Arial" w:eastAsia="Arial" w:hAnsi="Arial"/>
          <w:sz w:val="17"/>
          <w:szCs w:val="17"/>
          <w:color w:val="auto"/>
        </w:rPr>
      </w:pPr>
    </w:p>
    <w:p>
      <w:pPr>
        <w:ind w:left="660" w:right="140" w:hanging="382"/>
        <w:spacing w:after="0" w:line="277" w:lineRule="auto"/>
        <w:tabs>
          <w:tab w:leader="none" w:pos="642"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 Non-US Employees, your SSAR Award is subject to the terms and conditions of the Addendum for Non-US Employees attached to your SSAR Award letter.</w:t>
      </w:r>
    </w:p>
    <w:p>
      <w:pPr>
        <w:sectPr>
          <w:pgSz w:w="11900" w:h="16838" w:orient="portrait"/>
          <w:cols w:equalWidth="0" w:num="1">
            <w:col w:w="11420"/>
          </w:cols>
          <w:pgMar w:left="240" w:top="783" w:right="239" w:bottom="1440" w:gutter="0" w:footer="0" w:header="0"/>
        </w:sectPr>
      </w:pPr>
    </w:p>
    <w:bookmarkStart w:id="47" w:name="page48"/>
    <w:bookmarkEnd w:id="47"/>
    <w:p>
      <w:pPr>
        <w:spacing w:after="0" w:line="36" w:lineRule="exact"/>
        <w:rPr>
          <w:sz w:val="20"/>
          <w:szCs w:val="20"/>
          <w:color w:val="auto"/>
        </w:rPr>
      </w:pPr>
    </w:p>
    <w:p>
      <w:pPr>
        <w:ind w:left="382" w:hanging="382"/>
        <w:spacing w:after="0" w:line="277" w:lineRule="auto"/>
        <w:tabs>
          <w:tab w:leader="none" w:pos="3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Your SSAR Award is not transferrable by you other than by will or the laws of descent and distribution and in accordance with the applicable terms and conditions of the Plan.</w:t>
      </w:r>
    </w:p>
    <w:p>
      <w:pPr>
        <w:spacing w:after="0" w:line="170" w:lineRule="exact"/>
        <w:rPr>
          <w:rFonts w:ascii="Arial" w:cs="Arial" w:eastAsia="Arial" w:hAnsi="Arial"/>
          <w:sz w:val="18"/>
          <w:szCs w:val="18"/>
          <w:color w:val="auto"/>
        </w:rPr>
      </w:pPr>
    </w:p>
    <w:p>
      <w:pPr>
        <w:ind w:left="402" w:hanging="402"/>
        <w:spacing w:after="0"/>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0962"/>
          </w:cols>
          <w:pgMar w:left="518" w:top="1440"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26540" cy="565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265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Cash Performance Award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«Name»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Cash Performance Award:</w:t>
      </w:r>
    </w:p>
    <w:p>
      <w:pPr>
        <w:spacing w:after="0" w:line="252"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Your business unit -</w:t>
      </w:r>
      <w:r>
        <w:rPr>
          <w:sz w:val="20"/>
          <w:szCs w:val="20"/>
          <w:color w:val="auto"/>
        </w:rPr>
        <w:tab/>
      </w:r>
      <w:r>
        <w:rPr>
          <w:rFonts w:ascii="Arial" w:cs="Arial" w:eastAsia="Arial" w:hAnsi="Arial"/>
          <w:sz w:val="16"/>
          <w:szCs w:val="16"/>
          <w:color w:val="auto"/>
        </w:rPr>
        <w:t>«Company»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Performance Period is the three-year period -  2019 - 2021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Your target Cash Performance Award payout at the 100% level - «Tagetlocal» «Currency_Code»</w:t>
      </w:r>
    </w:p>
    <w:p>
      <w:pPr>
        <w:spacing w:after="0" w:line="200" w:lineRule="exact"/>
        <w:rPr>
          <w:sz w:val="20"/>
          <w:szCs w:val="20"/>
          <w:color w:val="auto"/>
        </w:rPr>
      </w:pPr>
    </w:p>
    <w:p>
      <w:pPr>
        <w:spacing w:after="0" w:line="2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actual Cash Performance Award amount to be paid to you, if any, will be derived from the Cash Performance Payout Table included in this Award agreement.</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Your Cash Performance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Cash Performance Award is subject to the following:</w:t>
      </w:r>
    </w:p>
    <w:p>
      <w:pPr>
        <w:spacing w:after="0" w:line="225" w:lineRule="exact"/>
        <w:rPr>
          <w:sz w:val="20"/>
          <w:szCs w:val="20"/>
          <w:color w:val="auto"/>
        </w:rPr>
      </w:pPr>
    </w:p>
    <w:p>
      <w:pPr>
        <w:ind w:left="340" w:right="120" w:hanging="332"/>
        <w:spacing w:after="0" w:line="29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your Dover Operating Company will pay you a Cash Performance Award payout if your business unit has reached certain levels of internal total shareholder return (“iTSR”), as set forth in the Cash Performance Payout Table, and the other conditions of your Cash Performance Award are satisfied.</w:t>
      </w:r>
    </w:p>
    <w:p>
      <w:pPr>
        <w:spacing w:after="0" w:line="209"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summary of the definition of iTSR for your business unit is set forth in the Definition of iTSR included in this Award agreement.</w:t>
      </w:r>
    </w:p>
    <w:p>
      <w:pPr>
        <w:spacing w:after="0" w:line="279" w:lineRule="exact"/>
        <w:rPr>
          <w:rFonts w:ascii="Arial" w:cs="Arial" w:eastAsia="Arial" w:hAnsi="Arial"/>
          <w:sz w:val="18"/>
          <w:szCs w:val="18"/>
          <w:color w:val="auto"/>
        </w:rPr>
      </w:pPr>
    </w:p>
    <w:p>
      <w:pPr>
        <w:ind w:left="340" w:right="180" w:hanging="332"/>
        <w:spacing w:after="0" w:line="312" w:lineRule="auto"/>
        <w:tabs>
          <w:tab w:leader="none" w:pos="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aggregate maximum cash payout for each business unit (determined after applying the individual payout limitation noted in the next sentence, if applicable) in respect of all Cash Performance Awards for a specific Performance Period shall not exceed the product of (i) 1.75%, times (ii) the sum of the business unit’s change in entity value plus free cash flow (as such terms are defined in the Definition of iTSR) for that Performance Period. In no event will the Cash Performance Award payout to any one individual exceed $10 million for the Performance Period.</w:t>
      </w:r>
    </w:p>
    <w:p>
      <w:pPr>
        <w:spacing w:after="0" w:line="199" w:lineRule="exact"/>
        <w:rPr>
          <w:rFonts w:ascii="Arial" w:cs="Arial" w:eastAsia="Arial" w:hAnsi="Arial"/>
          <w:sz w:val="17"/>
          <w:szCs w:val="17"/>
          <w:color w:val="auto"/>
        </w:rPr>
      </w:pPr>
    </w:p>
    <w:p>
      <w:pPr>
        <w:ind w:left="340" w:right="120" w:hanging="332"/>
        <w:spacing w:after="0" w:line="288" w:lineRule="auto"/>
        <w:tabs>
          <w:tab w:leader="none" w:pos="3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As a condition of receiving your Cash Performance Award, you agree to be bound by the terms and conditions of the Dover Corporation Anti-hedging and Anti-pledging Policy and by any Clawback Policy to be adopted by Dover,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w:t>
      </w:r>
    </w:p>
    <w:p>
      <w:pPr>
        <w:sectPr>
          <w:pgSz w:w="11900" w:h="16838" w:orient="portrait"/>
          <w:cols w:equalWidth="0" w:num="1">
            <w:col w:w="11420"/>
          </w:cols>
          <w:pgMar w:left="240" w:top="143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DATE: February 15,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&lt;&lt;Name&gt;&gt;</w:t>
      </w:r>
    </w:p>
    <w:p>
      <w:pPr>
        <w:spacing w:after="0" w:line="386" w:lineRule="exact"/>
        <w:rPr>
          <w:sz w:val="20"/>
          <w:szCs w:val="20"/>
          <w:color w:val="auto"/>
        </w:rPr>
      </w:pPr>
    </w:p>
    <w:p>
      <w:pPr>
        <w:ind w:left="340" w:right="380"/>
        <w:spacing w:after="0" w:line="309" w:lineRule="auto"/>
        <w:rPr>
          <w:sz w:val="20"/>
          <w:szCs w:val="20"/>
          <w:color w:val="auto"/>
        </w:rPr>
      </w:pPr>
      <w:r>
        <w:rPr>
          <w:rFonts w:ascii="Arial" w:cs="Arial" w:eastAsia="Arial" w:hAnsi="Arial"/>
          <w:sz w:val="18"/>
          <w:szCs w:val="18"/>
          <w:color w:val="auto"/>
        </w:rPr>
        <w:t>compliance. You may obtain a copy of the current version of the Anti-hedging and Anti-pledging Policy, and any Clawback Policy to be adopted by Dover, by contacting the Benefits Department at 630-541-1540.</w:t>
      </w:r>
    </w:p>
    <w:p>
      <w:pPr>
        <w:spacing w:after="0" w:line="196"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Non-US Employees, your Cash Performance Award is subject to the terms and conditions of the Addendum for Non-US Employees.</w:t>
      </w:r>
    </w:p>
    <w:p>
      <w:pPr>
        <w:spacing w:after="0" w:line="279" w:lineRule="exact"/>
        <w:rPr>
          <w:rFonts w:ascii="Arial" w:cs="Arial" w:eastAsia="Arial" w:hAnsi="Arial"/>
          <w:sz w:val="18"/>
          <w:szCs w:val="18"/>
          <w:color w:val="auto"/>
        </w:rPr>
      </w:pPr>
    </w:p>
    <w:p>
      <w:pPr>
        <w:ind w:left="340" w:hanging="332"/>
        <w:spacing w:after="0" w:line="309" w:lineRule="auto"/>
        <w:tabs>
          <w:tab w:leader="none" w:pos="3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Your Cash Performance Award is not transferrable by you other than by will or the laws of descent and distribution and in accordance with the applicable terms and conditions of the Plan.</w:t>
      </w:r>
    </w:p>
    <w:p>
      <w:pPr>
        <w:spacing w:after="0" w:line="19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292" w:lineRule="exact"/>
        <w:rPr>
          <w:sz w:val="20"/>
          <w:szCs w:val="20"/>
          <w:color w:val="auto"/>
        </w:rPr>
      </w:pPr>
    </w:p>
    <w:tbl>
      <w:tblPr>
        <w:tblLayout w:type="fixed"/>
        <w:tblInd w:w="11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120" w:type="dxa"/>
            <w:vAlign w:val="bottom"/>
            <w:gridSpan w:val="4"/>
          </w:tcPr>
          <w:p>
            <w:pPr>
              <w:ind w:left="240"/>
              <w:spacing w:after="0"/>
              <w:rPr>
                <w:sz w:val="20"/>
                <w:szCs w:val="20"/>
                <w:color w:val="auto"/>
              </w:rPr>
            </w:pPr>
            <w:r>
              <w:rPr>
                <w:rFonts w:ascii="Arial" w:cs="Arial" w:eastAsia="Arial" w:hAnsi="Arial"/>
                <w:sz w:val="18"/>
                <w:szCs w:val="18"/>
                <w:b w:val="1"/>
                <w:bCs w:val="1"/>
                <w:color w:val="auto"/>
              </w:rPr>
              <w:t>Cash Performance Payout Table</w:t>
            </w:r>
          </w:p>
        </w:tc>
      </w:tr>
      <w:tr>
        <w:trPr>
          <w:trHeight w:val="291"/>
        </w:trPr>
        <w:tc>
          <w:tcPr>
            <w:tcW w:w="262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1320" w:type="dxa"/>
            <w:vAlign w:val="bottom"/>
            <w:tcBorders>
              <w:top w:val="single" w:sz="8" w:color="auto"/>
              <w:bottom w:val="single" w:sz="8" w:color="00000A"/>
            </w:tcBorders>
          </w:tcPr>
          <w:p>
            <w:pPr>
              <w:spacing w:after="0"/>
              <w:rPr>
                <w:sz w:val="24"/>
                <w:szCs w:val="24"/>
                <w:color w:val="auto"/>
              </w:rPr>
            </w:pPr>
          </w:p>
        </w:tc>
        <w:tc>
          <w:tcPr>
            <w:tcW w:w="1160" w:type="dxa"/>
            <w:vAlign w:val="bottom"/>
            <w:tcBorders>
              <w:top w:val="single" w:sz="8" w:color="auto"/>
              <w:bottom w:val="single" w:sz="8" w:color="00000A"/>
            </w:tcBorders>
          </w:tcPr>
          <w:p>
            <w:pPr>
              <w:spacing w:after="0"/>
              <w:rPr>
                <w:sz w:val="24"/>
                <w:szCs w:val="24"/>
                <w:color w:val="auto"/>
              </w:rPr>
            </w:pPr>
          </w:p>
        </w:tc>
        <w:tc>
          <w:tcPr>
            <w:tcW w:w="4400" w:type="dxa"/>
            <w:vAlign w:val="bottom"/>
            <w:tcBorders>
              <w:bottom w:val="single" w:sz="8" w:color="00000A"/>
            </w:tcBorders>
          </w:tcPr>
          <w:p>
            <w:pPr>
              <w:spacing w:after="0"/>
              <w:rPr>
                <w:sz w:val="24"/>
                <w:szCs w:val="24"/>
                <w:color w:val="auto"/>
              </w:rPr>
            </w:pPr>
          </w:p>
        </w:tc>
      </w:tr>
      <w:tr>
        <w:trPr>
          <w:trHeight w:val="237"/>
        </w:trPr>
        <w:tc>
          <w:tcPr>
            <w:tcW w:w="4140" w:type="dxa"/>
            <w:vAlign w:val="bottom"/>
            <w:tcBorders>
              <w:left w:val="single" w:sz="8" w:color="00000A"/>
            </w:tcBorders>
            <w:gridSpan w:val="3"/>
          </w:tcPr>
          <w:p>
            <w:pPr>
              <w:ind w:left="1780"/>
              <w:spacing w:after="0"/>
              <w:rPr>
                <w:sz w:val="20"/>
                <w:szCs w:val="20"/>
                <w:color w:val="auto"/>
              </w:rPr>
            </w:pPr>
            <w:r>
              <w:rPr>
                <w:rFonts w:ascii="Arial" w:cs="Arial" w:eastAsia="Arial" w:hAnsi="Arial"/>
                <w:sz w:val="18"/>
                <w:szCs w:val="18"/>
                <w:color w:val="auto"/>
              </w:rPr>
              <w:t>iTSR for Performance Period</w:t>
            </w:r>
          </w:p>
        </w:tc>
        <w:tc>
          <w:tcPr>
            <w:tcW w:w="240" w:type="dxa"/>
            <w:vAlign w:val="bottom"/>
          </w:tcPr>
          <w:p>
            <w:pPr>
              <w:spacing w:after="0"/>
              <w:rPr>
                <w:sz w:val="20"/>
                <w:szCs w:val="20"/>
                <w:color w:val="auto"/>
              </w:rPr>
            </w:pPr>
          </w:p>
        </w:tc>
        <w:tc>
          <w:tcPr>
            <w:tcW w:w="1320" w:type="dxa"/>
            <w:vAlign w:val="bottom"/>
            <w:tcBorders>
              <w:right w:val="single" w:sz="8" w:color="00000A"/>
            </w:tcBorders>
          </w:tcPr>
          <w:p>
            <w:pPr>
              <w:spacing w:after="0"/>
              <w:rPr>
                <w:sz w:val="20"/>
                <w:szCs w:val="20"/>
                <w:color w:val="auto"/>
              </w:rPr>
            </w:pPr>
          </w:p>
        </w:tc>
        <w:tc>
          <w:tcPr>
            <w:tcW w:w="1160" w:type="dxa"/>
            <w:vAlign w:val="bottom"/>
          </w:tcPr>
          <w:p>
            <w:pPr>
              <w:spacing w:after="0"/>
              <w:rPr>
                <w:sz w:val="20"/>
                <w:szCs w:val="20"/>
                <w:color w:val="auto"/>
              </w:rPr>
            </w:pPr>
          </w:p>
        </w:tc>
        <w:tc>
          <w:tcPr>
            <w:tcW w:w="4400" w:type="dxa"/>
            <w:vAlign w:val="bottom"/>
            <w:tcBorders>
              <w:right w:val="single" w:sz="8" w:color="00000A"/>
            </w:tcBorders>
          </w:tcPr>
          <w:p>
            <w:pPr>
              <w:ind w:left="860"/>
              <w:spacing w:after="0"/>
              <w:rPr>
                <w:sz w:val="20"/>
                <w:szCs w:val="20"/>
                <w:color w:val="auto"/>
              </w:rPr>
            </w:pPr>
            <w:r>
              <w:rPr>
                <w:rFonts w:ascii="Arial" w:cs="Arial" w:eastAsia="Arial" w:hAnsi="Arial"/>
                <w:sz w:val="18"/>
                <w:szCs w:val="18"/>
                <w:color w:val="auto"/>
              </w:rPr>
              <w:t>Payout (% of target)</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1560" w:type="dxa"/>
            <w:vAlign w:val="bottom"/>
            <w:tcBorders>
              <w:bottom w:val="single" w:sz="8" w:color="00000A"/>
              <w:right w:val="single" w:sz="8" w:color="00000A"/>
            </w:tcBorders>
            <w:gridSpan w:val="2"/>
          </w:tcPr>
          <w:p>
            <w:pPr>
              <w:spacing w:after="0"/>
              <w:rPr>
                <w:sz w:val="2"/>
                <w:szCs w:val="2"/>
                <w:color w:val="auto"/>
              </w:rPr>
            </w:pPr>
          </w:p>
        </w:tc>
        <w:tc>
          <w:tcPr>
            <w:tcW w:w="5560" w:type="dxa"/>
            <w:vAlign w:val="bottom"/>
            <w:tcBorders>
              <w:bottom w:val="single" w:sz="8" w:color="00000A"/>
              <w:right w:val="single" w:sz="8" w:color="00000A"/>
            </w:tcBorders>
            <w:gridSpan w:val="2"/>
          </w:tcPr>
          <w:p>
            <w:pPr>
              <w:spacing w:after="0"/>
              <w:rPr>
                <w:sz w:val="2"/>
                <w:szCs w:val="2"/>
                <w:color w:val="auto"/>
              </w:rPr>
            </w:pPr>
          </w:p>
        </w:tc>
      </w:tr>
      <w:tr>
        <w:trPr>
          <w:trHeight w:val="237"/>
        </w:trPr>
        <w:tc>
          <w:tcPr>
            <w:tcW w:w="4140" w:type="dxa"/>
            <w:vAlign w:val="bottom"/>
            <w:tcBorders>
              <w:left w:val="single" w:sz="8" w:color="00000A"/>
            </w:tcBorders>
            <w:gridSpan w:val="3"/>
          </w:tcPr>
          <w:p>
            <w:pPr>
              <w:jc w:val="right"/>
              <w:ind w:right="1120"/>
              <w:spacing w:after="0"/>
              <w:rPr>
                <w:sz w:val="20"/>
                <w:szCs w:val="20"/>
                <w:color w:val="auto"/>
              </w:rPr>
            </w:pPr>
            <w:r>
              <w:rPr>
                <w:rFonts w:ascii="Arial" w:cs="Arial" w:eastAsia="Arial" w:hAnsi="Arial"/>
                <w:sz w:val="18"/>
                <w:szCs w:val="18"/>
                <w:color w:val="auto"/>
              </w:rPr>
              <w:t>&lt;5%</w:t>
            </w:r>
          </w:p>
        </w:tc>
        <w:tc>
          <w:tcPr>
            <w:tcW w:w="1560" w:type="dxa"/>
            <w:vAlign w:val="bottom"/>
            <w:tcBorders>
              <w:right w:val="single" w:sz="8" w:color="00000A"/>
            </w:tcBorders>
            <w:gridSpan w:val="2"/>
          </w:tcPr>
          <w:p>
            <w:pPr>
              <w:spacing w:after="0"/>
              <w:rPr>
                <w:sz w:val="20"/>
                <w:szCs w:val="20"/>
                <w:color w:val="auto"/>
              </w:rPr>
            </w:pPr>
          </w:p>
        </w:tc>
        <w:tc>
          <w:tcPr>
            <w:tcW w:w="5560" w:type="dxa"/>
            <w:vAlign w:val="bottom"/>
            <w:tcBorders>
              <w:right w:val="single" w:sz="8" w:color="00000A"/>
            </w:tcBorders>
            <w:gridSpan w:val="2"/>
          </w:tcPr>
          <w:p>
            <w:pPr>
              <w:jc w:val="center"/>
              <w:ind w:right="70"/>
              <w:spacing w:after="0"/>
              <w:rPr>
                <w:sz w:val="20"/>
                <w:szCs w:val="20"/>
                <w:color w:val="auto"/>
              </w:rPr>
            </w:pPr>
            <w:r>
              <w:rPr>
                <w:rFonts w:ascii="Arial" w:cs="Arial" w:eastAsia="Arial" w:hAnsi="Arial"/>
                <w:sz w:val="18"/>
                <w:szCs w:val="18"/>
                <w:color w:val="auto"/>
                <w:w w:val="92"/>
              </w:rPr>
              <w:t>0%</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1560" w:type="dxa"/>
            <w:vAlign w:val="bottom"/>
            <w:tcBorders>
              <w:bottom w:val="single" w:sz="8" w:color="00000A"/>
              <w:right w:val="single" w:sz="8" w:color="00000A"/>
            </w:tcBorders>
            <w:gridSpan w:val="2"/>
          </w:tcPr>
          <w:p>
            <w:pPr>
              <w:spacing w:after="0"/>
              <w:rPr>
                <w:sz w:val="2"/>
                <w:szCs w:val="2"/>
                <w:color w:val="auto"/>
              </w:rPr>
            </w:pPr>
          </w:p>
        </w:tc>
        <w:tc>
          <w:tcPr>
            <w:tcW w:w="5560" w:type="dxa"/>
            <w:vAlign w:val="bottom"/>
            <w:tcBorders>
              <w:bottom w:val="single" w:sz="8" w:color="00000A"/>
              <w:right w:val="single" w:sz="8" w:color="00000A"/>
            </w:tcBorders>
            <w:gridSpan w:val="2"/>
          </w:tcPr>
          <w:p>
            <w:pPr>
              <w:spacing w:after="0"/>
              <w:rPr>
                <w:sz w:val="2"/>
                <w:szCs w:val="2"/>
                <w:color w:val="auto"/>
              </w:rPr>
            </w:pPr>
          </w:p>
        </w:tc>
      </w:tr>
      <w:tr>
        <w:trPr>
          <w:trHeight w:val="237"/>
        </w:trPr>
        <w:tc>
          <w:tcPr>
            <w:tcW w:w="4140" w:type="dxa"/>
            <w:vAlign w:val="bottom"/>
            <w:tcBorders>
              <w:left w:val="single" w:sz="8" w:color="00000A"/>
            </w:tcBorders>
            <w:gridSpan w:val="3"/>
          </w:tcPr>
          <w:p>
            <w:pPr>
              <w:jc w:val="center"/>
              <w:ind w:left="1330"/>
              <w:spacing w:after="0"/>
              <w:rPr>
                <w:sz w:val="20"/>
                <w:szCs w:val="20"/>
                <w:color w:val="auto"/>
              </w:rPr>
            </w:pPr>
            <w:r>
              <w:rPr>
                <w:rFonts w:ascii="Arial" w:cs="Arial" w:eastAsia="Arial" w:hAnsi="Arial"/>
                <w:sz w:val="18"/>
                <w:szCs w:val="18"/>
                <w:color w:val="auto"/>
                <w:w w:val="92"/>
              </w:rPr>
              <w:t>5%</w:t>
            </w:r>
          </w:p>
        </w:tc>
        <w:tc>
          <w:tcPr>
            <w:tcW w:w="1560" w:type="dxa"/>
            <w:vAlign w:val="bottom"/>
            <w:tcBorders>
              <w:right w:val="single" w:sz="8" w:color="00000A"/>
            </w:tcBorders>
            <w:gridSpan w:val="2"/>
          </w:tcPr>
          <w:p>
            <w:pPr>
              <w:spacing w:after="0"/>
              <w:rPr>
                <w:sz w:val="20"/>
                <w:szCs w:val="20"/>
                <w:color w:val="auto"/>
              </w:rPr>
            </w:pPr>
          </w:p>
        </w:tc>
        <w:tc>
          <w:tcPr>
            <w:tcW w:w="5560" w:type="dxa"/>
            <w:vAlign w:val="bottom"/>
            <w:tcBorders>
              <w:right w:val="single" w:sz="8" w:color="00000A"/>
            </w:tcBorders>
            <w:gridSpan w:val="2"/>
          </w:tcPr>
          <w:p>
            <w:pPr>
              <w:jc w:val="center"/>
              <w:ind w:right="90"/>
              <w:spacing w:after="0"/>
              <w:rPr>
                <w:sz w:val="20"/>
                <w:szCs w:val="20"/>
                <w:color w:val="auto"/>
              </w:rPr>
            </w:pPr>
            <w:r>
              <w:rPr>
                <w:rFonts w:ascii="Arial" w:cs="Arial" w:eastAsia="Arial" w:hAnsi="Arial"/>
                <w:sz w:val="18"/>
                <w:szCs w:val="18"/>
                <w:color w:val="auto"/>
                <w:w w:val="94"/>
              </w:rPr>
              <w:t>25%</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1560" w:type="dxa"/>
            <w:vAlign w:val="bottom"/>
            <w:tcBorders>
              <w:bottom w:val="single" w:sz="8" w:color="00000A"/>
              <w:right w:val="single" w:sz="8" w:color="00000A"/>
            </w:tcBorders>
            <w:gridSpan w:val="2"/>
          </w:tcPr>
          <w:p>
            <w:pPr>
              <w:spacing w:after="0"/>
              <w:rPr>
                <w:sz w:val="2"/>
                <w:szCs w:val="2"/>
                <w:color w:val="auto"/>
              </w:rPr>
            </w:pPr>
          </w:p>
        </w:tc>
        <w:tc>
          <w:tcPr>
            <w:tcW w:w="5560" w:type="dxa"/>
            <w:vAlign w:val="bottom"/>
            <w:tcBorders>
              <w:bottom w:val="single" w:sz="8" w:color="00000A"/>
              <w:right w:val="single" w:sz="8" w:color="00000A"/>
            </w:tcBorders>
            <w:gridSpan w:val="2"/>
          </w:tcPr>
          <w:p>
            <w:pPr>
              <w:spacing w:after="0"/>
              <w:rPr>
                <w:sz w:val="2"/>
                <w:szCs w:val="2"/>
                <w:color w:val="auto"/>
              </w:rPr>
            </w:pPr>
          </w:p>
        </w:tc>
      </w:tr>
      <w:tr>
        <w:trPr>
          <w:trHeight w:val="237"/>
        </w:trPr>
        <w:tc>
          <w:tcPr>
            <w:tcW w:w="4140" w:type="dxa"/>
            <w:vAlign w:val="bottom"/>
            <w:tcBorders>
              <w:left w:val="single" w:sz="8" w:color="00000A"/>
            </w:tcBorders>
            <w:gridSpan w:val="3"/>
          </w:tcPr>
          <w:p>
            <w:pPr>
              <w:jc w:val="center"/>
              <w:ind w:left="1330"/>
              <w:spacing w:after="0"/>
              <w:rPr>
                <w:sz w:val="20"/>
                <w:szCs w:val="20"/>
                <w:color w:val="auto"/>
              </w:rPr>
            </w:pPr>
            <w:r>
              <w:rPr>
                <w:rFonts w:ascii="Arial" w:cs="Arial" w:eastAsia="Arial" w:hAnsi="Arial"/>
                <w:sz w:val="18"/>
                <w:szCs w:val="18"/>
                <w:color w:val="auto"/>
                <w:w w:val="92"/>
              </w:rPr>
              <w:t>8%</w:t>
            </w:r>
          </w:p>
        </w:tc>
        <w:tc>
          <w:tcPr>
            <w:tcW w:w="1560" w:type="dxa"/>
            <w:vAlign w:val="bottom"/>
            <w:tcBorders>
              <w:right w:val="single" w:sz="8" w:color="00000A"/>
            </w:tcBorders>
            <w:gridSpan w:val="2"/>
          </w:tcPr>
          <w:p>
            <w:pPr>
              <w:spacing w:after="0"/>
              <w:rPr>
                <w:sz w:val="20"/>
                <w:szCs w:val="20"/>
                <w:color w:val="auto"/>
              </w:rPr>
            </w:pPr>
          </w:p>
        </w:tc>
        <w:tc>
          <w:tcPr>
            <w:tcW w:w="5560" w:type="dxa"/>
            <w:vAlign w:val="bottom"/>
            <w:tcBorders>
              <w:right w:val="single" w:sz="8" w:color="00000A"/>
            </w:tcBorders>
            <w:gridSpan w:val="2"/>
          </w:tcPr>
          <w:p>
            <w:pPr>
              <w:jc w:val="center"/>
              <w:ind w:right="90"/>
              <w:spacing w:after="0"/>
              <w:rPr>
                <w:sz w:val="20"/>
                <w:szCs w:val="20"/>
                <w:color w:val="auto"/>
              </w:rPr>
            </w:pPr>
            <w:r>
              <w:rPr>
                <w:rFonts w:ascii="Arial" w:cs="Arial" w:eastAsia="Arial" w:hAnsi="Arial"/>
                <w:sz w:val="18"/>
                <w:szCs w:val="18"/>
                <w:color w:val="auto"/>
                <w:w w:val="91"/>
              </w:rPr>
              <w:t>100%</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1560" w:type="dxa"/>
            <w:vAlign w:val="bottom"/>
            <w:tcBorders>
              <w:bottom w:val="single" w:sz="8" w:color="00000A"/>
              <w:right w:val="single" w:sz="8" w:color="00000A"/>
            </w:tcBorders>
            <w:gridSpan w:val="2"/>
          </w:tcPr>
          <w:p>
            <w:pPr>
              <w:spacing w:after="0"/>
              <w:rPr>
                <w:sz w:val="2"/>
                <w:szCs w:val="2"/>
                <w:color w:val="auto"/>
              </w:rPr>
            </w:pPr>
          </w:p>
        </w:tc>
        <w:tc>
          <w:tcPr>
            <w:tcW w:w="5560" w:type="dxa"/>
            <w:vAlign w:val="bottom"/>
            <w:tcBorders>
              <w:bottom w:val="single" w:sz="8" w:color="00000A"/>
              <w:right w:val="single" w:sz="8" w:color="00000A"/>
            </w:tcBorders>
            <w:gridSpan w:val="2"/>
          </w:tcPr>
          <w:p>
            <w:pPr>
              <w:spacing w:after="0"/>
              <w:rPr>
                <w:sz w:val="2"/>
                <w:szCs w:val="2"/>
                <w:color w:val="auto"/>
              </w:rPr>
            </w:pPr>
          </w:p>
        </w:tc>
      </w:tr>
      <w:tr>
        <w:trPr>
          <w:trHeight w:val="237"/>
        </w:trPr>
        <w:tc>
          <w:tcPr>
            <w:tcW w:w="4140" w:type="dxa"/>
            <w:vAlign w:val="bottom"/>
            <w:tcBorders>
              <w:left w:val="single" w:sz="8" w:color="00000A"/>
            </w:tcBorders>
            <w:gridSpan w:val="3"/>
          </w:tcPr>
          <w:p>
            <w:pPr>
              <w:jc w:val="center"/>
              <w:ind w:left="1310"/>
              <w:spacing w:after="0"/>
              <w:rPr>
                <w:sz w:val="20"/>
                <w:szCs w:val="20"/>
                <w:color w:val="auto"/>
              </w:rPr>
            </w:pPr>
            <w:r>
              <w:rPr>
                <w:rFonts w:ascii="Arial" w:cs="Arial" w:eastAsia="Arial" w:hAnsi="Arial"/>
                <w:sz w:val="18"/>
                <w:szCs w:val="18"/>
                <w:color w:val="auto"/>
                <w:w w:val="94"/>
              </w:rPr>
              <w:t>16%</w:t>
            </w:r>
          </w:p>
        </w:tc>
        <w:tc>
          <w:tcPr>
            <w:tcW w:w="1560" w:type="dxa"/>
            <w:vAlign w:val="bottom"/>
            <w:tcBorders>
              <w:right w:val="single" w:sz="8" w:color="00000A"/>
            </w:tcBorders>
            <w:gridSpan w:val="2"/>
          </w:tcPr>
          <w:p>
            <w:pPr>
              <w:spacing w:after="0"/>
              <w:rPr>
                <w:sz w:val="20"/>
                <w:szCs w:val="20"/>
                <w:color w:val="auto"/>
              </w:rPr>
            </w:pPr>
          </w:p>
        </w:tc>
        <w:tc>
          <w:tcPr>
            <w:tcW w:w="5560" w:type="dxa"/>
            <w:vAlign w:val="bottom"/>
            <w:tcBorders>
              <w:right w:val="single" w:sz="8" w:color="00000A"/>
            </w:tcBorders>
            <w:gridSpan w:val="2"/>
          </w:tcPr>
          <w:p>
            <w:pPr>
              <w:jc w:val="center"/>
              <w:ind w:right="90"/>
              <w:spacing w:after="0"/>
              <w:rPr>
                <w:sz w:val="20"/>
                <w:szCs w:val="20"/>
                <w:color w:val="auto"/>
              </w:rPr>
            </w:pPr>
            <w:r>
              <w:rPr>
                <w:rFonts w:ascii="Arial" w:cs="Arial" w:eastAsia="Arial" w:hAnsi="Arial"/>
                <w:sz w:val="18"/>
                <w:szCs w:val="18"/>
                <w:color w:val="auto"/>
                <w:w w:val="91"/>
              </w:rPr>
              <w:t>300%</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1560" w:type="dxa"/>
            <w:vAlign w:val="bottom"/>
            <w:tcBorders>
              <w:bottom w:val="single" w:sz="8" w:color="00000A"/>
              <w:right w:val="single" w:sz="8" w:color="00000A"/>
            </w:tcBorders>
            <w:gridSpan w:val="2"/>
          </w:tcPr>
          <w:p>
            <w:pPr>
              <w:spacing w:after="0"/>
              <w:rPr>
                <w:sz w:val="2"/>
                <w:szCs w:val="2"/>
                <w:color w:val="auto"/>
              </w:rPr>
            </w:pPr>
          </w:p>
        </w:tc>
        <w:tc>
          <w:tcPr>
            <w:tcW w:w="5560" w:type="dxa"/>
            <w:vAlign w:val="bottom"/>
            <w:tcBorders>
              <w:bottom w:val="single" w:sz="8" w:color="00000A"/>
              <w:right w:val="single" w:sz="8" w:color="00000A"/>
            </w:tcBorders>
            <w:gridSpan w:val="2"/>
          </w:tcPr>
          <w:p>
            <w:pPr>
              <w:spacing w:after="0"/>
              <w:rPr>
                <w:sz w:val="2"/>
                <w:szCs w:val="2"/>
                <w:color w:val="auto"/>
              </w:rPr>
            </w:pPr>
          </w:p>
        </w:tc>
      </w:tr>
      <w:tr>
        <w:trPr>
          <w:trHeight w:val="196"/>
        </w:trPr>
        <w:tc>
          <w:tcPr>
            <w:tcW w:w="4140" w:type="dxa"/>
            <w:vAlign w:val="bottom"/>
            <w:tcBorders>
              <w:left w:val="single" w:sz="8" w:color="00000A"/>
            </w:tcBorders>
            <w:gridSpan w:val="3"/>
          </w:tcPr>
          <w:p>
            <w:pPr>
              <w:jc w:val="right"/>
              <w:ind w:right="1080"/>
              <w:spacing w:after="0" w:line="196" w:lineRule="exact"/>
              <w:rPr>
                <w:sz w:val="20"/>
                <w:szCs w:val="20"/>
                <w:color w:val="auto"/>
              </w:rPr>
            </w:pPr>
            <w:r>
              <w:rPr>
                <w:rFonts w:ascii="Arial" w:cs="Arial" w:eastAsia="Arial" w:hAnsi="Arial"/>
                <w:sz w:val="18"/>
                <w:szCs w:val="18"/>
                <w:color w:val="auto"/>
              </w:rPr>
              <w:t>&gt;30%</w:t>
            </w:r>
          </w:p>
        </w:tc>
        <w:tc>
          <w:tcPr>
            <w:tcW w:w="1560" w:type="dxa"/>
            <w:vAlign w:val="bottom"/>
            <w:tcBorders>
              <w:right w:val="single" w:sz="8" w:color="00000A"/>
            </w:tcBorders>
            <w:gridSpan w:val="2"/>
          </w:tcPr>
          <w:p>
            <w:pPr>
              <w:spacing w:after="0"/>
              <w:rPr>
                <w:sz w:val="17"/>
                <w:szCs w:val="17"/>
                <w:color w:val="auto"/>
              </w:rPr>
            </w:pPr>
          </w:p>
        </w:tc>
        <w:tc>
          <w:tcPr>
            <w:tcW w:w="5560" w:type="dxa"/>
            <w:vAlign w:val="bottom"/>
            <w:tcBorders>
              <w:right w:val="single" w:sz="8" w:color="00000A"/>
            </w:tcBorders>
            <w:gridSpan w:val="2"/>
          </w:tcPr>
          <w:p>
            <w:pPr>
              <w:jc w:val="center"/>
              <w:ind w:right="90"/>
              <w:spacing w:after="0" w:line="196" w:lineRule="exact"/>
              <w:rPr>
                <w:sz w:val="20"/>
                <w:szCs w:val="20"/>
                <w:color w:val="auto"/>
              </w:rPr>
            </w:pPr>
            <w:r>
              <w:rPr>
                <w:rFonts w:ascii="Arial" w:cs="Arial" w:eastAsia="Arial" w:hAnsi="Arial"/>
                <w:sz w:val="18"/>
                <w:szCs w:val="18"/>
                <w:color w:val="auto"/>
                <w:w w:val="91"/>
              </w:rPr>
              <w:t>500%</w:t>
            </w:r>
          </w:p>
        </w:tc>
      </w:tr>
      <w:tr>
        <w:trPr>
          <w:trHeight w:val="48"/>
        </w:trPr>
        <w:tc>
          <w:tcPr>
            <w:tcW w:w="2620" w:type="dxa"/>
            <w:vAlign w:val="bottom"/>
            <w:tcBorders>
              <w:left w:val="single" w:sz="8" w:color="00000A"/>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1420" w:type="dxa"/>
            <w:vAlign w:val="bottom"/>
            <w:tcBorders>
              <w:bottom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1320" w:type="dxa"/>
            <w:vAlign w:val="bottom"/>
            <w:tcBorders>
              <w:bottom w:val="single" w:sz="8" w:color="00000A"/>
              <w:right w:val="single" w:sz="8" w:color="00000A"/>
            </w:tcBorders>
          </w:tcPr>
          <w:p>
            <w:pPr>
              <w:spacing w:after="0"/>
              <w:rPr>
                <w:sz w:val="4"/>
                <w:szCs w:val="4"/>
                <w:color w:val="auto"/>
              </w:rPr>
            </w:pPr>
          </w:p>
        </w:tc>
        <w:tc>
          <w:tcPr>
            <w:tcW w:w="1160" w:type="dxa"/>
            <w:vAlign w:val="bottom"/>
            <w:tcBorders>
              <w:bottom w:val="single" w:sz="8" w:color="00000A"/>
            </w:tcBorders>
          </w:tcPr>
          <w:p>
            <w:pPr>
              <w:spacing w:after="0"/>
              <w:rPr>
                <w:sz w:val="4"/>
                <w:szCs w:val="4"/>
                <w:color w:val="auto"/>
              </w:rPr>
            </w:pPr>
          </w:p>
        </w:tc>
        <w:tc>
          <w:tcPr>
            <w:tcW w:w="4400" w:type="dxa"/>
            <w:vAlign w:val="bottom"/>
            <w:tcBorders>
              <w:bottom w:val="single" w:sz="8" w:color="00000A"/>
              <w:right w:val="single" w:sz="8" w:color="00000A"/>
            </w:tcBorders>
          </w:tcPr>
          <w:p>
            <w:pPr>
              <w:spacing w:after="0"/>
              <w:rPr>
                <w:sz w:val="4"/>
                <w:szCs w:val="4"/>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payout formula will be applied on a sliding scale between 0% and 750% based on the business unit’s iTSR for the Performance Period.</w:t>
      </w:r>
    </w:p>
    <w:p>
      <w:pPr>
        <w:spacing w:after="0" w:line="200" w:lineRule="exact"/>
        <w:rPr>
          <w:sz w:val="20"/>
          <w:szCs w:val="20"/>
          <w:color w:val="auto"/>
        </w:rPr>
      </w:pPr>
    </w:p>
    <w:p>
      <w:pPr>
        <w:spacing w:after="0" w:line="29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u w:val="single" w:color="auto"/>
          <w:color w:val="auto"/>
        </w:rPr>
        <w:t>Definition of iTSR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Conceptual formula for iTSR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3061335" cy="523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13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Explanation of iTSR formula:</w:t>
      </w:r>
    </w:p>
    <w:p>
      <w:pPr>
        <w:spacing w:after="0" w:line="256"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Change in entity value is nine times the change in EBITDA values, comparing the full base year to the full final year of the performance period. The base year iTSR is the minimum value of an Operating Company, to which the 9X multiple is applied to calculate an EV. The base year iTSR is calculated using the highest of the following:</w:t>
      </w:r>
    </w:p>
    <w:p>
      <w:pPr>
        <w:spacing w:after="0" w:line="208" w:lineRule="exact"/>
        <w:rPr>
          <w:sz w:val="20"/>
          <w:szCs w:val="20"/>
          <w:color w:val="auto"/>
        </w:rPr>
      </w:pPr>
    </w:p>
    <w:p>
      <w:pPr>
        <w:ind w:left="980" w:hanging="49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Base-Year EBITDA</w:t>
      </w:r>
    </w:p>
    <w:p>
      <w:pPr>
        <w:spacing w:after="0" w:line="23" w:lineRule="exact"/>
        <w:rPr>
          <w:rFonts w:ascii="Arial" w:cs="Arial" w:eastAsia="Arial" w:hAnsi="Arial"/>
          <w:sz w:val="18"/>
          <w:szCs w:val="18"/>
          <w:color w:val="auto"/>
        </w:rPr>
      </w:pPr>
    </w:p>
    <w:p>
      <w:pPr>
        <w:ind w:left="980" w:hanging="54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 of Base-Year Sales</w:t>
      </w:r>
    </w:p>
    <w:p>
      <w:pPr>
        <w:spacing w:after="0" w:line="9" w:lineRule="exact"/>
        <w:rPr>
          <w:rFonts w:ascii="Arial" w:cs="Arial" w:eastAsia="Arial" w:hAnsi="Arial"/>
          <w:sz w:val="18"/>
          <w:szCs w:val="18"/>
          <w:color w:val="auto"/>
        </w:rPr>
      </w:pPr>
    </w:p>
    <w:p>
      <w:pPr>
        <w:ind w:left="980" w:hanging="59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90% of Prior-to-Base-Year iTSR Base</w:t>
      </w:r>
    </w:p>
    <w:p>
      <w:pPr>
        <w:spacing w:after="0" w:line="238"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Free cash flow is the cash flow generated by your business unit, including your business unit’s operating profit plus depreciation, amortization and proceeds from dispositions, less taxes and investments made for future growth (capital spending, working capital and acquisitions) and adjusted for other non-recurring items.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EBITDA is pre-tax income adjusted for non-operating and non-recurring items plus depreciation and amortization.</w:t>
      </w:r>
    </w:p>
    <w:p>
      <w:pPr>
        <w:sectPr>
          <w:pgSz w:w="11900" w:h="16838" w:orient="portrait"/>
          <w:cols w:equalWidth="0" w:num="1">
            <w:col w:w="11400"/>
          </w:cols>
          <w:pgMar w:left="240" w:top="61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DATE: February 15,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&lt;&lt;Name&gt;&gt;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Mathematical Formula for 3 Year iTSR Cash Performance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172085</wp:posOffset>
            </wp:positionV>
            <wp:extent cx="3987800" cy="651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87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Rules for Transfers/Promotions</w:t>
      </w:r>
    </w:p>
    <w:p>
      <w:pPr>
        <w:spacing w:after="0" w:line="200" w:lineRule="exact"/>
        <w:rPr>
          <w:sz w:val="20"/>
          <w:szCs w:val="20"/>
          <w:color w:val="auto"/>
        </w:rPr>
      </w:pPr>
    </w:p>
    <w:p>
      <w:pPr>
        <w:spacing w:after="0" w:line="29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rules will apply to you if you are transferred from one Dover business unit to another Dover business unit. These rules apply to all Cash Performance payments you may be entitled to under this and any other Cash Performance Award under the Plan you may have, as if part of your original Award.</w:t>
      </w:r>
    </w:p>
    <w:p>
      <w:pPr>
        <w:spacing w:after="0" w:line="200" w:lineRule="exact"/>
        <w:rPr>
          <w:sz w:val="20"/>
          <w:szCs w:val="20"/>
          <w:color w:val="auto"/>
        </w:rPr>
      </w:pPr>
    </w:p>
    <w:p>
      <w:pPr>
        <w:spacing w:after="0" w:line="251" w:lineRule="exact"/>
        <w:rPr>
          <w:sz w:val="20"/>
          <w:szCs w:val="20"/>
          <w:color w:val="auto"/>
        </w:rPr>
      </w:pPr>
    </w:p>
    <w:p>
      <w:pPr>
        <w:ind w:left="340" w:right="360" w:hanging="177"/>
        <w:spacing w:after="0" w:line="277" w:lineRule="auto"/>
        <w:tabs>
          <w:tab w:leader="none" w:pos="3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first Cash Performance payment date that occurs after your transfer, any Cash Performance payment that may be due will be based on the performance of your old business unit.</w:t>
      </w:r>
    </w:p>
    <w:p>
      <w:pPr>
        <w:spacing w:after="0" w:line="197" w:lineRule="exact"/>
        <w:rPr>
          <w:sz w:val="20"/>
          <w:szCs w:val="20"/>
          <w:color w:val="auto"/>
        </w:rPr>
      </w:pPr>
    </w:p>
    <w:p>
      <w:pPr>
        <w:ind w:left="340" w:right="200" w:hanging="219"/>
        <w:spacing w:after="0" w:line="308" w:lineRule="auto"/>
        <w:rPr>
          <w:sz w:val="20"/>
          <w:szCs w:val="20"/>
          <w:color w:val="auto"/>
        </w:rPr>
      </w:pPr>
      <w:r>
        <w:rPr>
          <w:rFonts w:ascii="Arial" w:cs="Arial" w:eastAsia="Arial" w:hAnsi="Arial"/>
          <w:sz w:val="17"/>
          <w:szCs w:val="17"/>
          <w:color w:val="auto"/>
        </w:rPr>
        <w:t>(ii)For the second Cash Performance payment date that occurs after your transfer, any Cash Performance payment that may be due will be based on the performance of either your old business unit or your new business unit, whichever results in the higher payment to you.</w:t>
      </w:r>
    </w:p>
    <w:p>
      <w:pPr>
        <w:spacing w:after="0" w:line="174" w:lineRule="exact"/>
        <w:rPr>
          <w:sz w:val="20"/>
          <w:szCs w:val="20"/>
          <w:color w:val="auto"/>
        </w:rPr>
      </w:pPr>
    </w:p>
    <w:p>
      <w:pPr>
        <w:ind w:left="340" w:right="360" w:hanging="269"/>
        <w:spacing w:after="0" w:line="277" w:lineRule="auto"/>
        <w:rPr>
          <w:sz w:val="20"/>
          <w:szCs w:val="20"/>
          <w:color w:val="auto"/>
        </w:rPr>
      </w:pPr>
      <w:r>
        <w:rPr>
          <w:rFonts w:ascii="Arial" w:cs="Arial" w:eastAsia="Arial" w:hAnsi="Arial"/>
          <w:sz w:val="18"/>
          <w:szCs w:val="18"/>
          <w:color w:val="auto"/>
        </w:rPr>
        <w:t>(iii)For the third Cash Performance payment date that occurs after your transfer, any Cash Performance payment that may be due will be based on the performance of your new business unit.</w:t>
      </w:r>
    </w:p>
    <w:p>
      <w:pPr>
        <w:spacing w:after="0" w:line="197" w:lineRule="exact"/>
        <w:rPr>
          <w:sz w:val="20"/>
          <w:szCs w:val="20"/>
          <w:color w:val="auto"/>
        </w:rPr>
      </w:pPr>
    </w:p>
    <w:p>
      <w:pPr>
        <w:ind w:left="340" w:hanging="259"/>
        <w:spacing w:after="0" w:line="277" w:lineRule="auto"/>
        <w:rPr>
          <w:sz w:val="20"/>
          <w:szCs w:val="20"/>
          <w:color w:val="auto"/>
        </w:rPr>
      </w:pPr>
      <w:r>
        <w:rPr>
          <w:rFonts w:ascii="Arial" w:cs="Arial" w:eastAsia="Arial" w:hAnsi="Arial"/>
          <w:sz w:val="18"/>
          <w:szCs w:val="18"/>
          <w:color w:val="auto"/>
        </w:rPr>
        <w:t>(iv)Any Cash Performance payment under an award made at one business unit that becomes payable after you transfer to another business unit will still be based on that Award’s original dollar amount.</w:t>
      </w:r>
    </w:p>
    <w:p>
      <w:pPr>
        <w:spacing w:after="0" w:line="200" w:lineRule="exact"/>
        <w:rPr>
          <w:sz w:val="20"/>
          <w:szCs w:val="20"/>
          <w:color w:val="auto"/>
        </w:rPr>
      </w:pP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purposes of these rules your old business unit is the business unit indicated on your Award. Your new business unit is the business unit where you are employed on the payment date.</w:t>
      </w:r>
    </w:p>
    <w:p>
      <w:pPr>
        <w:sectPr>
          <w:pgSz w:w="11900" w:h="16838" w:orient="portrait"/>
          <w:cols w:equalWidth="0" w:num="1">
            <w:col w:w="11200"/>
          </w:cols>
          <w:pgMar w:left="240" w:top="611"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26540" cy="565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265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Performance Share Award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Performance Share Award:</w:t>
      </w:r>
    </w:p>
    <w:p>
      <w:pPr>
        <w:spacing w:after="0" w:line="252"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18"/>
          <w:szCs w:val="18"/>
          <w:color w:val="auto"/>
        </w:rPr>
        <w:t>Your business unit -</w:t>
      </w:r>
      <w:r>
        <w:rPr>
          <w:sz w:val="20"/>
          <w:szCs w:val="20"/>
          <w:color w:val="auto"/>
        </w:rPr>
        <w:tab/>
      </w:r>
      <w:r>
        <w:rPr>
          <w:rFonts w:ascii="Arial" w:cs="Arial" w:eastAsia="Arial" w:hAnsi="Arial"/>
          <w:sz w:val="16"/>
          <w:szCs w:val="16"/>
          <w:color w:val="auto"/>
        </w:rPr>
        <w:t>«Company»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Performance Period is the three-year period -  2019 - 2021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Your target Performance Share Award at the 100% level - «# of Shares» Shares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actual Performance Shares to be paid to you, if any, will be derived from the Performance Share Payout Table included in this Award agreement.</w:t>
      </w:r>
    </w:p>
    <w:p>
      <w:pPr>
        <w:spacing w:after="0" w:line="277"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Your Performance Share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Performance Share Award is subject to the following:</w:t>
      </w:r>
    </w:p>
    <w:p>
      <w:pPr>
        <w:spacing w:after="0" w:line="212" w:lineRule="exact"/>
        <w:rPr>
          <w:sz w:val="20"/>
          <w:szCs w:val="20"/>
          <w:color w:val="auto"/>
        </w:rPr>
      </w:pPr>
    </w:p>
    <w:p>
      <w:pPr>
        <w:ind w:left="340" w:right="100" w:hanging="332"/>
        <w:spacing w:after="0" w:line="29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Dover will issue you Common Stock if your business unit has reached certain levels of internal total shareholder return (“iTSR”), as set forth in the Performance Share Payout Table included in this Award agreement, and the other conditions of your Performance Share Award are satisfied. For any Section 16 Person, Dover shall issue shares of Common Stock for the vested Performance Share Award less applicable tax withholding.</w:t>
      </w:r>
    </w:p>
    <w:p>
      <w:pPr>
        <w:spacing w:after="0" w:line="215"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summary of the definition of iTSR for your business unit is set forth in the Definition of iTSR included in this Award agreement.</w:t>
      </w:r>
    </w:p>
    <w:p>
      <w:pPr>
        <w:spacing w:after="0" w:line="279" w:lineRule="exact"/>
        <w:rPr>
          <w:rFonts w:ascii="Arial" w:cs="Arial" w:eastAsia="Arial" w:hAnsi="Arial"/>
          <w:sz w:val="18"/>
          <w:szCs w:val="18"/>
          <w:color w:val="auto"/>
        </w:rPr>
      </w:pPr>
    </w:p>
    <w:p>
      <w:pPr>
        <w:ind w:left="340" w:right="160" w:hanging="332"/>
        <w:spacing w:after="0" w:line="312"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aggregate maximum payout for each business unit (determined after applying the individual payment limitation noted in the next sentence, if applicable) in respect of all Performance Share Awards for a specific performance period shall not exceed the product of (i) 1.75%, times (ii) the sum of the business unit’s change in entity value plus free cash flow (as such terms are defined in the Definition of iTSR) for that Performance Period. In no event will the performance payout to any one individual exceed 500,000 shares of Common Stock for the Performance Period.</w:t>
      </w:r>
    </w:p>
    <w:p>
      <w:pPr>
        <w:spacing w:after="0" w:line="199" w:lineRule="exact"/>
        <w:rPr>
          <w:rFonts w:ascii="Arial" w:cs="Arial" w:eastAsia="Arial" w:hAnsi="Arial"/>
          <w:sz w:val="17"/>
          <w:szCs w:val="17"/>
          <w:color w:val="auto"/>
        </w:rPr>
      </w:pPr>
    </w:p>
    <w:p>
      <w:pPr>
        <w:ind w:left="340" w:right="120" w:hanging="332"/>
        <w:spacing w:after="0" w:line="29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As a condition of receiving your Performance Share Award, you agree to be bound by the terms and conditions of the Dover Corporation Anti-hedging and Anti-pledging Policy and by any Clawback Policy to be adopted by Dover,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w:t>
      </w:r>
    </w:p>
    <w:p>
      <w:pPr>
        <w:sectPr>
          <w:pgSz w:w="11900" w:h="16838" w:orient="portrait"/>
          <w:cols w:equalWidth="0" w:num="1">
            <w:col w:w="11420"/>
          </w:cols>
          <w:pgMar w:left="240" w:top="143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DATE: February 15, 2019</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 «First_Name»</w:t>
      </w:r>
    </w:p>
    <w:p>
      <w:pPr>
        <w:spacing w:after="0" w:line="398" w:lineRule="exact"/>
        <w:rPr>
          <w:sz w:val="20"/>
          <w:szCs w:val="20"/>
          <w:color w:val="auto"/>
        </w:rPr>
      </w:pPr>
    </w:p>
    <w:p>
      <w:pPr>
        <w:ind w:left="340" w:right="200"/>
        <w:spacing w:after="0" w:line="295" w:lineRule="auto"/>
        <w:rPr>
          <w:sz w:val="20"/>
          <w:szCs w:val="20"/>
          <w:color w:val="auto"/>
        </w:rPr>
      </w:pPr>
      <w:r>
        <w:rPr>
          <w:rFonts w:ascii="Arial" w:cs="Arial" w:eastAsia="Arial" w:hAnsi="Arial"/>
          <w:sz w:val="18"/>
          <w:szCs w:val="18"/>
          <w:color w:val="auto"/>
        </w:rPr>
        <w:t>plan sponsored by Dover, or otherwise. Please review the Anti-hedging and Anti-pledging Policy to make sure that you are in compliance. You may obtain a copy of the current version of the Anti-hedging and Anti-pledging Policy, and any Clawback Policy to be adopted by Dover, by contacting the Benefits Department at 630-541-1540.</w:t>
      </w:r>
    </w:p>
    <w:p>
      <w:pPr>
        <w:spacing w:after="0" w:line="20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Non-US Employees, your Performance Share Award is subject to the terms and conditions of the Addendum for Non-US Employees.</w:t>
      </w:r>
    </w:p>
    <w:p>
      <w:pPr>
        <w:spacing w:after="0" w:line="279" w:lineRule="exact"/>
        <w:rPr>
          <w:rFonts w:ascii="Arial" w:cs="Arial" w:eastAsia="Arial" w:hAnsi="Arial"/>
          <w:sz w:val="18"/>
          <w:szCs w:val="18"/>
          <w:color w:val="auto"/>
        </w:rPr>
      </w:pPr>
    </w:p>
    <w:p>
      <w:pPr>
        <w:ind w:left="340" w:right="760" w:hanging="332"/>
        <w:spacing w:after="0" w:line="30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Your Performance Share Award is not transferrable by you other than by will or the laws of descent and distribution and in accordance with the applicable terms and conditions of the Plan.</w:t>
      </w:r>
    </w:p>
    <w:p>
      <w:pPr>
        <w:spacing w:after="0" w:line="196"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292" w:lineRule="exact"/>
        <w:rPr>
          <w:sz w:val="20"/>
          <w:szCs w:val="20"/>
          <w:color w:val="auto"/>
        </w:rPr>
      </w:pPr>
    </w:p>
    <w:tbl>
      <w:tblPr>
        <w:tblLayout w:type="fixed"/>
        <w:tblInd w:w="11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Performance Share Payout Table</w:t>
            </w:r>
          </w:p>
        </w:tc>
      </w:tr>
      <w:tr>
        <w:trPr>
          <w:trHeight w:val="291"/>
        </w:trPr>
        <w:tc>
          <w:tcPr>
            <w:tcW w:w="262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tcBorders>
          </w:tcPr>
          <w:p>
            <w:pPr>
              <w:spacing w:after="0"/>
              <w:rPr>
                <w:sz w:val="24"/>
                <w:szCs w:val="24"/>
                <w:color w:val="auto"/>
              </w:rPr>
            </w:pPr>
          </w:p>
        </w:tc>
        <w:tc>
          <w:tcPr>
            <w:tcW w:w="1360" w:type="dxa"/>
            <w:vAlign w:val="bottom"/>
            <w:tcBorders>
              <w:top w:val="single" w:sz="8" w:color="auto"/>
              <w:bottom w:val="single" w:sz="8" w:color="00000A"/>
            </w:tcBorders>
          </w:tcPr>
          <w:p>
            <w:pPr>
              <w:spacing w:after="0"/>
              <w:rPr>
                <w:sz w:val="24"/>
                <w:szCs w:val="24"/>
                <w:color w:val="auto"/>
              </w:rPr>
            </w:pPr>
          </w:p>
        </w:tc>
        <w:tc>
          <w:tcPr>
            <w:tcW w:w="1180" w:type="dxa"/>
            <w:vAlign w:val="bottom"/>
            <w:tcBorders>
              <w:top w:val="single" w:sz="8" w:color="auto"/>
              <w:bottom w:val="single" w:sz="8" w:color="00000A"/>
            </w:tcBorders>
          </w:tcPr>
          <w:p>
            <w:pPr>
              <w:spacing w:after="0"/>
              <w:rPr>
                <w:sz w:val="24"/>
                <w:szCs w:val="24"/>
                <w:color w:val="auto"/>
              </w:rPr>
            </w:pPr>
          </w:p>
        </w:tc>
        <w:tc>
          <w:tcPr>
            <w:tcW w:w="4280" w:type="dxa"/>
            <w:vAlign w:val="bottom"/>
            <w:tcBorders>
              <w:bottom w:val="single" w:sz="8" w:color="00000A"/>
            </w:tcBorders>
          </w:tcPr>
          <w:p>
            <w:pPr>
              <w:spacing w:after="0"/>
              <w:rPr>
                <w:sz w:val="24"/>
                <w:szCs w:val="24"/>
                <w:color w:val="auto"/>
              </w:rPr>
            </w:pPr>
          </w:p>
        </w:tc>
      </w:tr>
      <w:tr>
        <w:trPr>
          <w:trHeight w:val="237"/>
        </w:trPr>
        <w:tc>
          <w:tcPr>
            <w:tcW w:w="4340" w:type="dxa"/>
            <w:vAlign w:val="bottom"/>
            <w:tcBorders>
              <w:left w:val="single" w:sz="8" w:color="00000A"/>
            </w:tcBorders>
            <w:gridSpan w:val="3"/>
          </w:tcPr>
          <w:p>
            <w:pPr>
              <w:jc w:val="right"/>
              <w:ind w:right="440"/>
              <w:spacing w:after="0"/>
              <w:rPr>
                <w:sz w:val="20"/>
                <w:szCs w:val="20"/>
                <w:color w:val="auto"/>
              </w:rPr>
            </w:pPr>
            <w:r>
              <w:rPr>
                <w:rFonts w:ascii="Arial" w:cs="Arial" w:eastAsia="Arial" w:hAnsi="Arial"/>
                <w:sz w:val="18"/>
                <w:szCs w:val="18"/>
                <w:color w:val="auto"/>
              </w:rPr>
              <w:t>iTSR for Performance Period</w:t>
            </w:r>
          </w:p>
        </w:tc>
        <w:tc>
          <w:tcPr>
            <w:tcW w:w="1360" w:type="dxa"/>
            <w:vAlign w:val="bottom"/>
            <w:tcBorders>
              <w:right w:val="single" w:sz="8" w:color="00000A"/>
            </w:tcBorders>
          </w:tcPr>
          <w:p>
            <w:pPr>
              <w:spacing w:after="0"/>
              <w:rPr>
                <w:sz w:val="20"/>
                <w:szCs w:val="20"/>
                <w:color w:val="auto"/>
              </w:rPr>
            </w:pPr>
          </w:p>
        </w:tc>
        <w:tc>
          <w:tcPr>
            <w:tcW w:w="1180" w:type="dxa"/>
            <w:vAlign w:val="bottom"/>
          </w:tcPr>
          <w:p>
            <w:pPr>
              <w:spacing w:after="0"/>
              <w:rPr>
                <w:sz w:val="20"/>
                <w:szCs w:val="20"/>
                <w:color w:val="auto"/>
              </w:rPr>
            </w:pPr>
          </w:p>
        </w:tc>
        <w:tc>
          <w:tcPr>
            <w:tcW w:w="4280" w:type="dxa"/>
            <w:vAlign w:val="bottom"/>
            <w:tcBorders>
              <w:right w:val="single" w:sz="8" w:color="00000A"/>
            </w:tcBorders>
          </w:tcPr>
          <w:p>
            <w:pPr>
              <w:ind w:left="800"/>
              <w:spacing w:after="0"/>
              <w:rPr>
                <w:sz w:val="20"/>
                <w:szCs w:val="20"/>
                <w:color w:val="auto"/>
              </w:rPr>
            </w:pPr>
            <w:r>
              <w:rPr>
                <w:rFonts w:ascii="Arial" w:cs="Arial" w:eastAsia="Arial" w:hAnsi="Arial"/>
                <w:sz w:val="18"/>
                <w:szCs w:val="18"/>
                <w:color w:val="auto"/>
              </w:rPr>
              <w:t>Payout (% of target)</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5460" w:type="dxa"/>
            <w:vAlign w:val="bottom"/>
            <w:tcBorders>
              <w:bottom w:val="single" w:sz="8" w:color="00000A"/>
              <w:right w:val="single" w:sz="8" w:color="00000A"/>
            </w:tcBorders>
            <w:gridSpan w:val="2"/>
          </w:tcPr>
          <w:p>
            <w:pPr>
              <w:spacing w:after="0"/>
              <w:rPr>
                <w:sz w:val="2"/>
                <w:szCs w:val="2"/>
                <w:color w:val="auto"/>
              </w:rPr>
            </w:pPr>
          </w:p>
        </w:tc>
      </w:tr>
      <w:tr>
        <w:trPr>
          <w:trHeight w:val="237"/>
        </w:trPr>
        <w:tc>
          <w:tcPr>
            <w:tcW w:w="4340" w:type="dxa"/>
            <w:vAlign w:val="bottom"/>
            <w:tcBorders>
              <w:left w:val="single" w:sz="8" w:color="00000A"/>
            </w:tcBorders>
            <w:gridSpan w:val="3"/>
          </w:tcPr>
          <w:p>
            <w:pPr>
              <w:jc w:val="right"/>
              <w:ind w:right="1320"/>
              <w:spacing w:after="0"/>
              <w:rPr>
                <w:sz w:val="20"/>
                <w:szCs w:val="20"/>
                <w:color w:val="auto"/>
              </w:rPr>
            </w:pPr>
            <w:r>
              <w:rPr>
                <w:rFonts w:ascii="Arial" w:cs="Arial" w:eastAsia="Arial" w:hAnsi="Arial"/>
                <w:sz w:val="18"/>
                <w:szCs w:val="18"/>
                <w:color w:val="auto"/>
              </w:rPr>
              <w:t>&lt;5%</w:t>
            </w:r>
          </w:p>
        </w:tc>
        <w:tc>
          <w:tcPr>
            <w:tcW w:w="1360" w:type="dxa"/>
            <w:vAlign w:val="bottom"/>
            <w:tcBorders>
              <w:right w:val="single" w:sz="8" w:color="00000A"/>
            </w:tcBorders>
          </w:tcPr>
          <w:p>
            <w:pPr>
              <w:spacing w:after="0"/>
              <w:rPr>
                <w:sz w:val="20"/>
                <w:szCs w:val="20"/>
                <w:color w:val="auto"/>
              </w:rPr>
            </w:pPr>
          </w:p>
        </w:tc>
        <w:tc>
          <w:tcPr>
            <w:tcW w:w="5460" w:type="dxa"/>
            <w:vAlign w:val="bottom"/>
            <w:tcBorders>
              <w:right w:val="single" w:sz="8" w:color="00000A"/>
            </w:tcBorders>
            <w:gridSpan w:val="2"/>
          </w:tcPr>
          <w:p>
            <w:pPr>
              <w:jc w:val="center"/>
              <w:ind w:right="90"/>
              <w:spacing w:after="0"/>
              <w:rPr>
                <w:sz w:val="20"/>
                <w:szCs w:val="20"/>
                <w:color w:val="auto"/>
              </w:rPr>
            </w:pPr>
            <w:r>
              <w:rPr>
                <w:rFonts w:ascii="Arial" w:cs="Arial" w:eastAsia="Arial" w:hAnsi="Arial"/>
                <w:sz w:val="18"/>
                <w:szCs w:val="18"/>
                <w:color w:val="auto"/>
                <w:w w:val="92"/>
              </w:rPr>
              <w:t>0%</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5460" w:type="dxa"/>
            <w:vAlign w:val="bottom"/>
            <w:tcBorders>
              <w:bottom w:val="single" w:sz="8" w:color="00000A"/>
              <w:right w:val="single" w:sz="8" w:color="00000A"/>
            </w:tcBorders>
            <w:gridSpan w:val="2"/>
          </w:tcPr>
          <w:p>
            <w:pPr>
              <w:spacing w:after="0"/>
              <w:rPr>
                <w:sz w:val="2"/>
                <w:szCs w:val="2"/>
                <w:color w:val="auto"/>
              </w:rPr>
            </w:pPr>
          </w:p>
        </w:tc>
      </w:tr>
      <w:tr>
        <w:trPr>
          <w:trHeight w:val="237"/>
        </w:trPr>
        <w:tc>
          <w:tcPr>
            <w:tcW w:w="4340" w:type="dxa"/>
            <w:vAlign w:val="bottom"/>
            <w:tcBorders>
              <w:left w:val="single" w:sz="8" w:color="00000A"/>
            </w:tcBorders>
            <w:gridSpan w:val="3"/>
          </w:tcPr>
          <w:p>
            <w:pPr>
              <w:jc w:val="right"/>
              <w:ind w:right="1440"/>
              <w:spacing w:after="0"/>
              <w:rPr>
                <w:sz w:val="20"/>
                <w:szCs w:val="20"/>
                <w:color w:val="auto"/>
              </w:rPr>
            </w:pPr>
            <w:r>
              <w:rPr>
                <w:rFonts w:ascii="Arial" w:cs="Arial" w:eastAsia="Arial" w:hAnsi="Arial"/>
                <w:sz w:val="18"/>
                <w:szCs w:val="18"/>
                <w:color w:val="auto"/>
              </w:rPr>
              <w:t>5%</w:t>
            </w:r>
          </w:p>
        </w:tc>
        <w:tc>
          <w:tcPr>
            <w:tcW w:w="1360" w:type="dxa"/>
            <w:vAlign w:val="bottom"/>
            <w:tcBorders>
              <w:right w:val="single" w:sz="8" w:color="00000A"/>
            </w:tcBorders>
          </w:tcPr>
          <w:p>
            <w:pPr>
              <w:spacing w:after="0"/>
              <w:rPr>
                <w:sz w:val="20"/>
                <w:szCs w:val="20"/>
                <w:color w:val="auto"/>
              </w:rPr>
            </w:pPr>
          </w:p>
        </w:tc>
        <w:tc>
          <w:tcPr>
            <w:tcW w:w="5460" w:type="dxa"/>
            <w:vAlign w:val="bottom"/>
            <w:tcBorders>
              <w:right w:val="single" w:sz="8" w:color="00000A"/>
            </w:tcBorders>
            <w:gridSpan w:val="2"/>
          </w:tcPr>
          <w:p>
            <w:pPr>
              <w:jc w:val="center"/>
              <w:ind w:right="90"/>
              <w:spacing w:after="0"/>
              <w:rPr>
                <w:sz w:val="20"/>
                <w:szCs w:val="20"/>
                <w:color w:val="auto"/>
              </w:rPr>
            </w:pPr>
            <w:r>
              <w:rPr>
                <w:rFonts w:ascii="Arial" w:cs="Arial" w:eastAsia="Arial" w:hAnsi="Arial"/>
                <w:sz w:val="18"/>
                <w:szCs w:val="18"/>
                <w:color w:val="auto"/>
                <w:w w:val="88"/>
              </w:rPr>
              <w:t>25%</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5460" w:type="dxa"/>
            <w:vAlign w:val="bottom"/>
            <w:tcBorders>
              <w:bottom w:val="single" w:sz="8" w:color="00000A"/>
              <w:right w:val="single" w:sz="8" w:color="00000A"/>
            </w:tcBorders>
            <w:gridSpan w:val="2"/>
          </w:tcPr>
          <w:p>
            <w:pPr>
              <w:spacing w:after="0"/>
              <w:rPr>
                <w:sz w:val="2"/>
                <w:szCs w:val="2"/>
                <w:color w:val="auto"/>
              </w:rPr>
            </w:pPr>
          </w:p>
        </w:tc>
      </w:tr>
      <w:tr>
        <w:trPr>
          <w:trHeight w:val="237"/>
        </w:trPr>
        <w:tc>
          <w:tcPr>
            <w:tcW w:w="4340" w:type="dxa"/>
            <w:vAlign w:val="bottom"/>
            <w:tcBorders>
              <w:left w:val="single" w:sz="8" w:color="00000A"/>
            </w:tcBorders>
            <w:gridSpan w:val="3"/>
          </w:tcPr>
          <w:p>
            <w:pPr>
              <w:jc w:val="right"/>
              <w:ind w:right="1440"/>
              <w:spacing w:after="0"/>
              <w:rPr>
                <w:sz w:val="20"/>
                <w:szCs w:val="20"/>
                <w:color w:val="auto"/>
              </w:rPr>
            </w:pPr>
            <w:r>
              <w:rPr>
                <w:rFonts w:ascii="Arial" w:cs="Arial" w:eastAsia="Arial" w:hAnsi="Arial"/>
                <w:sz w:val="18"/>
                <w:szCs w:val="18"/>
                <w:color w:val="auto"/>
              </w:rPr>
              <w:t>8%</w:t>
            </w:r>
          </w:p>
        </w:tc>
        <w:tc>
          <w:tcPr>
            <w:tcW w:w="1360" w:type="dxa"/>
            <w:vAlign w:val="bottom"/>
            <w:tcBorders>
              <w:right w:val="single" w:sz="8" w:color="00000A"/>
            </w:tcBorders>
          </w:tcPr>
          <w:p>
            <w:pPr>
              <w:spacing w:after="0"/>
              <w:rPr>
                <w:sz w:val="20"/>
                <w:szCs w:val="20"/>
                <w:color w:val="auto"/>
              </w:rPr>
            </w:pPr>
          </w:p>
        </w:tc>
        <w:tc>
          <w:tcPr>
            <w:tcW w:w="5460" w:type="dxa"/>
            <w:vAlign w:val="bottom"/>
            <w:tcBorders>
              <w:right w:val="single" w:sz="8" w:color="00000A"/>
            </w:tcBorders>
            <w:gridSpan w:val="2"/>
          </w:tcPr>
          <w:p>
            <w:pPr>
              <w:jc w:val="center"/>
              <w:ind w:right="110"/>
              <w:spacing w:after="0"/>
              <w:rPr>
                <w:sz w:val="20"/>
                <w:szCs w:val="20"/>
                <w:color w:val="auto"/>
              </w:rPr>
            </w:pPr>
            <w:r>
              <w:rPr>
                <w:rFonts w:ascii="Arial" w:cs="Arial" w:eastAsia="Arial" w:hAnsi="Arial"/>
                <w:sz w:val="18"/>
                <w:szCs w:val="18"/>
                <w:color w:val="auto"/>
                <w:w w:val="91"/>
              </w:rPr>
              <w:t>100%</w:t>
            </w:r>
          </w:p>
        </w:tc>
      </w:tr>
      <w:tr>
        <w:trPr>
          <w:trHeight w:val="27"/>
        </w:trPr>
        <w:tc>
          <w:tcPr>
            <w:tcW w:w="2620" w:type="dxa"/>
            <w:vAlign w:val="bottom"/>
            <w:tcBorders>
              <w:left w:val="single" w:sz="8" w:color="00000A"/>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5460" w:type="dxa"/>
            <w:vAlign w:val="bottom"/>
            <w:tcBorders>
              <w:bottom w:val="single" w:sz="8" w:color="00000A"/>
              <w:right w:val="single" w:sz="8" w:color="00000A"/>
            </w:tcBorders>
            <w:gridSpan w:val="2"/>
          </w:tcPr>
          <w:p>
            <w:pPr>
              <w:spacing w:after="0"/>
              <w:rPr>
                <w:sz w:val="2"/>
                <w:szCs w:val="2"/>
                <w:color w:val="auto"/>
              </w:rPr>
            </w:pPr>
          </w:p>
        </w:tc>
      </w:tr>
      <w:tr>
        <w:trPr>
          <w:trHeight w:val="196"/>
        </w:trPr>
        <w:tc>
          <w:tcPr>
            <w:tcW w:w="4340" w:type="dxa"/>
            <w:vAlign w:val="bottom"/>
            <w:tcBorders>
              <w:left w:val="single" w:sz="8" w:color="00000A"/>
            </w:tcBorders>
            <w:gridSpan w:val="3"/>
          </w:tcPr>
          <w:p>
            <w:pPr>
              <w:jc w:val="right"/>
              <w:ind w:right="1280"/>
              <w:spacing w:after="0" w:line="196" w:lineRule="exact"/>
              <w:rPr>
                <w:sz w:val="20"/>
                <w:szCs w:val="20"/>
                <w:color w:val="auto"/>
              </w:rPr>
            </w:pPr>
            <w:r>
              <w:rPr>
                <w:rFonts w:ascii="Arial" w:cs="Arial" w:eastAsia="Arial" w:hAnsi="Arial"/>
                <w:sz w:val="18"/>
                <w:szCs w:val="18"/>
                <w:color w:val="auto"/>
              </w:rPr>
              <w:t>&gt;16%</w:t>
            </w:r>
          </w:p>
        </w:tc>
        <w:tc>
          <w:tcPr>
            <w:tcW w:w="1360" w:type="dxa"/>
            <w:vAlign w:val="bottom"/>
            <w:tcBorders>
              <w:right w:val="single" w:sz="8" w:color="00000A"/>
            </w:tcBorders>
          </w:tcPr>
          <w:p>
            <w:pPr>
              <w:spacing w:after="0"/>
              <w:rPr>
                <w:sz w:val="17"/>
                <w:szCs w:val="17"/>
                <w:color w:val="auto"/>
              </w:rPr>
            </w:pPr>
          </w:p>
        </w:tc>
        <w:tc>
          <w:tcPr>
            <w:tcW w:w="5460" w:type="dxa"/>
            <w:vAlign w:val="bottom"/>
            <w:tcBorders>
              <w:right w:val="single" w:sz="8" w:color="00000A"/>
            </w:tcBorders>
            <w:gridSpan w:val="2"/>
          </w:tcPr>
          <w:p>
            <w:pPr>
              <w:jc w:val="center"/>
              <w:ind w:right="110"/>
              <w:spacing w:after="0" w:line="196" w:lineRule="exact"/>
              <w:rPr>
                <w:sz w:val="20"/>
                <w:szCs w:val="20"/>
                <w:color w:val="auto"/>
              </w:rPr>
            </w:pPr>
            <w:r>
              <w:rPr>
                <w:rFonts w:ascii="Arial" w:cs="Arial" w:eastAsia="Arial" w:hAnsi="Arial"/>
                <w:sz w:val="18"/>
                <w:szCs w:val="18"/>
                <w:color w:val="auto"/>
                <w:w w:val="91"/>
              </w:rPr>
              <w:t>300%</w:t>
            </w:r>
          </w:p>
        </w:tc>
      </w:tr>
      <w:tr>
        <w:trPr>
          <w:trHeight w:val="48"/>
        </w:trPr>
        <w:tc>
          <w:tcPr>
            <w:tcW w:w="2620" w:type="dxa"/>
            <w:vAlign w:val="bottom"/>
            <w:tcBorders>
              <w:left w:val="single" w:sz="8" w:color="00000A"/>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1620" w:type="dxa"/>
            <w:vAlign w:val="bottom"/>
            <w:tcBorders>
              <w:bottom w:val="single" w:sz="8" w:color="00000A"/>
            </w:tcBorders>
          </w:tcPr>
          <w:p>
            <w:pPr>
              <w:spacing w:after="0"/>
              <w:rPr>
                <w:sz w:val="4"/>
                <w:szCs w:val="4"/>
                <w:color w:val="auto"/>
              </w:rPr>
            </w:pPr>
          </w:p>
        </w:tc>
        <w:tc>
          <w:tcPr>
            <w:tcW w:w="1360" w:type="dxa"/>
            <w:vAlign w:val="bottom"/>
            <w:tcBorders>
              <w:bottom w:val="single" w:sz="8" w:color="00000A"/>
              <w:right w:val="single" w:sz="8" w:color="00000A"/>
            </w:tcBorders>
          </w:tcPr>
          <w:p>
            <w:pPr>
              <w:spacing w:after="0"/>
              <w:rPr>
                <w:sz w:val="4"/>
                <w:szCs w:val="4"/>
                <w:color w:val="auto"/>
              </w:rPr>
            </w:pPr>
          </w:p>
        </w:tc>
        <w:tc>
          <w:tcPr>
            <w:tcW w:w="1180" w:type="dxa"/>
            <w:vAlign w:val="bottom"/>
            <w:tcBorders>
              <w:bottom w:val="single" w:sz="8" w:color="00000A"/>
            </w:tcBorders>
          </w:tcPr>
          <w:p>
            <w:pPr>
              <w:spacing w:after="0"/>
              <w:rPr>
                <w:sz w:val="4"/>
                <w:szCs w:val="4"/>
                <w:color w:val="auto"/>
              </w:rPr>
            </w:pPr>
          </w:p>
        </w:tc>
        <w:tc>
          <w:tcPr>
            <w:tcW w:w="4280" w:type="dxa"/>
            <w:vAlign w:val="bottom"/>
            <w:tcBorders>
              <w:bottom w:val="single" w:sz="8" w:color="00000A"/>
              <w:right w:val="single" w:sz="8" w:color="00000A"/>
            </w:tcBorders>
          </w:tcPr>
          <w:p>
            <w:pPr>
              <w:spacing w:after="0"/>
              <w:rPr>
                <w:sz w:val="4"/>
                <w:szCs w:val="4"/>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payout formula will be applied on a sliding scale between 0% and 400% based on the business unit’s iTSR for the Performance Period.</w:t>
      </w:r>
    </w:p>
    <w:p>
      <w:pPr>
        <w:spacing w:after="0" w:line="200" w:lineRule="exact"/>
        <w:rPr>
          <w:sz w:val="20"/>
          <w:szCs w:val="20"/>
          <w:color w:val="auto"/>
        </w:rPr>
      </w:pPr>
    </w:p>
    <w:p>
      <w:pPr>
        <w:spacing w:after="0" w:line="29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u w:val="single" w:color="auto"/>
          <w:color w:val="auto"/>
        </w:rPr>
        <w:t>Definition of iTSR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Conceptual formula for iTSR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3061335" cy="523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13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Explanation of iTSR formula:</w:t>
      </w:r>
    </w:p>
    <w:p>
      <w:pPr>
        <w:spacing w:after="0" w:line="256"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Change in entity value is nine times the change in EBITDA values, comparing the full base year to the full final year of the performance period. The base year iTSR is the minimum value of an Operating Company, to which the 9X multiple is applied to calculate an EV. The base year iTSR is calculated using the highest of the following:</w:t>
      </w:r>
    </w:p>
    <w:p>
      <w:pPr>
        <w:spacing w:after="0" w:line="208" w:lineRule="exact"/>
        <w:rPr>
          <w:sz w:val="20"/>
          <w:szCs w:val="20"/>
          <w:color w:val="auto"/>
        </w:rPr>
      </w:pPr>
    </w:p>
    <w:p>
      <w:pPr>
        <w:ind w:left="980" w:hanging="49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Base-Year EBITDA</w:t>
      </w:r>
    </w:p>
    <w:p>
      <w:pPr>
        <w:spacing w:after="0" w:line="23" w:lineRule="exact"/>
        <w:rPr>
          <w:rFonts w:ascii="Arial" w:cs="Arial" w:eastAsia="Arial" w:hAnsi="Arial"/>
          <w:sz w:val="18"/>
          <w:szCs w:val="18"/>
          <w:color w:val="auto"/>
        </w:rPr>
      </w:pPr>
    </w:p>
    <w:p>
      <w:pPr>
        <w:ind w:left="980" w:hanging="54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 of Base-Year Sales</w:t>
      </w:r>
    </w:p>
    <w:p>
      <w:pPr>
        <w:spacing w:after="0" w:line="9" w:lineRule="exact"/>
        <w:rPr>
          <w:rFonts w:ascii="Arial" w:cs="Arial" w:eastAsia="Arial" w:hAnsi="Arial"/>
          <w:sz w:val="18"/>
          <w:szCs w:val="18"/>
          <w:color w:val="auto"/>
        </w:rPr>
      </w:pPr>
    </w:p>
    <w:p>
      <w:pPr>
        <w:ind w:left="980" w:hanging="59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90% of Prior-to-Base-Year iTSR Base</w:t>
      </w:r>
    </w:p>
    <w:p>
      <w:pPr>
        <w:spacing w:after="0" w:line="238"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Free cash flow is the cash flow generated by your business unit, including your business unit’s operating profit plus depreciation, amortization and proceeds from dispositions, less taxes and investments made for future growth (capital spending, working capital and acquisitions) and adjusted for other non-recurring items.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EBITDA is pre-tax income adjusted for non-operating and non-recurring items plus depreciation and amortization.</w:t>
      </w:r>
    </w:p>
    <w:p>
      <w:pPr>
        <w:sectPr>
          <w:pgSz w:w="11900" w:h="16838" w:orient="portrait"/>
          <w:cols w:equalWidth="0" w:num="1">
            <w:col w:w="11400"/>
          </w:cols>
          <w:pgMar w:left="240" w:top="61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DATE: February 15, 2019</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 «First_Name»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Mathematical formula for Cash 3 Year iTSR Performance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172085</wp:posOffset>
            </wp:positionV>
            <wp:extent cx="3987800" cy="651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87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Rules for Transfers/Promotions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rules will apply to you if you are transferred from one Dover business unit to another Dover business unit. These rules apply to all Performance Share payments you may be entitled to under this and any other Performance Share Award under the Plan you may have, as if part of your original Award.</w:t>
      </w:r>
    </w:p>
    <w:p>
      <w:pPr>
        <w:spacing w:after="0" w:line="394" w:lineRule="exact"/>
        <w:rPr>
          <w:sz w:val="20"/>
          <w:szCs w:val="20"/>
          <w:color w:val="auto"/>
        </w:rPr>
      </w:pPr>
    </w:p>
    <w:p>
      <w:pPr>
        <w:ind w:left="340" w:right="480" w:hanging="177"/>
        <w:spacing w:after="0" w:line="277"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first Performance Share payment date that occurs after your transfer, any Performance Share payment that may be due will be based on the performance of your old business unit.</w:t>
      </w:r>
    </w:p>
    <w:p>
      <w:pPr>
        <w:spacing w:after="0" w:line="197" w:lineRule="exact"/>
        <w:rPr>
          <w:sz w:val="20"/>
          <w:szCs w:val="20"/>
          <w:color w:val="auto"/>
        </w:rPr>
      </w:pPr>
    </w:p>
    <w:p>
      <w:pPr>
        <w:ind w:left="340" w:right="320" w:hanging="219"/>
        <w:spacing w:after="0" w:line="308" w:lineRule="auto"/>
        <w:rPr>
          <w:sz w:val="20"/>
          <w:szCs w:val="20"/>
          <w:color w:val="auto"/>
        </w:rPr>
      </w:pPr>
      <w:r>
        <w:rPr>
          <w:rFonts w:ascii="Arial" w:cs="Arial" w:eastAsia="Arial" w:hAnsi="Arial"/>
          <w:sz w:val="17"/>
          <w:szCs w:val="17"/>
          <w:color w:val="auto"/>
        </w:rPr>
        <w:t>(ii)For the second Performance Share payment date that occurs after your transfer, any Performance Share payment that may be due will be based on the performance of either your old business unit or your new business unit, whichever results in the higher payment to you.</w:t>
      </w:r>
    </w:p>
    <w:p>
      <w:pPr>
        <w:spacing w:after="0" w:line="174" w:lineRule="exact"/>
        <w:rPr>
          <w:sz w:val="20"/>
          <w:szCs w:val="20"/>
          <w:color w:val="auto"/>
        </w:rPr>
      </w:pPr>
    </w:p>
    <w:p>
      <w:pPr>
        <w:ind w:left="340" w:right="480" w:hanging="269"/>
        <w:spacing w:after="0" w:line="277" w:lineRule="auto"/>
        <w:rPr>
          <w:sz w:val="20"/>
          <w:szCs w:val="20"/>
          <w:color w:val="auto"/>
        </w:rPr>
      </w:pPr>
      <w:r>
        <w:rPr>
          <w:rFonts w:ascii="Arial" w:cs="Arial" w:eastAsia="Arial" w:hAnsi="Arial"/>
          <w:sz w:val="18"/>
          <w:szCs w:val="18"/>
          <w:color w:val="auto"/>
        </w:rPr>
        <w:t>(iii)For the third Performance Share payment date that occurs after your transfer, any Performance Share payment that may be due will be based on the performance of your new business unit.</w:t>
      </w:r>
    </w:p>
    <w:p>
      <w:pPr>
        <w:spacing w:after="0" w:line="197" w:lineRule="exact"/>
        <w:rPr>
          <w:sz w:val="20"/>
          <w:szCs w:val="20"/>
          <w:color w:val="auto"/>
        </w:rPr>
      </w:pPr>
    </w:p>
    <w:p>
      <w:pPr>
        <w:ind w:left="340" w:right="120" w:hanging="259"/>
        <w:spacing w:after="0" w:line="277" w:lineRule="auto"/>
        <w:rPr>
          <w:sz w:val="20"/>
          <w:szCs w:val="20"/>
          <w:color w:val="auto"/>
        </w:rPr>
      </w:pPr>
      <w:r>
        <w:rPr>
          <w:rFonts w:ascii="Arial" w:cs="Arial" w:eastAsia="Arial" w:hAnsi="Arial"/>
          <w:sz w:val="18"/>
          <w:szCs w:val="18"/>
          <w:color w:val="auto"/>
        </w:rPr>
        <w:t>(iv)Any Performance Share payment under an Award made at one business unit that becomes payable after you transfer to another business unit will still be based on that Award’s original share amount.</w:t>
      </w:r>
    </w:p>
    <w:p>
      <w:pPr>
        <w:spacing w:after="0" w:line="200" w:lineRule="exact"/>
        <w:rPr>
          <w:sz w:val="20"/>
          <w:szCs w:val="20"/>
          <w:color w:val="auto"/>
        </w:rPr>
      </w:pP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purposes of these rules your old business unit is the business unit indicated on your Award. Your new business unit is the business unit where you are employed on the payment date.</w:t>
      </w:r>
    </w:p>
    <w:p>
      <w:pPr>
        <w:sectPr>
          <w:pgSz w:w="11900" w:h="16838" w:orient="portrait"/>
          <w:cols w:equalWidth="0" w:num="1">
            <w:col w:w="11420"/>
          </w:cols>
          <w:pgMar w:left="240" w:top="61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26540" cy="557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265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Restricted Stock Unit Award</w:t>
      </w:r>
    </w:p>
    <w:p>
      <w:pPr>
        <w:spacing w:after="0" w:line="200" w:lineRule="exact"/>
        <w:rPr>
          <w:sz w:val="20"/>
          <w:szCs w:val="20"/>
          <w:color w:val="auto"/>
        </w:rPr>
      </w:pPr>
    </w:p>
    <w:p>
      <w:pPr>
        <w:spacing w:after="0" w:line="310"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DATE: February 15, 2019</w:t>
      </w:r>
      <w:r>
        <w:rPr>
          <w:sz w:val="20"/>
          <w:szCs w:val="20"/>
          <w:color w:val="auto"/>
        </w:rPr>
        <w:tab/>
      </w:r>
      <w:r>
        <w:rPr>
          <w:rFonts w:ascii="Arial" w:cs="Arial" w:eastAsia="Arial" w:hAnsi="Arial"/>
          <w:sz w:val="16"/>
          <w:szCs w:val="16"/>
          <w:color w:val="auto"/>
        </w:rPr>
        <w:t>Date of Grant: 02/15/2019</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TO: «Name»</w:t>
      </w:r>
      <w:r>
        <w:rPr>
          <w:sz w:val="20"/>
          <w:szCs w:val="20"/>
          <w:color w:val="auto"/>
        </w:rPr>
        <w:tab/>
      </w:r>
      <w:r>
        <w:rPr>
          <w:rFonts w:ascii="Arial" w:cs="Arial" w:eastAsia="Arial" w:hAnsi="Arial"/>
          <w:sz w:val="16"/>
          <w:szCs w:val="16"/>
          <w:color w:val="auto"/>
        </w:rPr>
        <w:t>xxxxx Restricted Stock Units</w:t>
      </w:r>
    </w:p>
    <w:p>
      <w:pPr>
        <w:spacing w:after="0" w:line="200" w:lineRule="exact"/>
        <w:rPr>
          <w:sz w:val="20"/>
          <w:szCs w:val="20"/>
          <w:color w:val="auto"/>
        </w:rPr>
      </w:pPr>
    </w:p>
    <w:p>
      <w:pPr>
        <w:spacing w:after="0" w:line="2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Your Restricted Stock Unit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Restricted Stock Unit Award is subject to the following:</w:t>
      </w:r>
    </w:p>
    <w:p>
      <w:pPr>
        <w:spacing w:after="0" w:line="225" w:lineRule="exact"/>
        <w:rPr>
          <w:sz w:val="20"/>
          <w:szCs w:val="20"/>
          <w:color w:val="auto"/>
        </w:rPr>
      </w:pPr>
    </w:p>
    <w:p>
      <w:pPr>
        <w:ind w:left="660" w:right="20" w:hanging="328"/>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Restricted Stock Unit is a bookkeeping entry on the books of Dover. No shares of Dover common stock shall be issued to you in respect of the Restricted Stock Unit Award until the restrictions have lapsed at the end of a Restricted Period. Within 30 days following the end of the Restricted Period, Dover shall issue shares of Common Stock in your name equal to the number of Restricted Stock Units that have vested during the Restricted Period less applicable tax withholding. In the event that your employment shall terminate prior to your vesting in the Restricted Stock Units, the Restricted Stock Units shall be forfeited.</w:t>
      </w:r>
    </w:p>
    <w:p>
      <w:pPr>
        <w:spacing w:after="0" w:line="215" w:lineRule="exact"/>
        <w:rPr>
          <w:rFonts w:ascii="Arial" w:cs="Arial" w:eastAsia="Arial" w:hAnsi="Arial"/>
          <w:sz w:val="18"/>
          <w:szCs w:val="18"/>
          <w:color w:val="auto"/>
        </w:rPr>
      </w:pPr>
    </w:p>
    <w:p>
      <w:pPr>
        <w:ind w:left="660" w:hanging="328"/>
        <w:spacing w:after="0" w:line="29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You shall vest in the Restricted Stock Unit Award, and all restrictions thereon shall lapse, with respect to 33% of your Restricted Stock Units on March 15, 2020 (or the first trading thereafter if such date is not a trading day), with respect to 33% of your Restricted Stock Units on March 15, 2021 (or the first trading thereafter if such date is not a trading day) and with respect to 34% of your Restricted Stock Units on March 15, 2022 (or the first trading thereafter if such date is not a trading day), subject to the forfeiture provisions of the Plan. You must be an active employee of Dover or an affiliate at the end of each Restricted Period in order for your Restricted Stock Units to vest, with certain exceptions as provided in the Plan.</w:t>
      </w:r>
    </w:p>
    <w:p>
      <w:pPr>
        <w:spacing w:after="0" w:line="185" w:lineRule="exact"/>
        <w:rPr>
          <w:rFonts w:ascii="Arial" w:cs="Arial" w:eastAsia="Arial" w:hAnsi="Arial"/>
          <w:sz w:val="16"/>
          <w:szCs w:val="16"/>
          <w:color w:val="auto"/>
        </w:rPr>
      </w:pPr>
    </w:p>
    <w:p>
      <w:pPr>
        <w:ind w:left="660" w:right="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do not have any voting rights with respect to Restricted Stock Units.</w:t>
      </w:r>
    </w:p>
    <w:p>
      <w:pPr>
        <w:spacing w:after="0" w:line="252" w:lineRule="exact"/>
        <w:rPr>
          <w:rFonts w:ascii="Arial" w:cs="Arial" w:eastAsia="Arial" w:hAnsi="Arial"/>
          <w:sz w:val="18"/>
          <w:szCs w:val="18"/>
          <w:color w:val="auto"/>
        </w:rPr>
      </w:pPr>
    </w:p>
    <w:p>
      <w:pPr>
        <w:ind w:left="660" w:right="200" w:hanging="328"/>
        <w:spacing w:after="0" w:line="29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As a condition of receiving your Restricted Stock Unit Award, you agree to be bound by the terms and conditions of the Dover Corporation Anti-hedging and Anti-pledging Policy and by any Clawback Policy to be adopted by Dover, as such policies may be in effect from time to time. The Anti-hedging and Anti-pledging Policy prohibits hedging or pledging </w:t>
      </w:r>
      <w:r>
        <w:rPr>
          <w:rFonts w:ascii="Arial" w:cs="Arial" w:eastAsia="Arial" w:hAnsi="Arial"/>
          <w:sz w:val="16"/>
          <w:szCs w:val="16"/>
          <w:u w:val="single" w:color="auto"/>
          <w:color w:val="auto"/>
        </w:rPr>
        <w:t>any</w:t>
      </w:r>
      <w:r>
        <w:rPr>
          <w:rFonts w:ascii="Arial" w:cs="Arial" w:eastAsia="Arial" w:hAnsi="Arial"/>
          <w:sz w:val="16"/>
          <w:szCs w:val="16"/>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any Clawback Policy to be adopted by Dover, by contacting the Benefits Department at 630-541-1540.</w:t>
      </w:r>
    </w:p>
    <w:p>
      <w:pPr>
        <w:spacing w:after="0" w:line="19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Non-US Employees, your Restricted Stock Unit Award is subject to the terms and conditions of the Addendum for Non-US Employees.</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Your Restricted Stock Unit Award is not transferable by you other than by will or the laws of descent and distribution and in accordance with the applicable terms and conditions of the Plan.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1420"/>
          </w:cols>
          <w:pgMar w:left="240" w:top="769" w:right="239" w:bottom="1440" w:gutter="0" w:footer="0" w:header="0"/>
        </w:sectPr>
      </w:pPr>
    </w:p>
    <w:bookmarkStart w:id="55" w:name="page56"/>
    <w:bookmarkEnd w:id="55"/>
    <w:p>
      <w:pPr>
        <w:spacing w:after="0"/>
        <w:tabs>
          <w:tab w:leader="none" w:pos="660" w:val="left"/>
        </w:tabs>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tabs>
          <w:tab w:leader="none" w:pos="660" w:val="left"/>
          <w:tab w:leader="none" w:pos="5720" w:val="left"/>
        </w:tabs>
        <w:rPr>
          <w:sz w:val="20"/>
          <w:szCs w:val="20"/>
          <w:color w:val="auto"/>
        </w:rPr>
      </w:pPr>
      <w:r>
        <w:rPr>
          <w:rFonts w:ascii="Arial" w:cs="Arial" w:eastAsia="Arial" w:hAnsi="Arial"/>
          <w:sz w:val="18"/>
          <w:szCs w:val="18"/>
          <w:color w:val="auto"/>
        </w:rPr>
        <w:t>Date:</w:t>
        <w:tab/>
        <w:t>April 18, 2019</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01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April 18, 2019</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Period ended 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9" w:lineRule="exact"/>
        <w:rPr>
          <w:sz w:val="20"/>
          <w:szCs w:val="20"/>
          <w:color w:val="auto"/>
        </w:rPr>
      </w:pPr>
    </w:p>
    <w:p>
      <w:pPr>
        <w:ind w:left="660" w:hanging="328"/>
        <w:spacing w:after="0" w:line="28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2019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48"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18, 2019</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18, 2019</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2"/>
    </w:lvl>
  </w:abstractNum>
  <w:abstractNum w:abstractNumId="4">
    <w:nsid w:val="436C6125"/>
    <w:multiLevelType w:val="hybridMultilevel"/>
    <w:lvl w:ilvl="0">
      <w:lvlJc w:val="left"/>
      <w:lvlText w:val="%1."/>
      <w:numFmt w:val="decimal"/>
      <w:start w:val="15"/>
    </w:lvl>
  </w:abstractNum>
  <w:abstractNum w:abstractNumId="5">
    <w:nsid w:val="628C895D"/>
    <w:multiLevelType w:val="hybridMultilevel"/>
    <w:lvl w:ilvl="0">
      <w:lvlJc w:val="left"/>
      <w:lvlText w:val="%1."/>
      <w:numFmt w:val="decimal"/>
      <w:start w:val="16"/>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lvl w:ilvl="1">
      <w:lvlJc w:val="left"/>
      <w:lvlText w:val="(%2)"/>
      <w:numFmt w:val="decimal"/>
      <w:start w:val="1"/>
    </w:lvl>
  </w:abstractNum>
  <w:abstractNum w:abstractNumId="8">
    <w:nsid w:val="2443A858"/>
    <w:multiLevelType w:val="hybridMultilevel"/>
    <w:lvl w:ilvl="0">
      <w:lvlJc w:val="left"/>
      <w:lvlText w:val="%1."/>
      <w:numFmt w:val="decimal"/>
      <w:start w:val="19"/>
    </w:lvl>
    <w:lvl w:ilvl="1">
      <w:lvlJc w:val="left"/>
      <w:lvlText w:val="%2"/>
      <w:numFmt w:val="decimal"/>
      <w:start w:val="1"/>
    </w:lvl>
  </w:abstractNum>
  <w:abstractNum w:abstractNumId="9">
    <w:nsid w:val="2D1D5AE9"/>
    <w:multiLevelType w:val="hybridMultilevel"/>
    <w:lvl w:ilvl="0">
      <w:lvlJc w:val="left"/>
      <w:lvlText w:val="%1."/>
      <w:numFmt w:val="decimal"/>
      <w:start w:val="2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decimal"/>
      <w:start w:val="101"/>
    </w:lvl>
  </w:abstractNum>
  <w:abstractNum w:abstractNumId="21">
    <w:nsid w:val="2901D82"/>
    <w:multiLevelType w:val="hybridMultilevel"/>
    <w:lvl w:ilvl="0">
      <w:lvlJc w:val="left"/>
      <w:lvlText w:val="%1."/>
      <w:numFmt w:val="decimal"/>
      <w:start w:val="1"/>
    </w:lvl>
    <w:lvl w:ilvl="1">
      <w:lvlJc w:val="left"/>
      <w:lvlText w:val="%2."/>
      <w:numFmt w:val="decimal"/>
      <w:start w:val="2"/>
    </w:lvl>
  </w:abstractNum>
  <w:abstractNum w:abstractNumId="22">
    <w:nsid w:val="3A95F874"/>
    <w:multiLevelType w:val="hybridMultilevel"/>
    <w:lvl w:ilvl="0">
      <w:lvlJc w:val="left"/>
      <w:lvlText w:val="%1."/>
      <w:numFmt w:val="decimal"/>
      <w:start w:val="5"/>
    </w:lvl>
    <w:lvl w:ilvl="1">
      <w:lvlJc w:val="left"/>
      <w:lvlText w:val="%2."/>
      <w:numFmt w:val="decimal"/>
      <w:start w:val="6"/>
    </w:lvl>
  </w:abstractNum>
  <w:abstractNum w:abstractNumId="23">
    <w:nsid w:val="8138641"/>
    <w:multiLevelType w:val="hybridMultilevel"/>
    <w:lvl w:ilvl="0">
      <w:lvlJc w:val="left"/>
      <w:lvlText w:val="%1."/>
      <w:numFmt w:val="decimal"/>
      <w:start w:val="7"/>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5"/>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1)"/>
      <w:numFmt w:val="lowerRoman"/>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1)"/>
      <w:numFmt w:val="lowerRoman"/>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2019-12-28T13:45:02Z</dcterms:created>
  <dcterms:modified xsi:type="dcterms:W3CDTF">2019-12-28T13:45:02Z</dcterms:modified>
</cp:coreProperties>
</file>