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68580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0" cy="1714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______________________________________</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47"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_______________________________</w:t>
      </w:r>
    </w:p>
    <w:p>
      <w:pPr>
        <w:spacing w:after="0" w:line="10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January 29, 2026</w:t>
      </w:r>
    </w:p>
    <w:p>
      <w:pPr>
        <w:spacing w:after="0" w:line="35" w:lineRule="exact"/>
        <w:rPr>
          <w:sz w:val="24"/>
          <w:szCs w:val="24"/>
          <w:color w:val="auto"/>
        </w:rPr>
      </w:pPr>
    </w:p>
    <w:p>
      <w:pPr>
        <w:ind w:left="3760"/>
        <w:spacing w:after="0"/>
        <w:rPr>
          <w:sz w:val="20"/>
          <w:szCs w:val="20"/>
          <w:color w:val="auto"/>
        </w:rPr>
      </w:pPr>
      <w:r>
        <w:rPr>
          <w:rFonts w:ascii="Arial" w:cs="Arial" w:eastAsia="Arial" w:hAnsi="Arial"/>
          <w:sz w:val="22"/>
          <w:szCs w:val="22"/>
          <w:color w:val="auto"/>
        </w:rPr>
        <w:t>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1685290</wp:posOffset>
            </wp:positionH>
            <wp:positionV relativeFrom="paragraph">
              <wp:posOffset>-1270</wp:posOffset>
            </wp:positionV>
            <wp:extent cx="3771900" cy="574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77190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1"/>
          <w:szCs w:val="11"/>
          <w:color w:val="FFFFFF"/>
        </w:rPr>
        <w:t>DOVER CORPORATION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4" w:lineRule="exact"/>
        <w:rPr>
          <w:sz w:val="24"/>
          <w:szCs w:val="24"/>
          <w:color w:val="auto"/>
        </w:rPr>
      </w:pPr>
    </w:p>
    <w:p>
      <w:pPr>
        <w:ind w:left="3780"/>
        <w:spacing w:after="0"/>
        <w:rPr>
          <w:sz w:val="20"/>
          <w:szCs w:val="20"/>
          <w:color w:val="auto"/>
        </w:rPr>
      </w:pPr>
      <w:r>
        <w:rPr>
          <w:rFonts w:ascii="Arial" w:cs="Arial" w:eastAsia="Arial" w:hAnsi="Arial"/>
          <w:sz w:val="14"/>
          <w:szCs w:val="14"/>
          <w:color w:val="auto"/>
        </w:rPr>
        <w:t>______________________________________________</w:t>
      </w:r>
    </w:p>
    <w:p>
      <w:pPr>
        <w:sectPr>
          <w:pgSz w:w="11900" w:h="16838" w:orient="portrait"/>
          <w:cols w:equalWidth="0" w:num="1">
            <w:col w:w="11240"/>
          </w:cols>
          <w:pgMar w:left="320" w:top="1263" w:right="339" w:bottom="1440" w:gutter="0" w:footer="0" w:header="0"/>
        </w:sectPr>
      </w:pPr>
    </w:p>
    <w:p>
      <w:pPr>
        <w:spacing w:after="0" w:line="32" w:lineRule="exact"/>
        <w:rPr>
          <w:sz w:val="24"/>
          <w:szCs w:val="24"/>
          <w:color w:val="auto"/>
        </w:rPr>
      </w:pPr>
    </w:p>
    <w:p>
      <w:pPr>
        <w:jc w:val="center"/>
        <w:ind w:left="44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jc w:val="center"/>
        <w:ind w:left="440"/>
        <w:spacing w:after="0"/>
        <w:rPr>
          <w:sz w:val="20"/>
          <w:szCs w:val="20"/>
          <w:color w:val="auto"/>
        </w:rPr>
      </w:pPr>
      <w:r>
        <w:rPr>
          <w:rFonts w:ascii="Arial" w:cs="Arial" w:eastAsia="Arial" w:hAnsi="Arial"/>
          <w:sz w:val="17"/>
          <w:szCs w:val="17"/>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1-4018</w:t>
      </w:r>
    </w:p>
    <w:p>
      <w:pPr>
        <w:spacing w:after="0" w:line="40" w:lineRule="exact"/>
        <w:rPr>
          <w:sz w:val="24"/>
          <w:szCs w:val="24"/>
          <w:color w:val="auto"/>
        </w:rPr>
      </w:pPr>
    </w:p>
    <w:p>
      <w:pPr>
        <w:jc w:val="center"/>
        <w:ind w:right="14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53-0257888</w:t>
      </w:r>
    </w:p>
    <w:p>
      <w:pPr>
        <w:spacing w:after="0" w:line="40" w:lineRule="exact"/>
        <w:rPr>
          <w:sz w:val="24"/>
          <w:szCs w:val="24"/>
          <w:color w:val="auto"/>
        </w:rPr>
      </w:pPr>
    </w:p>
    <w:p>
      <w:pPr>
        <w:jc w:val="center"/>
        <w:ind w:right="660"/>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4080" w:space="720"/>
            <w:col w:w="2280" w:space="720"/>
            <w:col w:w="3440"/>
          </w:cols>
          <w:pgMar w:left="320" w:top="1263" w:right="339" w:bottom="1440" w:gutter="0" w:footer="0" w:header="0"/>
          <w:type w:val="continuous"/>
        </w:sectPr>
      </w:pPr>
    </w:p>
    <w:p>
      <w:pPr>
        <w:spacing w:after="0" w:line="35"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3005 Highland Parkway</w:t>
      </w:r>
    </w:p>
    <w:p>
      <w:pPr>
        <w:spacing w:after="0" w:line="40" w:lineRule="exact"/>
        <w:rPr>
          <w:sz w:val="24"/>
          <w:szCs w:val="24"/>
          <w:color w:val="auto"/>
        </w:rPr>
      </w:pPr>
    </w:p>
    <w:p>
      <w:pPr>
        <w:jc w:val="center"/>
        <w:ind w:right="3500"/>
        <w:spacing w:after="0"/>
        <w:rPr>
          <w:sz w:val="20"/>
          <w:szCs w:val="20"/>
          <w:color w:val="auto"/>
        </w:rPr>
      </w:pPr>
      <w:r>
        <w:rPr>
          <w:rFonts w:ascii="Arial" w:cs="Arial" w:eastAsia="Arial" w:hAnsi="Arial"/>
          <w:sz w:val="18"/>
          <w:szCs w:val="18"/>
          <w:b w:val="1"/>
          <w:bCs w:val="1"/>
          <w:color w:val="auto"/>
        </w:rPr>
        <w:t>Downers Grove, Illinois</w:t>
      </w:r>
    </w:p>
    <w:p>
      <w:pPr>
        <w:spacing w:after="0" w:line="23" w:lineRule="exact"/>
        <w:rPr>
          <w:sz w:val="24"/>
          <w:szCs w:val="24"/>
          <w:color w:val="auto"/>
        </w:rPr>
      </w:pPr>
    </w:p>
    <w:p>
      <w:pPr>
        <w:jc w:val="center"/>
        <w:ind w:right="350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4" w:lineRule="exact"/>
        <w:rPr>
          <w:sz w:val="24"/>
          <w:szCs w:val="24"/>
          <w:color w:val="auto"/>
        </w:rPr>
      </w:pPr>
    </w:p>
    <w:p>
      <w:pPr>
        <w:jc w:val="center"/>
        <w:ind w:right="1620"/>
        <w:spacing w:after="0"/>
        <w:rPr>
          <w:sz w:val="20"/>
          <w:szCs w:val="20"/>
          <w:color w:val="auto"/>
        </w:rPr>
      </w:pPr>
      <w:r>
        <w:rPr>
          <w:rFonts w:ascii="Arial" w:cs="Arial" w:eastAsia="Arial" w:hAnsi="Arial"/>
          <w:sz w:val="18"/>
          <w:szCs w:val="18"/>
          <w:b w:val="1"/>
          <w:bCs w:val="1"/>
          <w:color w:val="auto"/>
        </w:rPr>
        <w:t>60515</w:t>
      </w:r>
    </w:p>
    <w:p>
      <w:pPr>
        <w:spacing w:after="0" w:line="4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(Zip Code)</w:t>
      </w:r>
    </w:p>
    <w:p>
      <w:pPr>
        <w:spacing w:after="0" w:line="86" w:lineRule="exact"/>
        <w:rPr>
          <w:sz w:val="24"/>
          <w:szCs w:val="24"/>
          <w:color w:val="auto"/>
        </w:rPr>
      </w:pPr>
    </w:p>
    <w:p>
      <w:pPr>
        <w:sectPr>
          <w:pgSz w:w="11900" w:h="16838" w:orient="portrait"/>
          <w:cols w:equalWidth="0" w:num="2">
            <w:col w:w="8040" w:space="720"/>
            <w:col w:w="2480"/>
          </w:cols>
          <w:pgMar w:left="320" w:top="1263" w:right="3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(630) 541-1540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auto"/>
        </w:rPr>
        <w:t>(Registrant’s telephone number, including area code)</w:t>
      </w:r>
    </w:p>
    <w:p>
      <w:pPr>
        <w:sectPr>
          <w:pgSz w:w="11900" w:h="16838" w:orient="portrait"/>
          <w:cols w:equalWidth="0" w:num="1">
            <w:col w:w="11240"/>
          </w:cols>
          <w:pgMar w:left="320" w:top="1263" w:right="339" w:bottom="1440" w:gutter="0" w:footer="0" w:header="0"/>
          <w:type w:val="continuous"/>
        </w:sectPr>
      </w:pPr>
    </w:p>
    <w:p>
      <w:pPr>
        <w:spacing w:after="0" w:line="39" w:lineRule="exact"/>
        <w:rPr>
          <w:sz w:val="24"/>
          <w:szCs w:val="24"/>
          <w:color w:val="auto"/>
        </w:rPr>
      </w:pPr>
    </w:p>
    <w:p>
      <w:pPr>
        <w:ind w:left="3800"/>
        <w:spacing w:after="0"/>
        <w:rPr>
          <w:sz w:val="20"/>
          <w:szCs w:val="20"/>
          <w:color w:val="auto"/>
        </w:rPr>
      </w:pPr>
      <w:r>
        <w:rPr>
          <w:rFonts w:ascii="Arial" w:cs="Arial" w:eastAsia="Arial" w:hAnsi="Arial"/>
          <w:sz w:val="14"/>
          <w:szCs w:val="14"/>
          <w:color w:val="auto"/>
        </w:rPr>
        <w:t>______________________________________________</w:t>
      </w:r>
    </w:p>
    <w:p>
      <w:pPr>
        <w:spacing w:after="0" w:line="180" w:lineRule="exact"/>
        <w:rPr>
          <w:sz w:val="24"/>
          <w:szCs w:val="24"/>
          <w:color w:val="auto"/>
        </w:rPr>
      </w:pPr>
    </w:p>
    <w:p>
      <w:pPr>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9" w:lineRule="exact"/>
        <w:rPr>
          <w:sz w:val="24"/>
          <w:szCs w:val="24"/>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40"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 w:lineRule="exact"/>
        <w:rPr>
          <w:rFonts w:ascii="MS PGothic" w:cs="MS PGothic" w:eastAsia="MS PGothic" w:hAnsi="MS PGothic"/>
          <w:sz w:val="18"/>
          <w:szCs w:val="18"/>
          <w:color w:val="auto"/>
        </w:rPr>
      </w:pPr>
    </w:p>
    <w:p>
      <w:pPr>
        <w:ind w:left="400" w:hanging="374"/>
        <w:spacing w:after="0"/>
        <w:tabs>
          <w:tab w:leader="none" w:pos="4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4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35"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266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266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Trading Symbol(s)</w:t>
            </w:r>
          </w:p>
        </w:tc>
        <w:tc>
          <w:tcPr>
            <w:tcW w:w="55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1.250% Notes due 2026</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26</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0.750% Notes due 2027</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27</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r>
        <w:trPr>
          <w:trHeight w:val="223"/>
        </w:trPr>
        <w:tc>
          <w:tcPr>
            <w:tcW w:w="26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3.500% Notes due 2033</w:t>
            </w:r>
          </w:p>
        </w:tc>
        <w:tc>
          <w:tcPr>
            <w:tcW w:w="26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DOV 33</w:t>
            </w:r>
          </w:p>
        </w:tc>
        <w:tc>
          <w:tcPr>
            <w:tcW w:w="55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New York Stock Exchange</w:t>
            </w:r>
          </w:p>
        </w:tc>
      </w:tr>
    </w:tbl>
    <w:p>
      <w:pPr>
        <w:spacing w:after="0" w:line="170"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82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03" w:lineRule="exact"/>
        <w:rPr>
          <w:sz w:val="24"/>
          <w:szCs w:val="24"/>
          <w:color w:val="auto"/>
        </w:rPr>
      </w:pPr>
    </w:p>
    <w:p>
      <w:pPr>
        <w:ind w:right="200"/>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26035</wp:posOffset>
            </wp:positionV>
            <wp:extent cx="68580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00" cy="171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On January 29, 2026, Dover Corporation ("Dover") issued the Press Release attached hereto as Exhibit 99.1 announcing its results of operations for the quarter ended December 31, 2025.</w:t>
      </w:r>
    </w:p>
    <w:p>
      <w:pPr>
        <w:spacing w:after="0" w:line="15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in this Current Report on Form 8-K, including Exhibit 99.1, is being furnished to the Securities and Exchange Commission (the “SEC”) and shall not be deemed to be incorporated by reference into any of Dover’s filings with the SEC under the Securities Act of 1933, as amended.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5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previously announced, on January 29, 2026, Dover will hold an investor conference call and webcast at 11:00 a.m. Central time (12:00 p.m. Eastern time) to discuss its results of operations for the quarter ended December 31, 2025.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2" w:lineRule="exact"/>
        <w:rPr>
          <w:sz w:val="20"/>
          <w:szCs w:val="20"/>
          <w:color w:val="auto"/>
        </w:rPr>
      </w:pPr>
    </w:p>
    <w:p>
      <w:pPr>
        <w:ind w:left="440" w:hanging="27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exhibits are furnished as part of this report: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0000FF"/>
        </w:rPr>
        <w:t>99.1 Press Release dated January 29, 2026</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104 Cover Page Interactive Data File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870585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Current Report on Form 8-K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100" w:type="dxa"/>
            <w:vAlign w:val="bottom"/>
          </w:tcPr>
          <w:p>
            <w:pPr>
              <w:spacing w:after="0"/>
              <w:rPr>
                <w:sz w:val="20"/>
                <w:szCs w:val="20"/>
                <w:color w:val="auto"/>
              </w:rPr>
            </w:pPr>
            <w:r>
              <w:rPr>
                <w:rFonts w:ascii="Arial" w:cs="Arial" w:eastAsia="Arial" w:hAnsi="Arial"/>
                <w:sz w:val="18"/>
                <w:szCs w:val="18"/>
                <w:color w:val="auto"/>
              </w:rPr>
              <w:t>Date:   January 29, 2026</w:t>
            </w:r>
          </w:p>
        </w:tc>
        <w:tc>
          <w:tcPr>
            <w:tcW w:w="6780" w:type="dxa"/>
            <w:vAlign w:val="bottom"/>
            <w:gridSpan w:val="2"/>
          </w:tcPr>
          <w:p>
            <w:pPr>
              <w:ind w:left="1060"/>
              <w:spacing w:after="0"/>
              <w:rPr>
                <w:sz w:val="20"/>
                <w:szCs w:val="20"/>
                <w:color w:val="auto"/>
              </w:rPr>
            </w:pPr>
            <w:r>
              <w:rPr>
                <w:rFonts w:ascii="Arial" w:cs="Arial" w:eastAsia="Arial" w:hAnsi="Arial"/>
                <w:sz w:val="18"/>
                <w:szCs w:val="18"/>
                <w:b w:val="1"/>
                <w:bCs w:val="1"/>
                <w:color w:val="auto"/>
              </w:rPr>
              <w:t>DOVER CORPORATION</w:t>
            </w:r>
          </w:p>
        </w:tc>
      </w:tr>
      <w:tr>
        <w:trPr>
          <w:trHeight w:val="239"/>
        </w:trPr>
        <w:tc>
          <w:tcPr>
            <w:tcW w:w="3100" w:type="dxa"/>
            <w:vAlign w:val="bottom"/>
          </w:tcPr>
          <w:p>
            <w:pPr>
              <w:spacing w:after="0"/>
              <w:rPr>
                <w:sz w:val="20"/>
                <w:szCs w:val="20"/>
                <w:color w:val="auto"/>
              </w:rPr>
            </w:pPr>
          </w:p>
        </w:tc>
        <w:tc>
          <w:tcPr>
            <w:tcW w:w="6780" w:type="dxa"/>
            <w:vAlign w:val="bottom"/>
            <w:gridSpan w:val="2"/>
          </w:tcPr>
          <w:p>
            <w:pPr>
              <w:ind w:left="1060"/>
              <w:spacing w:after="0"/>
              <w:rPr>
                <w:sz w:val="20"/>
                <w:szCs w:val="20"/>
                <w:color w:val="auto"/>
              </w:rPr>
            </w:pPr>
            <w:r>
              <w:rPr>
                <w:rFonts w:ascii="Arial" w:cs="Arial" w:eastAsia="Arial" w:hAnsi="Arial"/>
                <w:sz w:val="18"/>
                <w:szCs w:val="18"/>
                <w:color w:val="auto"/>
              </w:rPr>
              <w:t>(Registrant)</w:t>
            </w:r>
          </w:p>
        </w:tc>
      </w:tr>
      <w:tr>
        <w:trPr>
          <w:trHeight w:val="455"/>
        </w:trPr>
        <w:tc>
          <w:tcPr>
            <w:tcW w:w="3100" w:type="dxa"/>
            <w:vAlign w:val="bottom"/>
          </w:tcPr>
          <w:p>
            <w:pPr>
              <w:spacing w:after="0"/>
              <w:rPr>
                <w:sz w:val="24"/>
                <w:szCs w:val="24"/>
                <w:color w:val="auto"/>
              </w:rPr>
            </w:pPr>
          </w:p>
        </w:tc>
        <w:tc>
          <w:tcPr>
            <w:tcW w:w="6780" w:type="dxa"/>
            <w:vAlign w:val="bottom"/>
            <w:gridSpan w:val="2"/>
          </w:tcPr>
          <w:p>
            <w:pPr>
              <w:ind w:left="1060"/>
              <w:spacing w:after="0"/>
              <w:rPr>
                <w:sz w:val="20"/>
                <w:szCs w:val="20"/>
                <w:color w:val="auto"/>
              </w:rPr>
            </w:pPr>
            <w:r>
              <w:rPr>
                <w:rFonts w:ascii="Arial" w:cs="Arial" w:eastAsia="Arial" w:hAnsi="Arial"/>
                <w:sz w:val="18"/>
                <w:szCs w:val="18"/>
                <w:color w:val="auto"/>
              </w:rPr>
              <w:t>By:  /s/ Ivonne M. Cabrera</w:t>
            </w:r>
          </w:p>
        </w:tc>
      </w:tr>
      <w:tr>
        <w:trPr>
          <w:trHeight w:val="218"/>
        </w:trPr>
        <w:tc>
          <w:tcPr>
            <w:tcW w:w="3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Ivonne M. Cabrera</w:t>
            </w:r>
          </w:p>
        </w:tc>
      </w:tr>
      <w:tr>
        <w:trPr>
          <w:trHeight w:val="239"/>
        </w:trPr>
        <w:tc>
          <w:tcPr>
            <w:tcW w:w="3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Senior Vice President, General Counsel &amp; Secretary</w:t>
            </w:r>
          </w:p>
        </w:tc>
      </w:tr>
    </w:tbl>
    <w:p>
      <w:pPr>
        <w:sectPr>
          <w:pgSz w:w="11900" w:h="16838" w:orient="portrait"/>
          <w:cols w:equalWidth="0" w:num="1">
            <w:col w:w="11240"/>
          </w:cols>
          <w:pgMar w:left="320" w:top="890" w:right="339" w:bottom="1440" w:gutter="0" w:footer="0" w:header="0"/>
        </w:sectPr>
      </w:pPr>
    </w:p>
    <w:bookmarkStart w:id="3" w:name="page4"/>
    <w:bookmarkEnd w:id="3"/>
    <w:p>
      <w:pPr>
        <w:ind w:left="1014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577340" cy="539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539750"/>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Investor Contact:</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Jack Dickens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7"/>
          <w:szCs w:val="17"/>
          <w:color w:val="auto"/>
        </w:rPr>
        <w:t>Vice President - Investor Relations</w:t>
      </w: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(630) 743-2566</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jdickens@dovercorp.com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Adrian Sakowicz</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 Communications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(630) 743-5039</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asakowicz@dovercorp.com</w:t>
      </w:r>
    </w:p>
    <w:p>
      <w:pPr>
        <w:spacing w:after="0" w:line="200" w:lineRule="exact"/>
        <w:rPr>
          <w:sz w:val="20"/>
          <w:szCs w:val="20"/>
          <w:color w:val="auto"/>
        </w:rPr>
      </w:pPr>
    </w:p>
    <w:p>
      <w:pPr>
        <w:sectPr>
          <w:pgSz w:w="11900" w:h="16838" w:orient="portrait"/>
          <w:cols w:equalWidth="0" w:num="2">
            <w:col w:w="7060" w:space="720"/>
            <w:col w:w="3460"/>
          </w:cols>
          <w:pgMar w:left="320" w:top="764" w:right="339" w:bottom="1440" w:gutter="0" w:footer="0" w:header="0"/>
          <w:type w:val="continuous"/>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REPORTS FOURTH QUARTER AND FULL YEAR 2025 RESULTS</w:t>
      </w:r>
    </w:p>
    <w:p>
      <w:pPr>
        <w:spacing w:after="0" w:line="200" w:lineRule="exact"/>
        <w:rPr>
          <w:sz w:val="20"/>
          <w:szCs w:val="20"/>
          <w:color w:val="auto"/>
        </w:rPr>
      </w:pPr>
    </w:p>
    <w:p>
      <w:pPr>
        <w:spacing w:after="0" w:line="295" w:lineRule="exact"/>
        <w:rPr>
          <w:sz w:val="20"/>
          <w:szCs w:val="20"/>
          <w:color w:val="auto"/>
        </w:rPr>
      </w:pPr>
    </w:p>
    <w:p>
      <w:pPr>
        <w:spacing w:after="0" w:line="273" w:lineRule="auto"/>
        <w:rPr>
          <w:sz w:val="20"/>
          <w:szCs w:val="20"/>
          <w:color w:val="auto"/>
        </w:rPr>
      </w:pPr>
      <w:r>
        <w:rPr>
          <w:rFonts w:ascii="Arial" w:cs="Arial" w:eastAsia="Arial" w:hAnsi="Arial"/>
          <w:sz w:val="18"/>
          <w:szCs w:val="18"/>
          <w:b w:val="1"/>
          <w:bCs w:val="1"/>
          <w:color w:val="auto"/>
        </w:rPr>
        <w:t xml:space="preserve">DOWNERS GROVE, Ill., January 29, 2026 </w:t>
      </w:r>
      <w:r>
        <w:rPr>
          <w:rFonts w:ascii="Arial" w:cs="Arial" w:eastAsia="Arial" w:hAnsi="Arial"/>
          <w:sz w:val="18"/>
          <w:szCs w:val="18"/>
          <w:color w:val="auto"/>
        </w:rPr>
        <w:t>— Dover (NYSE: DOV), a diversified global manufacturer, announced its financial results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fourth quarter ended December 31, 2025. All comparisons are to the comparable period of the prior fiscal year, unless otherwise noted.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88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 in millions, except per share data)*</w:t>
            </w:r>
          </w:p>
        </w:tc>
        <w:tc>
          <w:tcPr>
            <w:tcW w:w="220" w:type="dxa"/>
            <w:vAlign w:val="bottom"/>
          </w:tcPr>
          <w:p>
            <w:pPr>
              <w:spacing w:after="0"/>
              <w:rPr>
                <w:sz w:val="20"/>
                <w:szCs w:val="20"/>
                <w:color w:val="auto"/>
              </w:rPr>
            </w:pPr>
          </w:p>
        </w:tc>
        <w:tc>
          <w:tcPr>
            <w:tcW w:w="3740" w:type="dxa"/>
            <w:vAlign w:val="bottom"/>
            <w:gridSpan w:val="8"/>
          </w:tcPr>
          <w:p>
            <w:pPr>
              <w:jc w:val="right"/>
              <w:ind w:right="640"/>
              <w:spacing w:after="0"/>
              <w:rPr>
                <w:sz w:val="20"/>
                <w:szCs w:val="20"/>
                <w:color w:val="auto"/>
              </w:rPr>
            </w:pPr>
            <w:r>
              <w:rPr>
                <w:rFonts w:ascii="Arial" w:cs="Arial" w:eastAsia="Arial" w:hAnsi="Arial"/>
                <w:sz w:val="18"/>
                <w:szCs w:val="18"/>
                <w:b w:val="1"/>
                <w:bCs w:val="1"/>
                <w:color w:val="auto"/>
              </w:rPr>
              <w:t>Three Months Ended December 31,</w:t>
            </w:r>
          </w:p>
        </w:tc>
        <w:tc>
          <w:tcPr>
            <w:tcW w:w="3400" w:type="dxa"/>
            <w:vAlign w:val="bottom"/>
            <w:gridSpan w:val="6"/>
          </w:tcPr>
          <w:p>
            <w:pPr>
              <w:jc w:val="right"/>
              <w:ind w:right="570"/>
              <w:spacing w:after="0"/>
              <w:rPr>
                <w:sz w:val="20"/>
                <w:szCs w:val="20"/>
                <w:color w:val="auto"/>
              </w:rPr>
            </w:pPr>
            <w:r>
              <w:rPr>
                <w:rFonts w:ascii="Arial" w:cs="Arial" w:eastAsia="Arial" w:hAnsi="Arial"/>
                <w:sz w:val="18"/>
                <w:szCs w:val="18"/>
                <w:b w:val="1"/>
                <w:bCs w:val="1"/>
                <w:color w:val="auto"/>
              </w:rPr>
              <w:t>Years Ended December 31,</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vMerge w:val="continue"/>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8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U.S. GAAP</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2,099</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1,930</w:t>
            </w:r>
          </w:p>
        </w:tc>
        <w:tc>
          <w:tcPr>
            <w:tcW w:w="80" w:type="dxa"/>
            <w:vAlign w:val="bottom"/>
          </w:tcPr>
          <w:p>
            <w:pPr>
              <w:spacing w:after="0"/>
              <w:rPr>
                <w:sz w:val="19"/>
                <w:szCs w:val="19"/>
                <w:color w:val="auto"/>
              </w:rPr>
            </w:pPr>
          </w:p>
        </w:tc>
        <w:tc>
          <w:tcPr>
            <w:tcW w:w="1600" w:type="dxa"/>
            <w:vAlign w:val="bottom"/>
            <w:gridSpan w:val="3"/>
          </w:tcPr>
          <w:p>
            <w:pPr>
              <w:jc w:val="right"/>
              <w:ind w:right="120"/>
              <w:spacing w:after="0"/>
              <w:rPr>
                <w:sz w:val="20"/>
                <w:szCs w:val="20"/>
                <w:color w:val="auto"/>
              </w:rPr>
            </w:pPr>
            <w:r>
              <w:rPr>
                <w:rFonts w:ascii="Arial" w:cs="Arial" w:eastAsia="Arial" w:hAnsi="Arial"/>
                <w:sz w:val="18"/>
                <w:szCs w:val="18"/>
                <w:color w:val="auto"/>
              </w:rPr>
              <w:t>9 % $</w:t>
            </w:r>
          </w:p>
        </w:tc>
        <w:tc>
          <w:tcPr>
            <w:tcW w:w="860" w:type="dxa"/>
            <w:vAlign w:val="bottom"/>
          </w:tcPr>
          <w:p>
            <w:pPr>
              <w:jc w:val="right"/>
              <w:spacing w:after="0"/>
              <w:rPr>
                <w:sz w:val="20"/>
                <w:szCs w:val="20"/>
                <w:color w:val="auto"/>
              </w:rPr>
            </w:pPr>
            <w:r>
              <w:rPr>
                <w:rFonts w:ascii="Arial" w:cs="Arial" w:eastAsia="Arial" w:hAnsi="Arial"/>
                <w:sz w:val="18"/>
                <w:szCs w:val="18"/>
                <w:color w:val="auto"/>
              </w:rPr>
              <w:t>8,093</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7,746</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from continuing operations</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9"/>
        </w:trPr>
        <w:tc>
          <w:tcPr>
            <w:tcW w:w="3880" w:type="dxa"/>
            <w:vAlign w:val="bottom"/>
          </w:tcPr>
          <w:p>
            <w:pPr>
              <w:ind w:left="20"/>
              <w:spacing w:after="0"/>
              <w:rPr>
                <w:sz w:val="20"/>
                <w:szCs w:val="20"/>
                <w:color w:val="auto"/>
              </w:rPr>
            </w:pPr>
            <w:r>
              <w:rPr>
                <w:rFonts w:ascii="Arial" w:cs="Arial" w:eastAsia="Arial" w:hAnsi="Arial"/>
                <w:sz w:val="18"/>
                <w:szCs w:val="18"/>
                <w:color w:val="auto"/>
              </w:rPr>
              <w:t>Diluted EPS from continuing operations</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10.09</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0"/>
        </w:trPr>
        <w:tc>
          <w:tcPr>
            <w:tcW w:w="38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Non-GAAP</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Organic revenue change</w:t>
            </w: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0"/>
        </w:trPr>
        <w:tc>
          <w:tcPr>
            <w:tcW w:w="38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Adjusted earnings from continuing operations </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1,324</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1,150</w:t>
            </w:r>
          </w:p>
        </w:tc>
        <w:tc>
          <w:tcPr>
            <w:tcW w:w="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175"/>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Adjusted diluted EPS from continuing</w:t>
            </w: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77" w:lineRule="exact"/>
        <w:rPr>
          <w:sz w:val="20"/>
          <w:szCs w:val="20"/>
          <w:color w:val="auto"/>
        </w:rPr>
      </w:pPr>
    </w:p>
    <w:p>
      <w:pPr>
        <w:ind w:right="640" w:firstLine="8"/>
        <w:spacing w:after="0" w:line="216" w:lineRule="auto"/>
        <w:tabs>
          <w:tab w:leader="none" w:pos="80" w:val="left"/>
        </w:tabs>
        <w:numPr>
          <w:ilvl w:val="0"/>
          <w:numId w:val="3"/>
        </w:numPr>
        <w:rPr>
          <w:rFonts w:ascii="Arial" w:cs="Arial" w:eastAsia="Arial" w:hAnsi="Arial"/>
          <w:sz w:val="16"/>
          <w:szCs w:val="16"/>
          <w:color w:val="auto"/>
          <w:vertAlign w:val="superscript"/>
        </w:rPr>
      </w:pPr>
      <w:r>
        <w:rPr>
          <w:rFonts w:ascii="Arial" w:cs="Arial" w:eastAsia="Arial" w:hAnsi="Arial"/>
          <w:sz w:val="13"/>
          <w:szCs w:val="13"/>
          <w:color w:val="auto"/>
        </w:rPr>
        <w:t>Q4 and full year 2025 and 2024 adjusted earnings from continuing operations exclude after-tax purchase accounting expenses, restructuring and other costs, and (gain) loss on dispositions. * Totals, change and per share data may be impacted by rounding.</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quarter ended December 31, 2025, Dover generated revenue of $2.1 billion, an increase of 9% (+5% organic). GAAP earnings from continuing operations of $275 million increased 15%, and GAAP diluted EPS from continuing operations of $2.01 was up 17%. On an adjusted basis, earnings from continuing operations of $343 million were up 13% and adjusted diluted EPS from continuing operations of $2.51 was up 14%.</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For the year ended December 31, 2025, Dover generated revenue of $8.1 billion, an increase of 4% (+2% organic). GAAP earnings from continuing operations of $1.1 billion decreased by 22%, and GAAP diluted EPS from continuing operations of $7.97 was down 21%, both principally due to the gain on the disposition of De-Sta-Co in the prior year. On an adjusted basis, earnings from continuing operations of $1.3 billion increased 15%, and adjusted diluted EPS from continuing operations of $9.61 was up 16%.</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 full reconciliation between GAAP and adjusted measures and definitions of non-GAAP and other performance measures are included as an exhibit herein.</w:t>
      </w:r>
    </w:p>
    <w:p>
      <w:pPr>
        <w:sectPr>
          <w:pgSz w:w="11900" w:h="16838" w:orient="portrait"/>
          <w:cols w:equalWidth="0" w:num="1">
            <w:col w:w="11240"/>
          </w:cols>
          <w:pgMar w:left="320" w:top="764" w:right="3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MANAGEMENT COMMENTARY: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Dover’s President and Chief Executive Officer, Richard J. Tobin, said, "Our fourth quarter results reflect broad-based top line strength across the portfolio, with organic growth reaching its highest level of the year. Revenue performance was driven by robust trends in our secular-growth-exposed markets as well as improving conditions in retail fueling and refrigerated door cases and services. Our sustained strong bookings rates continue to support underlying momentum across the portfolio, providing confidence in the durability of demand as we enter the new year.</w:t>
      </w:r>
    </w:p>
    <w:p>
      <w:pPr>
        <w:spacing w:after="0" w:line="20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"Margins improved year-over-year on volume leverage and ongoing productivity initiatives. We are carrying a significant amount of restructuring benefit into next year from previously announced productivity and fixed cost optimization projects, which should support attractive margin conversion.</w:t>
      </w:r>
    </w:p>
    <w:p>
      <w:pPr>
        <w:spacing w:after="0" w:line="19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solid operational results were complemented by our capital allocation strategy. The acquisitions we closed during the year are performing above their deal models. Additionally, we initiated an accelerated share repurchase in November, underscoring our disciplined approach to capital return to shareholders. With meaningful balance sheet flexibility, we remain well positioned to invest behind long-term shareholder value creation.</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 constructive outlook for 2026. Demand trends are solid and broad-based across the portfolio, and are supported by our order book, with no individual end market presenting a material headwind. Our balance sheet optionality enables us to dynamically respond to market conditions and opportunistically play offense. Our 2026 guidance is consistent with our long-term EPS growth trajectory and our commitment to driving sustainable value creation for our shareholders."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2026 GUIDANCE: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In 2026, Dover expects to generate GAAP EPS in the range of $8.95 to $9.15 (adjusted EPS of $10.45 to $10.65), based on full year revenue growth of 5% to 7% (organic growth of 3% to 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Dover will host a webcast and conference call to discuss its fourth quarter results at 12:00 P.M. Eastern Time (11:00 A.M. Central Time) on Thursday, January 29, 2026. The webcast can be accessed on the Dover website at dovercorporation.com. The conference call will also be made available for replay on the website. Additional information on Dover's results and its operating segments can be found on the Company's website.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DOVER:</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Dover is a diversified global manufacturer and solutions provider with annual revenue of over $8 billion. We deliver innovative equipment and components, consumable supplies, aftermarket parts, software and digital solutions, and support services through five operating segments: Engineered Products, Clean Energy &amp; Fueling, Imaging &amp; Identification, Pumps &amp; Process Solutions and Climate &amp; Sustainability Technologies. Dover combines global scale with operational agility to lead the markets we serve. Recognized for our entrepreneurial approach for over 70 years, our team of approximately 24,000 employees takes an ownership mindset, collaborating with customers to redefine what's possible. Headquartered in Downers Grove, Illinois, Dover trades on the New York Stock Exchange under "DOV."</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All statements in this document other than statements of historical fact are statements that are, or could be deemed, "forward-looking" statements. Forward-looking statements are subject to numerous important risks, uncertainties, assumptions and other factors, some of which are beyond the Company's control. Factors that could cause actual results to differ materially from current expectations include, among other things, general economic conditions and conditions in the particular markets in which we operate; supply chain constraints and labor shortages that could result in production stoppages; inflation in material input costs and freight logistics; the impacts of natural or human-induced disasters, acts of war, terrorism, international conflicts, and public health crises or other future pandemics on the global economy and on our customers, suppliers, employees, business and cash flows; changes in customer demand and capital spending; competitive factors and pricing pressures; our ability to develop and launch new products in a cost-effective manner; changes in law, including the effect of tax laws and developments with respect to trade policy and tariffs; our ability to identify, consummate and successfully integrate and realize synergies from newly acquired businesses; acquisition valuation levels; the impact of interest rate and currency exchange rate fluctuations; capital allocation plans and changes in those plans, including with respect to dividends, share repurchases, investments in</w:t>
      </w:r>
    </w:p>
    <w:p>
      <w:pPr>
        <w:sectPr>
          <w:pgSz w:w="11900" w:h="16838" w:orient="portrait"/>
          <w:cols w:equalWidth="0" w:num="1">
            <w:col w:w="11240"/>
          </w:cols>
          <w:pgMar w:left="320" w:top="1093" w:right="339" w:bottom="144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research and development, capital expenditures and acquisitions; our ability to effectively deploy capital resulting from dispositions; our ability to derive expected benefits from restructurings, productivity initiatives and other cost reduction actions; the impact of legal compliance risks and litigation, including with respect to product quality and safety, cybersecurity and privacy; and our ability to capture and protect intellectual property rights. For details on the risks and uncertainties that could cause our results to differ materially from the forward-looking statements contained herein, we refer you to the documents we file with the Securities and Exchange Commission, including our Annual Report on Form 10-K for the year ended December 31, 2024, and our Quarterly Reports on Form 10-Q and Current Reports on Form 8-K. These documents are available from the Securities and Exchange Commission, and on our website, dovercorporation.com. The Company undertakes no obligation to publicly update any forward-looking statement, whether as a result of new information, future events or otherwise.</w:t>
      </w:r>
    </w:p>
    <w:p>
      <w:pPr>
        <w:sectPr>
          <w:pgSz w:w="11900" w:h="16838" w:orient="portrait"/>
          <w:cols w:equalWidth="0" w:num="1">
            <w:col w:w="11240"/>
          </w:cols>
          <w:pgMar w:left="320" w:top="10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u w:val="single" w:color="auto"/>
          <w:color w:val="auto"/>
        </w:rPr>
        <w:t>INVESTOR SUPPLEMENT - FOURTH QUARTER AND FULL YEAR 2025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12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18"/>
                <w:szCs w:val="18"/>
                <w:color w:val="auto"/>
              </w:rPr>
            </w:pPr>
          </w:p>
        </w:tc>
        <w:tc>
          <w:tcPr>
            <w:tcW w:w="2800" w:type="dxa"/>
            <w:vAlign w:val="bottom"/>
            <w:gridSpan w:val="4"/>
          </w:tcPr>
          <w:p>
            <w:pPr>
              <w:jc w:val="right"/>
              <w:ind w:right="439"/>
              <w:spacing w:after="0"/>
              <w:rPr>
                <w:sz w:val="20"/>
                <w:szCs w:val="20"/>
                <w:color w:val="auto"/>
              </w:rPr>
            </w:pPr>
            <w:r>
              <w:rPr>
                <w:rFonts w:ascii="Arial" w:cs="Arial" w:eastAsia="Arial" w:hAnsi="Arial"/>
                <w:sz w:val="16"/>
                <w:szCs w:val="16"/>
                <w:b w:val="1"/>
                <w:bCs w:val="1"/>
                <w:color w:val="auto"/>
              </w:rPr>
              <w:t>Years Ended December 31,</w:t>
            </w:r>
          </w:p>
        </w:tc>
      </w:tr>
      <w:tr>
        <w:trPr>
          <w:trHeight w:val="209"/>
        </w:trPr>
        <w:tc>
          <w:tcPr>
            <w:tcW w:w="48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2,099,079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1,929,866</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8,092,571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7,745,909</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and services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1,278,266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1,184,142</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4,874,402</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4,787,288</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Gross profit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820,813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745,724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3,218,169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2,958,621</w:t>
            </w:r>
          </w:p>
        </w:tc>
      </w:tr>
      <w:tr>
        <w:trPr>
          <w:trHeight w:val="215"/>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475,511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450,660</w:t>
            </w: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1,844,808</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1,752,266</w:t>
            </w:r>
          </w:p>
        </w:tc>
      </w:tr>
      <w:tr>
        <w:trPr>
          <w:trHeight w:val="210"/>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earnings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345,302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295,064</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1,373,361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1,206,355</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28,134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28,304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131,171</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(23,145)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(73,032)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(37,158)</w:t>
            </w: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Loss (gain) on dispositions</w:t>
            </w:r>
          </w:p>
        </w:tc>
        <w:tc>
          <w:tcPr>
            <w:tcW w:w="1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(4,644)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(597,798)</w:t>
            </w: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(6,324)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(13,860)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(32,987)</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(46,876)</w:t>
            </w:r>
          </w:p>
        </w:tc>
      </w:tr>
      <w:tr>
        <w:trPr>
          <w:trHeight w:val="209"/>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before provision for income taxes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340,531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303,650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1,374,252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1,757,016</w:t>
            </w: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65,765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65,267</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276,823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357,048</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Earnings from continuing operations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274,766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238,383</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1,097,429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1,399,968</w:t>
            </w:r>
          </w:p>
        </w:tc>
      </w:tr>
      <w:tr>
        <w:trPr>
          <w:trHeight w:val="215"/>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from discontinued operations, net</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1,197,600</w:t>
            </w:r>
          </w:p>
        </w:tc>
        <w:tc>
          <w:tcPr>
            <w:tcW w:w="1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(3,473)</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1,297,158</w:t>
            </w:r>
          </w:p>
        </w:tc>
      </w:tr>
      <w:tr>
        <w:trPr>
          <w:trHeight w:val="210"/>
        </w:trPr>
        <w:tc>
          <w:tcPr>
            <w:tcW w:w="4860" w:type="dxa"/>
            <w:vAlign w:val="bottom"/>
          </w:tcPr>
          <w:p>
            <w:pPr>
              <w:ind w:left="2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282,075</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1,435,983</w:t>
            </w:r>
          </w:p>
        </w:tc>
        <w:tc>
          <w:tcPr>
            <w:tcW w:w="1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1,093,956</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2,697,126</w:t>
            </w:r>
          </w:p>
        </w:tc>
      </w:tr>
      <w:tr>
        <w:trPr>
          <w:trHeight w:val="21"/>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Arial" w:cs="Arial" w:eastAsia="Arial" w:hAnsi="Arial"/>
          <w:sz w:val="18"/>
          <w:szCs w:val="18"/>
          <w:color w:val="auto"/>
        </w:rPr>
        <w:t>IS - 1</w:t>
      </w:r>
    </w:p>
    <w:p>
      <w:pPr>
        <w:sectPr>
          <w:pgSz w:w="11900" w:h="16838" w:orient="portrait"/>
          <w:cols w:equalWidth="0" w:num="1">
            <w:col w:w="11240"/>
          </w:cols>
          <w:pgMar w:left="320" w:top="607"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EARNINGS PER SHARE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(unaudited)(in thousands, except per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00" w:type="dxa"/>
            <w:vAlign w:val="bottom"/>
            <w:gridSpan w:val="2"/>
          </w:tcPr>
          <w:p>
            <w:pPr>
              <w:spacing w:after="0"/>
              <w:rPr>
                <w:sz w:val="20"/>
                <w:szCs w:val="20"/>
                <w:color w:val="auto"/>
              </w:rPr>
            </w:pPr>
            <w:r>
              <w:rPr>
                <w:rFonts w:ascii="Arial" w:cs="Arial" w:eastAsia="Arial" w:hAnsi="Arial"/>
                <w:sz w:val="16"/>
                <w:szCs w:val="16"/>
                <w:b w:val="1"/>
                <w:bCs w:val="1"/>
                <w:color w:val="auto"/>
              </w:rPr>
              <w:t>Earnings Per Share</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50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50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Q1</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Q2</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Q3</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FY 2025</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Q1</w:t>
            </w: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2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FY 2024</w:t>
            </w:r>
          </w:p>
        </w:tc>
        <w:tc>
          <w:tcPr>
            <w:tcW w:w="0" w:type="dxa"/>
            <w:vAlign w:val="bottom"/>
          </w:tcPr>
          <w:p>
            <w:pPr>
              <w:spacing w:after="0"/>
              <w:rPr>
                <w:sz w:val="1"/>
                <w:szCs w:val="1"/>
                <w:color w:val="auto"/>
              </w:rPr>
            </w:pPr>
          </w:p>
        </w:tc>
      </w:tr>
      <w:tr>
        <w:trPr>
          <w:trHeight w:val="19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8"/>
              </w:rPr>
              <w:t>Basic earnings (loss) per</w:t>
            </w:r>
          </w:p>
        </w:tc>
        <w:tc>
          <w:tcPr>
            <w:tcW w:w="860" w:type="dxa"/>
            <w:vAlign w:val="bottom"/>
            <w:gridSpan w:val="2"/>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share:</w:t>
            </w: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1.74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2.04</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2.02</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8.01</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4.33</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2.28</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1.74</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10.16</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(0.03)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0.25</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8.73</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9.42</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1.68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2.03</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2.07</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7.99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4.55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2.05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2.53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10.47</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19.58</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1260" w:type="dxa"/>
            <w:vAlign w:val="bottom"/>
            <w:gridSpan w:val="3"/>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760" w:type="dxa"/>
            <w:vAlign w:val="bottom"/>
            <w:gridSpan w:val="4"/>
          </w:tcPr>
          <w:p>
            <w:pPr>
              <w:spacing w:after="0"/>
              <w:rPr>
                <w:sz w:val="20"/>
                <w:szCs w:val="20"/>
                <w:color w:val="auto"/>
              </w:rPr>
            </w:pPr>
            <w:r>
              <w:rPr>
                <w:rFonts w:ascii="Arial" w:cs="Arial" w:eastAsia="Arial" w:hAnsi="Arial"/>
                <w:sz w:val="16"/>
                <w:szCs w:val="16"/>
                <w:b w:val="1"/>
                <w:bCs w:val="1"/>
                <w:color w:val="auto"/>
              </w:rPr>
              <w:t>Diluted earnings (loss) per share:</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10.09</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(0.06)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0.05</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(0.03)</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0.22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0.25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0.25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8.66</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9.35</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19.45</w:t>
            </w: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4940" w:type="dxa"/>
            <w:vAlign w:val="bottom"/>
            <w:gridSpan w:val="11"/>
          </w:tcPr>
          <w:p>
            <w:pPr>
              <w:spacing w:after="0"/>
              <w:rPr>
                <w:sz w:val="23"/>
                <w:szCs w:val="23"/>
                <w:color w:val="auto"/>
              </w:rPr>
            </w:pPr>
          </w:p>
        </w:tc>
        <w:tc>
          <w:tcPr>
            <w:tcW w:w="2660" w:type="dxa"/>
            <w:vAlign w:val="bottom"/>
            <w:gridSpan w:val="7"/>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9100" w:type="dxa"/>
            <w:vAlign w:val="bottom"/>
            <w:gridSpan w:val="19"/>
            <w:shd w:val="clear" w:color="auto" w:fill="CCEEFF"/>
          </w:tcPr>
          <w:p>
            <w:pPr>
              <w:spacing w:after="0"/>
              <w:rPr>
                <w:sz w:val="20"/>
                <w:szCs w:val="20"/>
                <w:color w:val="auto"/>
              </w:rPr>
            </w:pPr>
            <w:r>
              <w:rPr>
                <w:rFonts w:ascii="Arial" w:cs="Arial" w:eastAsia="Arial" w:hAnsi="Arial"/>
                <w:sz w:val="16"/>
                <w:szCs w:val="16"/>
                <w:b w:val="1"/>
                <w:bCs w:val="1"/>
                <w:color w:val="auto"/>
              </w:rPr>
              <w:t>Net earnings (loss) and weighted average shares used in calculated earnings (loss) per share amounts are as follows:</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Continuing operations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239,241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280,130</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303,292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274,766</w:t>
            </w:r>
          </w:p>
        </w:tc>
        <w:tc>
          <w:tcPr>
            <w:tcW w:w="1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1,097,429</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602,102</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246,587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312,896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238,383</w:t>
            </w:r>
          </w:p>
        </w:tc>
        <w:tc>
          <w:tcPr>
            <w:tcW w:w="20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1,399,968</w:t>
            </w: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(8,420)</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(1,066)</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7,309</w:t>
            </w:r>
          </w:p>
        </w:tc>
        <w:tc>
          <w:tcPr>
            <w:tcW w:w="1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(3,473)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30,119</w:t>
            </w: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35,235</w:t>
            </w: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34,204</w:t>
            </w: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1,197,600</w:t>
            </w: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1,297,158</w:t>
            </w:r>
          </w:p>
        </w:tc>
        <w:tc>
          <w:tcPr>
            <w:tcW w:w="0" w:type="dxa"/>
            <w:vAlign w:val="bottom"/>
          </w:tcPr>
          <w:p>
            <w:pPr>
              <w:spacing w:after="0"/>
              <w:rPr>
                <w:sz w:val="1"/>
                <w:szCs w:val="1"/>
                <w:color w:val="auto"/>
              </w:rPr>
            </w:pPr>
          </w:p>
        </w:tc>
      </w:tr>
      <w:tr>
        <w:trPr>
          <w:trHeight w:val="209"/>
        </w:trPr>
        <w:tc>
          <w:tcPr>
            <w:tcW w:w="1900" w:type="dxa"/>
            <w:vAlign w:val="bottom"/>
            <w:gridSpan w:val="2"/>
          </w:tcPr>
          <w:p>
            <w:pPr>
              <w:spacing w:after="0"/>
              <w:rPr>
                <w:sz w:val="20"/>
                <w:szCs w:val="20"/>
                <w:color w:val="auto"/>
              </w:rPr>
            </w:pPr>
            <w:r>
              <w:rPr>
                <w:rFonts w:ascii="Arial" w:cs="Arial" w:eastAsia="Arial" w:hAnsi="Arial"/>
                <w:sz w:val="16"/>
                <w:szCs w:val="16"/>
                <w:color w:val="auto"/>
              </w:rPr>
              <w:t>Net earnings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230,821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279,064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301,996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282,075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1,093,956</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632,221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281,822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347,100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1,435,983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2,697,126</w:t>
            </w:r>
          </w:p>
        </w:tc>
        <w:tc>
          <w:tcPr>
            <w:tcW w:w="0" w:type="dxa"/>
            <w:vAlign w:val="bottom"/>
          </w:tcPr>
          <w:p>
            <w:pPr>
              <w:spacing w:after="0"/>
              <w:rPr>
                <w:sz w:val="1"/>
                <w:szCs w:val="1"/>
                <w:color w:val="auto"/>
              </w:rPr>
            </w:pPr>
          </w:p>
        </w:tc>
      </w:tr>
      <w:tr>
        <w:trPr>
          <w:trHeight w:val="20"/>
        </w:trPr>
        <w:tc>
          <w:tcPr>
            <w:tcW w:w="15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5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gridSpan w:val="6"/>
          </w:tcPr>
          <w:p>
            <w:pPr>
              <w:spacing w:after="0"/>
              <w:rPr>
                <w:sz w:val="20"/>
                <w:szCs w:val="20"/>
                <w:color w:val="auto"/>
              </w:rPr>
            </w:pPr>
            <w:r>
              <w:rPr>
                <w:rFonts w:ascii="Arial" w:cs="Arial" w:eastAsia="Arial" w:hAnsi="Arial"/>
                <w:sz w:val="16"/>
                <w:szCs w:val="16"/>
                <w:b w:val="1"/>
                <w:bCs w:val="1"/>
                <w:color w:val="auto"/>
              </w:rPr>
              <w:t>Weighted average shares outstanding:</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137,267</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137,226</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137,236</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135,993</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136,935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139,051</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137,443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137,251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137,205</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137,735</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138,260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137,974</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138,029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136,826</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137,777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139,869</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138,404</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138,223</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138,298</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138,696</w:t>
            </w: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62"/>
        </w:trPr>
        <w:tc>
          <w:tcPr>
            <w:tcW w:w="1900" w:type="dxa"/>
            <w:vAlign w:val="bottom"/>
            <w:gridSpan w:val="2"/>
          </w:tcPr>
          <w:p>
            <w:pPr>
              <w:spacing w:after="0" w:line="162" w:lineRule="exact"/>
              <w:rPr>
                <w:sz w:val="20"/>
                <w:szCs w:val="20"/>
                <w:color w:val="auto"/>
              </w:rPr>
            </w:pPr>
            <w:r>
              <w:rPr>
                <w:rFonts w:ascii="Arial" w:cs="Arial" w:eastAsia="Arial" w:hAnsi="Arial"/>
                <w:sz w:val="16"/>
                <w:szCs w:val="16"/>
                <w:color w:val="auto"/>
              </w:rPr>
              <w:t>Dividends paid per</w:t>
            </w: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0.515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0.515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0.52</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0.52</w:t>
            </w:r>
          </w:p>
        </w:tc>
        <w:tc>
          <w:tcPr>
            <w:tcW w:w="1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2.07</w:t>
            </w:r>
          </w:p>
        </w:tc>
        <w:tc>
          <w:tcPr>
            <w:tcW w:w="80" w:type="dxa"/>
            <w:vAlign w:val="bottom"/>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0.51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0.51</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0.515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0.515</w:t>
            </w:r>
          </w:p>
        </w:tc>
        <w:tc>
          <w:tcPr>
            <w:tcW w:w="2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2.05</w:t>
            </w:r>
          </w:p>
        </w:tc>
        <w:tc>
          <w:tcPr>
            <w:tcW w:w="0" w:type="dxa"/>
            <w:vAlign w:val="bottom"/>
          </w:tcPr>
          <w:p>
            <w:pPr>
              <w:spacing w:after="0"/>
              <w:rPr>
                <w:sz w:val="1"/>
                <w:szCs w:val="1"/>
                <w:color w:val="auto"/>
              </w:rPr>
            </w:pPr>
          </w:p>
        </w:tc>
      </w:tr>
      <w:tr>
        <w:trPr>
          <w:trHeight w:val="216"/>
        </w:trPr>
        <w:tc>
          <w:tcPr>
            <w:tcW w:w="1900" w:type="dxa"/>
            <w:vAlign w:val="bottom"/>
            <w:gridSpan w:val="2"/>
          </w:tcPr>
          <w:p>
            <w:pPr>
              <w:spacing w:after="0"/>
              <w:rPr>
                <w:sz w:val="20"/>
                <w:szCs w:val="20"/>
                <w:color w:val="auto"/>
              </w:rPr>
            </w:pPr>
            <w:r>
              <w:rPr>
                <w:rFonts w:ascii="Arial" w:cs="Arial" w:eastAsia="Arial" w:hAnsi="Arial"/>
                <w:sz w:val="16"/>
                <w:szCs w:val="16"/>
                <w:color w:val="auto"/>
              </w:rPr>
              <w:t>common share</w:t>
            </w:r>
          </w:p>
        </w:tc>
        <w:tc>
          <w:tcPr>
            <w:tcW w:w="14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80" w:type="dxa"/>
            <w:vAlign w:val="bottom"/>
            <w:vMerge w:val="continue"/>
          </w:tcPr>
          <w:p>
            <w:pPr>
              <w:spacing w:after="0"/>
              <w:rPr>
                <w:sz w:val="18"/>
                <w:szCs w:val="18"/>
                <w:color w:val="auto"/>
              </w:rPr>
            </w:pPr>
          </w:p>
        </w:tc>
        <w:tc>
          <w:tcPr>
            <w:tcW w:w="200" w:type="dxa"/>
            <w:vAlign w:val="bottom"/>
            <w:vMerge w:val="continue"/>
          </w:tcPr>
          <w:p>
            <w:pPr>
              <w:spacing w:after="0"/>
              <w:rPr>
                <w:sz w:val="18"/>
                <w:szCs w:val="18"/>
                <w:color w:val="auto"/>
              </w:rPr>
            </w:pPr>
          </w:p>
        </w:tc>
        <w:tc>
          <w:tcPr>
            <w:tcW w:w="8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5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6"/>
          <w:szCs w:val="16"/>
          <w:color w:val="auto"/>
        </w:rPr>
        <w:t>* Per share data may be impacted by rounding.</w:t>
      </w:r>
    </w:p>
    <w:p>
      <w:pPr>
        <w:spacing w:after="0" w:line="200" w:lineRule="exact"/>
        <w:rPr>
          <w:sz w:val="20"/>
          <w:szCs w:val="20"/>
          <w:color w:val="auto"/>
        </w:rPr>
      </w:pP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 - 2</w:t>
      </w:r>
    </w:p>
    <w:p>
      <w:pPr>
        <w:sectPr>
          <w:pgSz w:w="11900" w:h="16838" w:orient="portrait"/>
          <w:cols w:equalWidth="0" w:num="1">
            <w:col w:w="11100"/>
          </w:cols>
          <w:pgMar w:left="400" w:top="364" w:right="3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SEGMENT INFORMATION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2025</w:t>
            </w: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Q2</w:t>
            </w:r>
          </w:p>
        </w:tc>
        <w:tc>
          <w:tcPr>
            <w:tcW w:w="1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Q3</w:t>
            </w:r>
          </w:p>
        </w:tc>
        <w:tc>
          <w:tcPr>
            <w:tcW w:w="140" w:type="dxa"/>
            <w:vAlign w:val="bottom"/>
          </w:tcPr>
          <w:p>
            <w:pPr>
              <w:spacing w:after="0"/>
              <w:rPr>
                <w:sz w:val="17"/>
                <w:szCs w:val="17"/>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Q4</w:t>
            </w:r>
          </w:p>
        </w:tc>
        <w:tc>
          <w:tcPr>
            <w:tcW w:w="160" w:type="dxa"/>
            <w:vAlign w:val="bottom"/>
          </w:tcPr>
          <w:p>
            <w:pPr>
              <w:spacing w:after="0"/>
              <w:rPr>
                <w:sz w:val="17"/>
                <w:szCs w:val="17"/>
                <w:color w:val="auto"/>
              </w:rPr>
            </w:pPr>
          </w:p>
        </w:tc>
        <w:tc>
          <w:tcPr>
            <w:tcW w:w="940" w:type="dxa"/>
            <w:vAlign w:val="bottom"/>
            <w:gridSpan w:val="2"/>
          </w:tcPr>
          <w:p>
            <w:pPr>
              <w:ind w:left="80"/>
              <w:spacing w:after="0"/>
              <w:rPr>
                <w:sz w:val="20"/>
                <w:szCs w:val="20"/>
                <w:color w:val="auto"/>
              </w:rPr>
            </w:pPr>
            <w:r>
              <w:rPr>
                <w:rFonts w:ascii="Arial" w:cs="Arial" w:eastAsia="Arial" w:hAnsi="Arial"/>
                <w:sz w:val="14"/>
                <w:szCs w:val="14"/>
                <w:b w:val="1"/>
                <w:bCs w:val="1"/>
                <w:color w:val="auto"/>
              </w:rPr>
              <w:t>FY 2025</w:t>
            </w:r>
          </w:p>
        </w:tc>
        <w:tc>
          <w:tcPr>
            <w:tcW w:w="1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4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Q2</w:t>
            </w:r>
          </w:p>
        </w:tc>
        <w:tc>
          <w:tcPr>
            <w:tcW w:w="140" w:type="dxa"/>
            <w:vAlign w:val="bottom"/>
          </w:tcPr>
          <w:p>
            <w:pPr>
              <w:spacing w:after="0"/>
              <w:rPr>
                <w:sz w:val="17"/>
                <w:szCs w:val="17"/>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rPr>
              <w:t>Q3</w:t>
            </w:r>
          </w:p>
        </w:tc>
        <w:tc>
          <w:tcPr>
            <w:tcW w:w="120" w:type="dxa"/>
            <w:vAlign w:val="bottom"/>
          </w:tcPr>
          <w:p>
            <w:pPr>
              <w:spacing w:after="0"/>
              <w:rPr>
                <w:sz w:val="17"/>
                <w:szCs w:val="17"/>
                <w:color w:val="auto"/>
              </w:rPr>
            </w:pPr>
          </w:p>
        </w:tc>
        <w:tc>
          <w:tcPr>
            <w:tcW w:w="740" w:type="dxa"/>
            <w:vAlign w:val="bottom"/>
          </w:tcPr>
          <w:p>
            <w:pPr>
              <w:jc w:val="right"/>
              <w:ind w:right="268"/>
              <w:spacing w:after="0"/>
              <w:rPr>
                <w:sz w:val="20"/>
                <w:szCs w:val="20"/>
                <w:color w:val="auto"/>
              </w:rPr>
            </w:pPr>
            <w:r>
              <w:rPr>
                <w:rFonts w:ascii="Arial" w:cs="Arial" w:eastAsia="Arial" w:hAnsi="Arial"/>
                <w:sz w:val="14"/>
                <w:szCs w:val="14"/>
                <w:b w:val="1"/>
                <w:bCs w:val="1"/>
                <w:color w:val="auto"/>
              </w:rPr>
              <w:t>Q4</w:t>
            </w:r>
          </w:p>
        </w:tc>
        <w:tc>
          <w:tcPr>
            <w:tcW w:w="120" w:type="dxa"/>
            <w:vAlign w:val="bottom"/>
          </w:tcPr>
          <w:p>
            <w:pPr>
              <w:spacing w:after="0"/>
              <w:rPr>
                <w:sz w:val="17"/>
                <w:szCs w:val="17"/>
                <w:color w:val="auto"/>
              </w:rPr>
            </w:pPr>
          </w:p>
        </w:tc>
        <w:tc>
          <w:tcPr>
            <w:tcW w:w="740" w:type="dxa"/>
            <w:vAlign w:val="bottom"/>
          </w:tcPr>
          <w:p>
            <w:pPr>
              <w:jc w:val="right"/>
              <w:ind w:right="88"/>
              <w:spacing w:after="0"/>
              <w:rPr>
                <w:sz w:val="20"/>
                <w:szCs w:val="20"/>
                <w:color w:val="auto"/>
              </w:rPr>
            </w:pPr>
            <w:r>
              <w:rPr>
                <w:rFonts w:ascii="Arial" w:cs="Arial" w:eastAsia="Arial" w:hAnsi="Arial"/>
                <w:sz w:val="14"/>
                <w:szCs w:val="14"/>
                <w:b w:val="1"/>
                <w:bCs w:val="1"/>
                <w:color w:val="auto"/>
              </w:rPr>
              <w:t>FY 2024</w:t>
            </w:r>
          </w:p>
        </w:tc>
        <w:tc>
          <w:tcPr>
            <w:tcW w:w="0" w:type="dxa"/>
            <w:vAlign w:val="bottom"/>
          </w:tcPr>
          <w:p>
            <w:pPr>
              <w:spacing w:after="0"/>
              <w:rPr>
                <w:sz w:val="1"/>
                <w:szCs w:val="1"/>
                <w:color w:val="auto"/>
              </w:rPr>
            </w:pPr>
          </w:p>
        </w:tc>
      </w:tr>
      <w:tr>
        <w:trPr>
          <w:trHeight w:val="143"/>
        </w:trPr>
        <w:tc>
          <w:tcPr>
            <w:tcW w:w="20" w:type="dxa"/>
            <w:vAlign w:val="bottom"/>
            <w:tcBorders>
              <w:top w:val="single" w:sz="8" w:color="CCEEFF"/>
            </w:tcBorders>
            <w:shd w:val="clear" w:color="auto" w:fill="CCEEFF"/>
          </w:tcPr>
          <w:p>
            <w:pPr>
              <w:spacing w:after="0"/>
              <w:rPr>
                <w:sz w:val="12"/>
                <w:szCs w:val="12"/>
                <w:color w:val="auto"/>
              </w:rPr>
            </w:pPr>
          </w:p>
        </w:tc>
        <w:tc>
          <w:tcPr>
            <w:tcW w:w="2280" w:type="dxa"/>
            <w:vAlign w:val="bottom"/>
            <w:tcBorders>
              <w:top w:val="single" w:sz="8" w:color="CCEEFF"/>
            </w:tcBorders>
            <w:gridSpan w:val="3"/>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REVENUE</w:t>
            </w: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Engineered Products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254,646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275,944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279,705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275,549</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1,085,844</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332,820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285,297</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296,117</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288,223</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1,202,457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Clean Energy &amp; Fueling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491,148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546,097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541,368</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551,894</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2,130,507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445,053</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463,014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500,685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528,032</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1,936,784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Imaging &amp; Identification</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280,090</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292,009</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299,100</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302,244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1,173,443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276,806</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287,593</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283,966</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288,800</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1,137,165</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Pumps &amp; Process Solutions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493,573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520,554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550,920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583,623</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2,148,670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465,729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477,239</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472,463</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479,135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1,894,566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80" w:type="dxa"/>
            <w:vAlign w:val="bottom"/>
            <w:gridSpan w:val="3"/>
          </w:tcPr>
          <w:p>
            <w:pPr>
              <w:spacing w:after="0" w:line="153" w:lineRule="exact"/>
              <w:rPr>
                <w:sz w:val="20"/>
                <w:szCs w:val="20"/>
                <w:color w:val="auto"/>
              </w:rPr>
            </w:pPr>
            <w:r>
              <w:rPr>
                <w:rFonts w:ascii="Arial" w:cs="Arial" w:eastAsia="Arial" w:hAnsi="Arial"/>
                <w:sz w:val="14"/>
                <w:szCs w:val="14"/>
                <w:color w:val="auto"/>
              </w:rPr>
              <w:t>Climate &amp; Sustainability</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347,888</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416,151</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408,529</w:t>
            </w:r>
          </w:p>
        </w:tc>
        <w:tc>
          <w:tcPr>
            <w:tcW w:w="14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387,273</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1,559,841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364,292</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436,706</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431,127</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347,524</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1,579,649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Technologies</w:t>
            </w: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Intersegment eliminations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(1,286)</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(1,163)</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(1,781)</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(1,504)</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(5,734)</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(981)</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(1,067)</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(816)</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(1,848)</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(4,712)</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Total consolidated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1,866,059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2,049,592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2,077,841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2,099,079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8,092,571</w:t>
            </w: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1,883,719</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1,948,782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1,983,542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1,929,866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7,745,909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rPr>
              <w:t>EARNINGS FROM CONTINUING OPERATIONS</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Earnings: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Engineered Products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44,114</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53,511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57,483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62,158</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217,266</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62,532</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52,095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56,621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59,989</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231,237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Clean Energy &amp; Fueling</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85,644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107,771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118,665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105,990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418,070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69,675</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87,536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99,536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103,246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359,993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Imaging &amp; Identification</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77,575</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76,937</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81,772</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78,451</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314,735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69,959</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75,786</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77,247</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78,715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301,707</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Pumps &amp; Process Solutions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151,275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159,504</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168,565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172,256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651,600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118,737</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137,217</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138,277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142,375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536,606</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80" w:type="dxa"/>
            <w:vAlign w:val="bottom"/>
            <w:gridSpan w:val="3"/>
          </w:tcPr>
          <w:p>
            <w:pPr>
              <w:spacing w:after="0" w:line="153" w:lineRule="exact"/>
              <w:rPr>
                <w:sz w:val="20"/>
                <w:szCs w:val="20"/>
                <w:color w:val="auto"/>
              </w:rPr>
            </w:pPr>
            <w:r>
              <w:rPr>
                <w:rFonts w:ascii="Arial" w:cs="Arial" w:eastAsia="Arial" w:hAnsi="Arial"/>
                <w:sz w:val="14"/>
                <w:szCs w:val="14"/>
                <w:color w:val="auto"/>
              </w:rPr>
              <w:t>Climate &amp; Sustainability</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52,119</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77,262</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76,002</w:t>
            </w:r>
          </w:p>
        </w:tc>
        <w:tc>
          <w:tcPr>
            <w:tcW w:w="140" w:type="dxa"/>
            <w:vAlign w:val="bottom"/>
          </w:tcPr>
          <w:p>
            <w:pPr>
              <w:spacing w:after="0"/>
              <w:rPr>
                <w:sz w:val="13"/>
                <w:szCs w:val="13"/>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60,264</w:t>
            </w:r>
          </w:p>
        </w:tc>
        <w:tc>
          <w:tcPr>
            <w:tcW w:w="16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265,647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50,759</w:t>
            </w:r>
          </w:p>
        </w:tc>
        <w:tc>
          <w:tcPr>
            <w:tcW w:w="140" w:type="dxa"/>
            <w:vAlign w:val="bottom"/>
          </w:tcPr>
          <w:p>
            <w:pPr>
              <w:spacing w:after="0"/>
              <w:rPr>
                <w:sz w:val="13"/>
                <w:szCs w:val="1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79,127</w:t>
            </w:r>
          </w:p>
        </w:tc>
        <w:tc>
          <w:tcPr>
            <w:tcW w:w="14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76,015</w:t>
            </w:r>
          </w:p>
        </w:tc>
        <w:tc>
          <w:tcPr>
            <w:tcW w:w="120" w:type="dxa"/>
            <w:vAlign w:val="bottom"/>
          </w:tcPr>
          <w:p>
            <w:pPr>
              <w:spacing w:after="0"/>
              <w:rPr>
                <w:sz w:val="13"/>
                <w:szCs w:val="13"/>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44,974</w:t>
            </w:r>
          </w:p>
        </w:tc>
        <w:tc>
          <w:tcPr>
            <w:tcW w:w="12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250,875</w:t>
            </w: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2280" w:type="dxa"/>
            <w:vAlign w:val="bottom"/>
            <w:tcBorders>
              <w:bottom w:val="single" w:sz="8" w:color="CCEEFF"/>
            </w:tcBorders>
            <w:gridSpan w:val="3"/>
          </w:tcPr>
          <w:p>
            <w:pPr>
              <w:spacing w:after="0"/>
              <w:rPr>
                <w:sz w:val="20"/>
                <w:szCs w:val="20"/>
                <w:color w:val="auto"/>
              </w:rPr>
            </w:pPr>
            <w:r>
              <w:rPr>
                <w:rFonts w:ascii="Arial" w:cs="Arial" w:eastAsia="Arial" w:hAnsi="Arial"/>
                <w:sz w:val="14"/>
                <w:szCs w:val="14"/>
                <w:color w:val="auto"/>
              </w:rPr>
              <w:t>Technologies</w:t>
            </w: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Total segment earnings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410,727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474,985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502,487</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479,119</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1,867,318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371,662</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431,761</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447,696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429,299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1,680,418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Purchase accounting expenses </w:t>
            </w:r>
            <w:r>
              <w:rPr>
                <w:rFonts w:ascii="Arial" w:cs="Arial" w:eastAsia="Arial" w:hAnsi="Arial"/>
                <w:sz w:val="18"/>
                <w:szCs w:val="18"/>
                <w:color w:val="auto"/>
                <w:vertAlign w:val="superscript"/>
              </w:rPr>
              <w:t>1</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49,104</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51,123</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59,381</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58,837</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218,445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44,187</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44,332</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48,356</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49,366</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186,241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 xml:space="preserve">Restructuring and other costs </w:t>
            </w:r>
            <w:r>
              <w:rPr>
                <w:rFonts w:ascii="Arial" w:cs="Arial" w:eastAsia="Arial" w:hAnsi="Arial"/>
                <w:sz w:val="18"/>
                <w:szCs w:val="18"/>
                <w:color w:val="auto"/>
                <w:vertAlign w:val="superscript"/>
              </w:rPr>
              <w:t>2</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9,397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23,210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15,913</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29,466</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77,986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23,971</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11,590</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16,581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32,841</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84,983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280" w:type="dxa"/>
            <w:vAlign w:val="bottom"/>
            <w:gridSpan w:val="3"/>
          </w:tcPr>
          <w:p>
            <w:pPr>
              <w:spacing w:after="0" w:line="202" w:lineRule="exact"/>
              <w:rPr>
                <w:sz w:val="20"/>
                <w:szCs w:val="20"/>
                <w:color w:val="auto"/>
              </w:rPr>
            </w:pPr>
            <w:r>
              <w:rPr>
                <w:rFonts w:ascii="Arial" w:cs="Arial" w:eastAsia="Arial" w:hAnsi="Arial"/>
                <w:sz w:val="14"/>
                <w:szCs w:val="14"/>
                <w:color w:val="auto"/>
              </w:rPr>
              <w:t xml:space="preserve">(Gain) loss on dispositions </w:t>
            </w:r>
            <w:r>
              <w:rPr>
                <w:rFonts w:ascii="Arial" w:cs="Arial" w:eastAsia="Arial" w:hAnsi="Arial"/>
                <w:sz w:val="18"/>
                <w:szCs w:val="18"/>
                <w:color w:val="auto"/>
                <w:vertAlign w:val="superscript"/>
              </w:rPr>
              <w:t>3</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(2,468)</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(2,176)</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(4,644)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(529,943)</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663</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(68,633)</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115</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(597,798)</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line="202" w:lineRule="exact"/>
              <w:rPr>
                <w:sz w:val="20"/>
                <w:szCs w:val="20"/>
                <w:color w:val="auto"/>
              </w:rPr>
            </w:pPr>
            <w:r>
              <w:rPr>
                <w:rFonts w:ascii="Arial" w:cs="Arial" w:eastAsia="Arial" w:hAnsi="Arial"/>
                <w:sz w:val="14"/>
                <w:szCs w:val="14"/>
                <w:color w:val="auto"/>
              </w:rPr>
              <w:t xml:space="preserve">Corporate expense / other </w:t>
            </w:r>
            <w:r>
              <w:rPr>
                <w:rFonts w:ascii="Arial" w:cs="Arial" w:eastAsia="Arial" w:hAnsi="Arial"/>
                <w:sz w:val="18"/>
                <w:szCs w:val="18"/>
                <w:color w:val="auto"/>
                <w:vertAlign w:val="superscript"/>
              </w:rPr>
              <w:t>4</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51,959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41,875</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31,515</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39,190</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164,539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42,159</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39,526</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36,110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38,168</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155,963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Interest expense</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27,608</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26,791</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27,239</w:t>
            </w:r>
          </w:p>
        </w:tc>
        <w:tc>
          <w:tcPr>
            <w:tcW w:w="140" w:type="dxa"/>
            <w:vAlign w:val="bottom"/>
          </w:tcPr>
          <w:p>
            <w:pPr>
              <w:spacing w:after="0"/>
              <w:rPr>
                <w:sz w:val="17"/>
                <w:szCs w:val="17"/>
                <w:color w:val="auto"/>
              </w:rPr>
            </w:pPr>
          </w:p>
        </w:tc>
        <w:tc>
          <w:tcPr>
            <w:tcW w:w="780" w:type="dxa"/>
            <w:vAlign w:val="bottom"/>
          </w:tcPr>
          <w:p>
            <w:pPr>
              <w:jc w:val="right"/>
              <w:ind w:right="8"/>
              <w:spacing w:after="0"/>
              <w:rPr>
                <w:sz w:val="20"/>
                <w:szCs w:val="20"/>
                <w:color w:val="auto"/>
              </w:rPr>
            </w:pPr>
            <w:r>
              <w:rPr>
                <w:rFonts w:ascii="Arial" w:cs="Arial" w:eastAsia="Arial" w:hAnsi="Arial"/>
                <w:sz w:val="14"/>
                <w:szCs w:val="14"/>
                <w:color w:val="auto"/>
              </w:rPr>
              <w:t>28,134</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109,772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36,365</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32,374</w:t>
            </w:r>
          </w:p>
        </w:tc>
        <w:tc>
          <w:tcPr>
            <w:tcW w:w="14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34,128</w:t>
            </w:r>
          </w:p>
        </w:tc>
        <w:tc>
          <w:tcPr>
            <w:tcW w:w="120" w:type="dxa"/>
            <w:vAlign w:val="bottom"/>
          </w:tcPr>
          <w:p>
            <w:pPr>
              <w:spacing w:after="0"/>
              <w:rPr>
                <w:sz w:val="17"/>
                <w:szCs w:val="17"/>
                <w:color w:val="auto"/>
              </w:rPr>
            </w:pP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28,304</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131,171</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Interest income</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(20,254)</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(17,935)</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(17,804)</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(17,039)</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(73,032)</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(4,756)</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(4,081)</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(5,176)</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(23,145)</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(37,158)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gridSpan w:val="3"/>
          </w:tcPr>
          <w:p>
            <w:pPr>
              <w:spacing w:after="0" w:line="133" w:lineRule="exact"/>
              <w:rPr>
                <w:sz w:val="20"/>
                <w:szCs w:val="20"/>
                <w:color w:val="auto"/>
              </w:rPr>
            </w:pPr>
            <w:r>
              <w:rPr>
                <w:rFonts w:ascii="Arial" w:cs="Arial" w:eastAsia="Arial" w:hAnsi="Arial"/>
                <w:sz w:val="14"/>
                <w:szCs w:val="14"/>
                <w:color w:val="auto"/>
              </w:rPr>
              <w:t>Earnings before provision for</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295,381</w:t>
            </w:r>
          </w:p>
        </w:tc>
        <w:tc>
          <w:tcPr>
            <w:tcW w:w="12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352,097</w:t>
            </w:r>
          </w:p>
        </w:tc>
        <w:tc>
          <w:tcPr>
            <w:tcW w:w="12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386,243</w:t>
            </w:r>
          </w:p>
        </w:tc>
        <w:tc>
          <w:tcPr>
            <w:tcW w:w="140" w:type="dxa"/>
            <w:vAlign w:val="bottom"/>
          </w:tcPr>
          <w:p>
            <w:pPr>
              <w:spacing w:after="0"/>
              <w:rPr>
                <w:sz w:val="11"/>
                <w:szCs w:val="11"/>
                <w:color w:val="auto"/>
              </w:rPr>
            </w:pP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340,531</w:t>
            </w:r>
          </w:p>
        </w:tc>
        <w:tc>
          <w:tcPr>
            <w:tcW w:w="1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1,374,252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759,679</w:t>
            </w: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307,357</w:t>
            </w:r>
          </w:p>
        </w:tc>
        <w:tc>
          <w:tcPr>
            <w:tcW w:w="14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386,330</w:t>
            </w:r>
          </w:p>
        </w:tc>
        <w:tc>
          <w:tcPr>
            <w:tcW w:w="120" w:type="dxa"/>
            <w:vAlign w:val="bottom"/>
          </w:tcPr>
          <w:p>
            <w:pPr>
              <w:spacing w:after="0"/>
              <w:rPr>
                <w:sz w:val="11"/>
                <w:szCs w:val="11"/>
                <w:color w:val="auto"/>
              </w:rPr>
            </w:pP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303,650</w:t>
            </w:r>
          </w:p>
        </w:tc>
        <w:tc>
          <w:tcPr>
            <w:tcW w:w="12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1,757,016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income taxes</w:t>
            </w: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Provision for income taxes</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56,140</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71,967</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82,951</w:t>
            </w:r>
          </w:p>
        </w:tc>
        <w:tc>
          <w:tcPr>
            <w:tcW w:w="1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65,765</w:t>
            </w: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276,823</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157,577</w:t>
            </w: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60,770</w:t>
            </w:r>
          </w:p>
        </w:tc>
        <w:tc>
          <w:tcPr>
            <w:tcW w:w="1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73,434</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65,267</w:t>
            </w: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357,048</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80" w:type="dxa"/>
            <w:vAlign w:val="bottom"/>
            <w:gridSpan w:val="3"/>
          </w:tcPr>
          <w:p>
            <w:pPr>
              <w:spacing w:after="0" w:line="133" w:lineRule="exact"/>
              <w:rPr>
                <w:sz w:val="20"/>
                <w:szCs w:val="20"/>
                <w:color w:val="auto"/>
              </w:rPr>
            </w:pPr>
            <w:r>
              <w:rPr>
                <w:rFonts w:ascii="Arial" w:cs="Arial" w:eastAsia="Arial" w:hAnsi="Arial"/>
                <w:sz w:val="14"/>
                <w:szCs w:val="14"/>
                <w:color w:val="auto"/>
              </w:rPr>
              <w:t>Earnings from continuing</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239,241</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280,130</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303,292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8"/>
              <w:spacing w:after="0"/>
              <w:rPr>
                <w:sz w:val="20"/>
                <w:szCs w:val="20"/>
                <w:color w:val="auto"/>
              </w:rPr>
            </w:pPr>
            <w:r>
              <w:rPr>
                <w:rFonts w:ascii="Arial" w:cs="Arial" w:eastAsia="Arial" w:hAnsi="Arial"/>
                <w:sz w:val="14"/>
                <w:szCs w:val="14"/>
                <w:color w:val="auto"/>
              </w:rPr>
              <w:t>274,766</w:t>
            </w: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1,097,429</w:t>
            </w:r>
          </w:p>
        </w:tc>
        <w:tc>
          <w:tcPr>
            <w:tcW w:w="8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602,102</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246,587</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312,896</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vMerge w:val="restart"/>
          </w:tcPr>
          <w:p>
            <w:pPr>
              <w:jc w:val="right"/>
              <w:ind w:right="8"/>
              <w:spacing w:after="0"/>
              <w:rPr>
                <w:sz w:val="20"/>
                <w:szCs w:val="20"/>
                <w:color w:val="auto"/>
              </w:rPr>
            </w:pPr>
            <w:r>
              <w:rPr>
                <w:rFonts w:ascii="Arial" w:cs="Arial" w:eastAsia="Arial" w:hAnsi="Arial"/>
                <w:sz w:val="14"/>
                <w:szCs w:val="14"/>
                <w:color w:val="auto"/>
              </w:rPr>
              <w:t>238,383</w:t>
            </w: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1,399,968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2280" w:type="dxa"/>
            <w:vAlign w:val="bottom"/>
            <w:gridSpan w:val="3"/>
          </w:tcPr>
          <w:p>
            <w:pPr>
              <w:spacing w:after="0" w:line="158" w:lineRule="exact"/>
              <w:rPr>
                <w:sz w:val="20"/>
                <w:szCs w:val="20"/>
                <w:color w:val="auto"/>
              </w:rPr>
            </w:pPr>
            <w:r>
              <w:rPr>
                <w:rFonts w:ascii="Arial" w:cs="Arial" w:eastAsia="Arial" w:hAnsi="Arial"/>
                <w:sz w:val="14"/>
                <w:szCs w:val="14"/>
                <w:color w:val="auto"/>
              </w:rPr>
              <w:t>operations</w:t>
            </w:r>
          </w:p>
        </w:tc>
        <w:tc>
          <w:tcPr>
            <w:tcW w:w="1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vMerge w:val="continue"/>
          </w:tcPr>
          <w:p>
            <w:pPr>
              <w:spacing w:after="0"/>
              <w:rPr>
                <w:sz w:val="13"/>
                <w:szCs w:val="13"/>
                <w:color w:val="auto"/>
              </w:rPr>
            </w:pPr>
          </w:p>
        </w:tc>
        <w:tc>
          <w:tcPr>
            <w:tcW w:w="86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auto"/>
            </w:tcBorders>
            <w:vMerge w:val="continue"/>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80" w:type="dxa"/>
            <w:vAlign w:val="bottom"/>
            <w:gridSpan w:val="3"/>
          </w:tcPr>
          <w:p>
            <w:pPr>
              <w:spacing w:after="0"/>
              <w:rPr>
                <w:sz w:val="20"/>
                <w:szCs w:val="20"/>
                <w:color w:val="auto"/>
              </w:rPr>
            </w:pPr>
            <w:r>
              <w:rPr>
                <w:rFonts w:ascii="Arial" w:cs="Arial" w:eastAsia="Arial" w:hAnsi="Arial"/>
                <w:sz w:val="14"/>
                <w:szCs w:val="14"/>
                <w:b w:val="1"/>
                <w:bCs w:val="1"/>
                <w:color w:val="auto"/>
              </w:rPr>
              <w:t>SEGMENT EARNINGS MARGIN</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Engineered Products</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20.6 %</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20.0 %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18.8 %</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20.8 %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19.2 %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Clean Energy &amp; Fueling</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17.4 %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21.9 %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19.2 %</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19.6 %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15.7 %</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18.9 %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19.9 %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19.6 %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18.6 %</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Imaging &amp; Identification</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27.3 %</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26.0 %</w:t>
            </w: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26.8 %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25.3 %</w:t>
            </w: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26.4 %</w:t>
            </w: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26.5 %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Pumps &amp; Process Solutions</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30.6 %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29.5 %</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30.3 %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25.5 %</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28.8 %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29.3 %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28.3 %</w:t>
            </w:r>
          </w:p>
        </w:tc>
        <w:tc>
          <w:tcPr>
            <w:tcW w:w="0" w:type="dxa"/>
            <w:vAlign w:val="bottom"/>
          </w:tcPr>
          <w:p>
            <w:pPr>
              <w:spacing w:after="0"/>
              <w:rPr>
                <w:sz w:val="1"/>
                <w:szCs w:val="1"/>
                <w:color w:val="auto"/>
              </w:rPr>
            </w:pPr>
          </w:p>
        </w:tc>
      </w:tr>
      <w:tr>
        <w:trPr>
          <w:trHeight w:val="154"/>
        </w:trPr>
        <w:tc>
          <w:tcPr>
            <w:tcW w:w="20" w:type="dxa"/>
            <w:vAlign w:val="bottom"/>
            <w:shd w:val="clear" w:color="auto" w:fill="CCEEFF"/>
          </w:tcPr>
          <w:p>
            <w:pPr>
              <w:spacing w:after="0"/>
              <w:rPr>
                <w:sz w:val="13"/>
                <w:szCs w:val="13"/>
                <w:color w:val="auto"/>
              </w:rPr>
            </w:pPr>
          </w:p>
        </w:tc>
        <w:tc>
          <w:tcPr>
            <w:tcW w:w="2280" w:type="dxa"/>
            <w:vAlign w:val="bottom"/>
            <w:gridSpan w:val="3"/>
            <w:shd w:val="clear" w:color="auto" w:fill="CCEEFF"/>
          </w:tcPr>
          <w:p>
            <w:pPr>
              <w:spacing w:after="0" w:line="154" w:lineRule="exact"/>
              <w:rPr>
                <w:sz w:val="20"/>
                <w:szCs w:val="20"/>
                <w:color w:val="auto"/>
              </w:rPr>
            </w:pPr>
            <w:r>
              <w:rPr>
                <w:rFonts w:ascii="Arial" w:cs="Arial" w:eastAsia="Arial" w:hAnsi="Arial"/>
                <w:sz w:val="14"/>
                <w:szCs w:val="14"/>
                <w:color w:val="auto"/>
              </w:rPr>
              <w:t>Climate &amp; Sustainability</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15.0 %</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18.6 %</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15.6 %</w:t>
            </w:r>
          </w:p>
        </w:tc>
        <w:tc>
          <w:tcPr>
            <w:tcW w:w="16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17.0 %</w:t>
            </w: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13.9 %</w:t>
            </w:r>
          </w:p>
        </w:tc>
        <w:tc>
          <w:tcPr>
            <w:tcW w:w="140" w:type="dxa"/>
            <w:vAlign w:val="bottom"/>
            <w:shd w:val="clear" w:color="auto" w:fill="CCEEFF"/>
          </w:tcPr>
          <w:p>
            <w:pPr>
              <w:spacing w:after="0"/>
              <w:rPr>
                <w:sz w:val="13"/>
                <w:szCs w:val="13"/>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18.1 %</w:t>
            </w:r>
          </w:p>
        </w:tc>
        <w:tc>
          <w:tcPr>
            <w:tcW w:w="14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17.6 %</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12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15.9 %</w:t>
            </w: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22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Technologies</w:t>
            </w: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gridSpan w:val="3"/>
          </w:tcPr>
          <w:p>
            <w:pPr>
              <w:spacing w:after="0"/>
              <w:rPr>
                <w:sz w:val="20"/>
                <w:szCs w:val="20"/>
                <w:color w:val="auto"/>
              </w:rPr>
            </w:pPr>
            <w:r>
              <w:rPr>
                <w:rFonts w:ascii="Arial" w:cs="Arial" w:eastAsia="Arial" w:hAnsi="Arial"/>
                <w:sz w:val="14"/>
                <w:szCs w:val="14"/>
                <w:color w:val="auto"/>
              </w:rPr>
              <w:t>Total segment earnings margin</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22.0 %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23.2 %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24.2 %</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22.8 %</w:t>
            </w:r>
          </w:p>
        </w:tc>
        <w:tc>
          <w:tcPr>
            <w:tcW w:w="1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23.1 %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19.7 %</w:t>
            </w: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22.2 %</w:t>
            </w:r>
          </w:p>
        </w:tc>
        <w:tc>
          <w:tcPr>
            <w:tcW w:w="14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22.6 %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22.2 %</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21.7 %</w:t>
            </w: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120" w:hanging="94"/>
        <w:spacing w:after="0"/>
        <w:tabs>
          <w:tab w:leader="none" w:pos="1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Purchase accounting expenses are primarily comprised of amortization of intangible assets.</w:t>
      </w:r>
    </w:p>
    <w:p>
      <w:pPr>
        <w:spacing w:after="0" w:line="25" w:lineRule="exact"/>
        <w:rPr>
          <w:sz w:val="20"/>
          <w:szCs w:val="20"/>
          <w:color w:val="auto"/>
        </w:rPr>
      </w:pPr>
    </w:p>
    <w:p>
      <w:pPr>
        <w:ind w:left="120" w:hanging="94"/>
        <w:spacing w:after="0"/>
        <w:tabs>
          <w:tab w:leader="none" w:pos="1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Restructuring and other costs relate to actions taken for headcount reductions, facility consolidations and site closures, product line exits, and other asset charges.</w:t>
      </w:r>
    </w:p>
    <w:p>
      <w:pPr>
        <w:spacing w:after="0" w:line="25" w:lineRule="exact"/>
        <w:rPr>
          <w:sz w:val="20"/>
          <w:szCs w:val="20"/>
          <w:color w:val="auto"/>
        </w:rPr>
      </w:pPr>
    </w:p>
    <w:p>
      <w:pPr>
        <w:ind w:left="120" w:hanging="94"/>
        <w:spacing w:after="0"/>
        <w:tabs>
          <w:tab w:leader="none" w:pos="12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(Gain) loss on dispositions, including post-closing adjustments.</w:t>
      </w:r>
    </w:p>
    <w:p>
      <w:pPr>
        <w:spacing w:after="0" w:line="18" w:lineRule="exact"/>
        <w:rPr>
          <w:sz w:val="20"/>
          <w:szCs w:val="20"/>
          <w:color w:val="auto"/>
        </w:rPr>
      </w:pPr>
    </w:p>
    <w:p>
      <w:pPr>
        <w:jc w:val="both"/>
        <w:ind w:left="20" w:right="20" w:firstLine="6"/>
        <w:spacing w:after="0" w:line="213" w:lineRule="auto"/>
        <w:tabs>
          <w:tab w:leader="none" w:pos="98"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- 3</w:t>
      </w:r>
    </w:p>
    <w:p>
      <w:pPr>
        <w:sectPr>
          <w:pgSz w:w="11900" w:h="16838" w:orient="portrait"/>
          <w:cols w:equalWidth="0" w:num="1">
            <w:col w:w="11240"/>
          </w:cols>
          <w:pgMar w:left="320" w:top="364"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assets:</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Cash and cash equivalents</w:t>
      </w:r>
    </w:p>
    <w:p>
      <w:pPr>
        <w:spacing w:after="0" w:line="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Receivables, net</w:t>
      </w:r>
    </w:p>
    <w:p>
      <w:pPr>
        <w:spacing w:after="0" w:line="3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Inventories, net</w:t>
      </w:r>
    </w:p>
    <w:p>
      <w:pPr>
        <w:spacing w:after="0" w:line="32"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Prepaid and other current assets</w:t>
      </w:r>
    </w:p>
    <w:p>
      <w:pPr>
        <w:spacing w:after="0" w:line="46"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Total current assets</w:t>
      </w:r>
    </w:p>
    <w:p>
      <w:pPr>
        <w:spacing w:after="0" w:line="46"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b w:val="1"/>
          <w:bCs w:val="1"/>
          <w:color w:val="auto"/>
        </w:rPr>
        <w:t>Property, plant and equipment, net Goodwill</w:t>
      </w:r>
    </w:p>
    <w:p>
      <w:pPr>
        <w:spacing w:after="0"/>
        <w:rPr>
          <w:sz w:val="20"/>
          <w:szCs w:val="20"/>
          <w:color w:val="auto"/>
        </w:rPr>
      </w:pPr>
      <w:r>
        <w:rPr>
          <w:rFonts w:ascii="Arial" w:cs="Arial" w:eastAsia="Arial" w:hAnsi="Arial"/>
          <w:sz w:val="16"/>
          <w:szCs w:val="16"/>
          <w:b w:val="1"/>
          <w:bCs w:val="1"/>
          <w:color w:val="auto"/>
        </w:rPr>
        <w:t>Intangible assets,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assets and deferred charges</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34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3440"/>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21" w:lineRule="exact"/>
        <w:rPr>
          <w:sz w:val="20"/>
          <w:szCs w:val="20"/>
          <w:color w:val="auto"/>
        </w:rPr>
      </w:pPr>
    </w:p>
    <w:p>
      <w:pPr>
        <w:jc w:val="center"/>
        <w:ind w:right="3440"/>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3840" w:type="dxa"/>
        <w:tblCellMar>
          <w:top w:w="0" w:type="dxa"/>
          <w:left w:w="0" w:type="dxa"/>
          <w:bottom w:w="0" w:type="dxa"/>
          <w:right w:w="0" w:type="dxa"/>
        </w:tblCellMar>
      </w:tblPr>
      <w:tr>
        <w:trPr>
          <w:trHeight w:val="217"/>
        </w:trPr>
        <w:tc>
          <w:tcPr>
            <w:tcW w:w="160" w:type="dxa"/>
            <w:vAlign w:val="bottom"/>
          </w:tcPr>
          <w:p>
            <w:pPr>
              <w:spacing w:after="0"/>
              <w:rPr>
                <w:sz w:val="18"/>
                <w:szCs w:val="18"/>
                <w:color w:val="auto"/>
              </w:rPr>
            </w:pPr>
          </w:p>
        </w:tc>
        <w:tc>
          <w:tcPr>
            <w:tcW w:w="1840" w:type="dxa"/>
            <w:vAlign w:val="bottom"/>
            <w:gridSpan w:val="2"/>
          </w:tcPr>
          <w:p>
            <w:pPr>
              <w:ind w:left="60"/>
              <w:spacing w:after="0"/>
              <w:rPr>
                <w:sz w:val="20"/>
                <w:szCs w:val="20"/>
                <w:color w:val="auto"/>
              </w:rPr>
            </w:pPr>
            <w:r>
              <w:rPr>
                <w:rFonts w:ascii="Arial" w:cs="Arial" w:eastAsia="Arial" w:hAnsi="Arial"/>
                <w:sz w:val="16"/>
                <w:szCs w:val="16"/>
                <w:b w:val="1"/>
                <w:bCs w:val="1"/>
                <w:color w:val="auto"/>
              </w:rPr>
              <w:t>December 31, 2025</w:t>
            </w:r>
          </w:p>
        </w:tc>
        <w:tc>
          <w:tcPr>
            <w:tcW w:w="180" w:type="dxa"/>
            <w:vAlign w:val="bottom"/>
          </w:tcPr>
          <w:p>
            <w:pPr>
              <w:spacing w:after="0"/>
              <w:rPr>
                <w:sz w:val="18"/>
                <w:szCs w:val="18"/>
                <w:color w:val="auto"/>
              </w:rPr>
            </w:pPr>
          </w:p>
        </w:tc>
        <w:tc>
          <w:tcPr>
            <w:tcW w:w="1740" w:type="dxa"/>
            <w:vAlign w:val="bottom"/>
          </w:tcPr>
          <w:p>
            <w:pPr>
              <w:jc w:val="right"/>
              <w:ind w:right="139"/>
              <w:spacing w:after="0"/>
              <w:rPr>
                <w:sz w:val="20"/>
                <w:szCs w:val="20"/>
                <w:color w:val="auto"/>
              </w:rPr>
            </w:pPr>
            <w:r>
              <w:rPr>
                <w:rFonts w:ascii="Arial" w:cs="Arial" w:eastAsia="Arial" w:hAnsi="Arial"/>
                <w:sz w:val="16"/>
                <w:szCs w:val="16"/>
                <w:b w:val="1"/>
                <w:bCs w:val="1"/>
                <w:color w:val="auto"/>
              </w:rPr>
              <w:t>December 31, 2024</w:t>
            </w:r>
          </w:p>
        </w:tc>
      </w:tr>
      <w:tr>
        <w:trPr>
          <w:trHeight w:val="626"/>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1,676,808</w:t>
            </w:r>
          </w:p>
        </w:tc>
        <w:tc>
          <w:tcPr>
            <w:tcW w:w="80" w:type="dxa"/>
            <w:vAlign w:val="bottom"/>
          </w:tcPr>
          <w:p>
            <w:pPr>
              <w:spacing w:after="0"/>
              <w:rPr>
                <w:sz w:val="24"/>
                <w:szCs w:val="24"/>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1,844,877</w:t>
            </w:r>
          </w:p>
        </w:tc>
      </w:tr>
      <w:tr>
        <w:trPr>
          <w:trHeight w:val="216"/>
        </w:trPr>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1,371,352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1,354,225</w:t>
            </w:r>
          </w:p>
        </w:tc>
      </w:tr>
      <w:tr>
        <w:trPr>
          <w:trHeight w:val="216"/>
        </w:trPr>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1,272,784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1,144,838</w:t>
            </w:r>
          </w:p>
        </w:tc>
      </w:tr>
      <w:tr>
        <w:trPr>
          <w:trHeight w:val="217"/>
        </w:trPr>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185,996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140,557</w:t>
            </w:r>
          </w:p>
        </w:tc>
      </w:tr>
      <w:tr>
        <w:trPr>
          <w:trHeight w:val="210"/>
        </w:trPr>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4,506,940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4,484,497</w:t>
            </w:r>
          </w:p>
        </w:tc>
      </w:tr>
      <w:tr>
        <w:trPr>
          <w:trHeight w:val="209"/>
        </w:trPr>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1,119,623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987,924</w:t>
            </w:r>
          </w:p>
        </w:tc>
      </w:tr>
      <w:tr>
        <w:trPr>
          <w:trHeight w:val="215"/>
        </w:trPr>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5,430,038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4,905,702</w:t>
            </w:r>
          </w:p>
        </w:tc>
      </w:tr>
      <w:tr>
        <w:trPr>
          <w:trHeight w:val="216"/>
        </w:trPr>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1,759,616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1,580,854</w:t>
            </w:r>
          </w:p>
        </w:tc>
      </w:tr>
      <w:tr>
        <w:trPr>
          <w:trHeight w:val="217"/>
        </w:trPr>
        <w:tc>
          <w:tcPr>
            <w:tcW w:w="1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606,206</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550,183</w:t>
            </w:r>
          </w:p>
        </w:tc>
      </w:tr>
      <w:tr>
        <w:trPr>
          <w:trHeight w:val="210"/>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13,422,423</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12,509,160</w:t>
            </w:r>
          </w:p>
        </w:tc>
      </w:tr>
      <w:tr>
        <w:trPr>
          <w:trHeight w:val="21"/>
        </w:trPr>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-2174240</wp:posOffset>
            </wp:positionH>
            <wp:positionV relativeFrom="paragraph">
              <wp:posOffset>-1705610</wp:posOffset>
            </wp:positionV>
            <wp:extent cx="7106285"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-1430655</wp:posOffset>
            </wp:positionV>
            <wp:extent cx="7106285"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-1156970</wp:posOffset>
            </wp:positionV>
            <wp:extent cx="7106285"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-882650</wp:posOffset>
            </wp:positionV>
            <wp:extent cx="7106285"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-591185</wp:posOffset>
            </wp:positionV>
            <wp:extent cx="7106285"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6285" cy="137160"/>
                    </a:xfrm>
                    <a:prstGeom prst="rect">
                      <a:avLst/>
                    </a:prstGeom>
                    <a:noFill/>
                  </pic:spPr>
                </pic:pic>
              </a:graphicData>
            </a:graphic>
          </wp:anchor>
        </w:drawing>
        <w:drawing>
          <wp:anchor simplePos="0" relativeHeight="251657728" behindDoc="1" locked="0" layoutInCell="0" allowOverlap="1">
            <wp:simplePos x="0" y="0"/>
            <wp:positionH relativeFrom="column">
              <wp:posOffset>-2174240</wp:posOffset>
            </wp:positionH>
            <wp:positionV relativeFrom="paragraph">
              <wp:posOffset>-316865</wp:posOffset>
            </wp:positionV>
            <wp:extent cx="7106285"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6285" cy="13716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700" w:space="720"/>
            <w:col w:w="7760"/>
          </w:cols>
          <w:pgMar w:left="360" w:top="769" w:right="359" w:bottom="1440" w:gutter="0" w:footer="0" w:header="0"/>
        </w:sectPr>
      </w:pPr>
    </w:p>
    <w:tbl>
      <w:tblPr>
        <w:tblLayout w:type="fixed"/>
        <w:tblInd w:w="0" w:type="dxa"/>
        <w:tblCellMar>
          <w:top w:w="0" w:type="dxa"/>
          <w:left w:w="0" w:type="dxa"/>
          <w:bottom w:w="0" w:type="dxa"/>
          <w:right w:w="0" w:type="dxa"/>
        </w:tblCellMar>
      </w:tblPr>
      <w:tr>
        <w:trPr>
          <w:trHeight w:val="169"/>
        </w:trPr>
        <w:tc>
          <w:tcPr>
            <w:tcW w:w="72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5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260" w:type="dxa"/>
            <w:vAlign w:val="bottom"/>
          </w:tcPr>
          <w:p>
            <w:pPr>
              <w:ind w:left="340"/>
              <w:spacing w:after="0"/>
              <w:rPr>
                <w:sz w:val="20"/>
                <w:szCs w:val="20"/>
                <w:color w:val="auto"/>
              </w:rPr>
            </w:pPr>
            <w:r>
              <w:rPr>
                <w:rFonts w:ascii="Arial" w:cs="Arial" w:eastAsia="Arial" w:hAnsi="Arial"/>
                <w:sz w:val="16"/>
                <w:szCs w:val="16"/>
                <w:color w:val="auto"/>
              </w:rPr>
              <w:t>Short-term borrowings and current portion of long-term debt</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706,677</w:t>
            </w:r>
          </w:p>
        </w:tc>
        <w:tc>
          <w:tcPr>
            <w:tcW w:w="80" w:type="dxa"/>
            <w:vAlign w:val="bottom"/>
          </w:tcPr>
          <w:p>
            <w:pPr>
              <w:spacing w:after="0"/>
              <w:rPr>
                <w:sz w:val="18"/>
                <w:szCs w:val="18"/>
                <w:color w:val="auto"/>
              </w:rPr>
            </w:pPr>
          </w:p>
        </w:tc>
        <w:tc>
          <w:tcPr>
            <w:tcW w:w="580" w:type="dxa"/>
            <w:vAlign w:val="bottom"/>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400,056</w:t>
            </w:r>
          </w:p>
        </w:tc>
      </w:tr>
      <w:tr>
        <w:trPr>
          <w:trHeight w:val="217"/>
        </w:trPr>
        <w:tc>
          <w:tcPr>
            <w:tcW w:w="72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Payables, accrued expenses and other current liabilities</w:t>
            </w:r>
          </w:p>
        </w:tc>
        <w:tc>
          <w:tcPr>
            <w:tcW w:w="56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1,811,812</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1,796,471</w:t>
            </w:r>
          </w:p>
        </w:tc>
      </w:tr>
      <w:tr>
        <w:trPr>
          <w:trHeight w:val="209"/>
        </w:trPr>
        <w:tc>
          <w:tcPr>
            <w:tcW w:w="7260" w:type="dxa"/>
            <w:vAlign w:val="bottom"/>
            <w:tcBorders>
              <w:bottom w:val="single" w:sz="8" w:color="CCEEFF"/>
            </w:tcBorders>
          </w:tcPr>
          <w:p>
            <w:pPr>
              <w:ind w:left="620"/>
              <w:spacing w:after="0"/>
              <w:rPr>
                <w:sz w:val="20"/>
                <w:szCs w:val="20"/>
                <w:color w:val="auto"/>
              </w:rPr>
            </w:pPr>
            <w:r>
              <w:rPr>
                <w:rFonts w:ascii="Arial" w:cs="Arial" w:eastAsia="Arial" w:hAnsi="Arial"/>
                <w:sz w:val="16"/>
                <w:szCs w:val="16"/>
                <w:color w:val="auto"/>
              </w:rPr>
              <w:t>Total current liabilities</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2,518,489</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2,196,527</w:t>
            </w:r>
          </w:p>
        </w:tc>
      </w:tr>
      <w:tr>
        <w:trPr>
          <w:trHeight w:val="210"/>
        </w:trPr>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Deferred taxes and other non-current liabilities</w:t>
            </w: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877,433</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829,291</w:t>
            </w:r>
          </w:p>
        </w:tc>
      </w:tr>
      <w:tr>
        <w:trPr>
          <w:trHeight w:val="216"/>
        </w:trPr>
        <w:tc>
          <w:tcPr>
            <w:tcW w:w="7260" w:type="dxa"/>
            <w:vAlign w:val="bottom"/>
          </w:tcPr>
          <w:p>
            <w:pPr>
              <w:spacing w:after="0"/>
              <w:rPr>
                <w:sz w:val="20"/>
                <w:szCs w:val="20"/>
                <w:color w:val="auto"/>
              </w:rPr>
            </w:pPr>
            <w:r>
              <w:rPr>
                <w:rFonts w:ascii="Arial" w:cs="Arial" w:eastAsia="Arial" w:hAnsi="Arial"/>
                <w:sz w:val="16"/>
                <w:szCs w:val="16"/>
                <w:b w:val="1"/>
                <w:bCs w:val="1"/>
                <w:color w:val="auto"/>
              </w:rPr>
              <w:t>Long-term debt</w:t>
            </w:r>
          </w:p>
        </w:tc>
        <w:tc>
          <w:tcPr>
            <w:tcW w:w="5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2,621,295</w:t>
            </w: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2,529,346</w:t>
            </w: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5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2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Stockholders' equity</w:t>
            </w:r>
          </w:p>
        </w:tc>
        <w:tc>
          <w:tcPr>
            <w:tcW w:w="5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7,405,206</w:t>
            </w:r>
          </w:p>
        </w:tc>
        <w:tc>
          <w:tcPr>
            <w:tcW w:w="8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6,953,996</w:t>
            </w:r>
          </w:p>
        </w:tc>
      </w:tr>
      <w:tr>
        <w:trPr>
          <w:trHeight w:val="235"/>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13,422,423</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12,509,160</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IS - 4</w:t>
      </w:r>
    </w:p>
    <w:p>
      <w:pPr>
        <w:sectPr>
          <w:pgSz w:w="11900" w:h="16838" w:orient="portrait"/>
          <w:cols w:equalWidth="0" w:num="1">
            <w:col w:w="11180"/>
          </w:cols>
          <w:pgMar w:left="360" w:top="769" w:right="35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6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Years Ended December 31,</w:t>
            </w:r>
          </w:p>
        </w:tc>
      </w:tr>
      <w:tr>
        <w:trPr>
          <w:trHeight w:val="209"/>
        </w:trPr>
        <w:tc>
          <w:tcPr>
            <w:tcW w:w="76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2025</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r>
      <w:tr>
        <w:trPr>
          <w:trHeight w:val="19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4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15"/>
        </w:trPr>
        <w:tc>
          <w:tcPr>
            <w:tcW w:w="762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1,093,956</w:t>
            </w:r>
          </w:p>
        </w:tc>
        <w:tc>
          <w:tcPr>
            <w:tcW w:w="80" w:type="dxa"/>
            <w:vAlign w:val="bottom"/>
          </w:tcPr>
          <w:p>
            <w:pPr>
              <w:spacing w:after="0"/>
              <w:rPr>
                <w:sz w:val="18"/>
                <w:szCs w:val="18"/>
                <w:color w:val="auto"/>
              </w:rPr>
            </w:pPr>
          </w:p>
        </w:tc>
        <w:tc>
          <w:tcPr>
            <w:tcW w:w="40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2,697,126</w:t>
            </w:r>
          </w:p>
        </w:tc>
      </w:tr>
      <w:tr>
        <w:trPr>
          <w:trHeight w:val="217"/>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earnings to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Earnings from discontinued operations, net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3,473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(1,297,158)</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and amortization</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379,577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337,842</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43,981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40,359</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Employee benefit plan (benefit) expense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(7,623)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(9,946)</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Gain on dispositions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(4,644)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(597,798)</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(35,354)</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(57,073)</w:t>
            </w:r>
          </w:p>
        </w:tc>
      </w:tr>
      <w:tr>
        <w:trPr>
          <w:trHeight w:val="215"/>
        </w:trPr>
        <w:tc>
          <w:tcPr>
            <w:tcW w:w="762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Net change in assets and liabilities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(135,361)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(25,519)</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provided by operating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1,338,005</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1,087,833</w:t>
            </w:r>
          </w:p>
        </w:tc>
      </w:tr>
      <w:tr>
        <w:trPr>
          <w:trHeight w:val="216"/>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Additions to property, plant and equipment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(220,263)</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(167,533)</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Acquisitions, net of cash and cash equivalents acquired</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(663,270)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(635,269)</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Proceeds from dispositions, net of cash transferred</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5,998</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768,847</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(9,059)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6,972</w:t>
            </w:r>
          </w:p>
        </w:tc>
      </w:tr>
      <w:tr>
        <w:trPr>
          <w:trHeight w:val="209"/>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Net cash used in investing activities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(886,594)</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(26,983)</w:t>
            </w:r>
          </w:p>
        </w:tc>
      </w:tr>
      <w:tr>
        <w:trPr>
          <w:trHeight w:val="216"/>
        </w:trPr>
        <w:tc>
          <w:tcPr>
            <w:tcW w:w="7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commercial paper and other short-term borrowings, net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(467,637)</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Repayment of long-term debt</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(400,000)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Proceeds from long-term debt</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631,186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Dividends paid to stockholders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(283,007)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(283,117)</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Repurchase of common stock, including payment under accelerated share repurchase program</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(540,700)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5"/>
        </w:trPr>
        <w:tc>
          <w:tcPr>
            <w:tcW w:w="7620" w:type="dxa"/>
            <w:vAlign w:val="bottom"/>
          </w:tcPr>
          <w:p>
            <w:pPr>
              <w:ind w:left="340"/>
              <w:spacing w:after="0"/>
              <w:rPr>
                <w:sz w:val="20"/>
                <w:szCs w:val="20"/>
                <w:color w:val="auto"/>
              </w:rPr>
            </w:pPr>
            <w:r>
              <w:rPr>
                <w:rFonts w:ascii="Arial" w:cs="Arial" w:eastAsia="Arial" w:hAnsi="Arial"/>
                <w:sz w:val="16"/>
                <w:szCs w:val="16"/>
                <w:color w:val="auto"/>
              </w:rPr>
              <w:t>Payments to settle employee tax obligations on exercise of share-based awards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(14,887)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(16,603)</w:t>
            </w:r>
          </w:p>
        </w:tc>
      </w:tr>
      <w:tr>
        <w:trPr>
          <w:trHeight w:val="217"/>
        </w:trPr>
        <w:tc>
          <w:tcPr>
            <w:tcW w:w="76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net</w:t>
            </w:r>
          </w:p>
        </w:tc>
        <w:tc>
          <w:tcPr>
            <w:tcW w:w="4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(16,823)</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(4,316)</w:t>
            </w:r>
          </w:p>
        </w:tc>
      </w:tr>
      <w:tr>
        <w:trPr>
          <w:trHeight w:val="210"/>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Net cash used in financing activities</w:t>
            </w:r>
          </w:p>
        </w:tc>
        <w:tc>
          <w:tcPr>
            <w:tcW w:w="4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(624,870)</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(1,271,673)</w:t>
            </w:r>
          </w:p>
        </w:tc>
      </w:tr>
      <w:tr>
        <w:trPr>
          <w:trHeight w:val="216"/>
        </w:trPr>
        <w:tc>
          <w:tcPr>
            <w:tcW w:w="76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7620" w:type="dxa"/>
            <w:vAlign w:val="bottom"/>
          </w:tcPr>
          <w:p>
            <w:pPr>
              <w:ind w:left="20"/>
              <w:spacing w:after="0"/>
              <w:rPr>
                <w:sz w:val="20"/>
                <w:szCs w:val="20"/>
                <w:color w:val="auto"/>
              </w:rPr>
            </w:pPr>
            <w:r>
              <w:rPr>
                <w:rFonts w:ascii="Arial" w:cs="Arial" w:eastAsia="Arial" w:hAnsi="Arial"/>
                <w:sz w:val="16"/>
                <w:szCs w:val="16"/>
                <w:b w:val="1"/>
                <w:bCs w:val="1"/>
                <w:color w:val="auto"/>
              </w:rPr>
              <w:t>Cash Flows from Discontinued Operations:</w:t>
            </w: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operating activities of discontinued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(339,454)</w:t>
            </w:r>
          </w:p>
        </w:tc>
      </w:tr>
      <w:tr>
        <w:trPr>
          <w:trHeight w:val="215"/>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 of discontinued operations</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(9,796)</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1,985,641</w:t>
            </w:r>
          </w:p>
        </w:tc>
      </w:tr>
      <w:tr>
        <w:trPr>
          <w:trHeight w:val="210"/>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cash (used in) provided by discontinued operations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(14,226)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1,646,187</w:t>
            </w:r>
          </w:p>
        </w:tc>
      </w:tr>
      <w:tr>
        <w:trPr>
          <w:trHeight w:val="216"/>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19,616</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(6,348)</w:t>
            </w:r>
          </w:p>
        </w:tc>
      </w:tr>
      <w:tr>
        <w:trPr>
          <w:trHeight w:val="216"/>
        </w:trPr>
        <w:tc>
          <w:tcPr>
            <w:tcW w:w="7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 including cash held for sale</w:t>
            </w:r>
          </w:p>
        </w:tc>
        <w:tc>
          <w:tcPr>
            <w:tcW w:w="4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(168,069)</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1,429,016</w:t>
            </w:r>
          </w:p>
        </w:tc>
      </w:tr>
      <w:tr>
        <w:trPr>
          <w:trHeight w:val="216"/>
        </w:trPr>
        <w:tc>
          <w:tcPr>
            <w:tcW w:w="762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Cash and cash equivalents at beginning of year, including cash held for sale</w:t>
            </w:r>
            <w:r>
              <w:rPr>
                <w:rFonts w:ascii="Arial" w:cs="Arial" w:eastAsia="Arial" w:hAnsi="Arial"/>
                <w:sz w:val="21"/>
                <w:szCs w:val="21"/>
                <w:color w:val="auto"/>
                <w:vertAlign w:val="superscript"/>
              </w:rPr>
              <w:t>1</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1,844,877</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415,861</w:t>
            </w:r>
          </w:p>
        </w:tc>
      </w:tr>
      <w:tr>
        <w:trPr>
          <w:trHeight w:val="235"/>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and cash equivalents at the end of year, including cash held for sale</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1,676,808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1,844,877</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4" w:lineRule="exact"/>
        <w:rPr>
          <w:sz w:val="20"/>
          <w:szCs w:val="20"/>
          <w:color w:val="auto"/>
        </w:rPr>
      </w:pPr>
    </w:p>
    <w:p>
      <w:pPr>
        <w:ind w:left="120" w:hanging="101"/>
        <w:spacing w:after="0"/>
        <w:tabs>
          <w:tab w:leader="none" w:pos="120" w:val="left"/>
        </w:tabs>
        <w:numPr>
          <w:ilvl w:val="0"/>
          <w:numId w:val="8"/>
        </w:numPr>
        <w:rPr>
          <w:rFonts w:ascii="Arial" w:cs="Arial" w:eastAsia="Arial" w:hAnsi="Arial"/>
          <w:sz w:val="20"/>
          <w:szCs w:val="20"/>
          <w:color w:val="auto"/>
          <w:vertAlign w:val="superscript"/>
        </w:rPr>
      </w:pPr>
      <w:r>
        <w:rPr>
          <w:rFonts w:ascii="Arial" w:cs="Arial" w:eastAsia="Arial" w:hAnsi="Arial"/>
          <w:sz w:val="15"/>
          <w:szCs w:val="15"/>
          <w:color w:val="auto"/>
        </w:rPr>
        <w:t>Cash held for sale as of December 31, 2023 totaled $17,300. There was no cash held for sale as of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- 5</w:t>
      </w:r>
    </w:p>
    <w:p>
      <w:pPr>
        <w:sectPr>
          <w:pgSz w:w="11900" w:h="16838" w:orient="portrait"/>
          <w:cols w:equalWidth="0" w:num="1">
            <w:col w:w="11200"/>
          </w:cols>
          <w:pgMar w:left="340" w:top="769" w:right="359" w:bottom="1440" w:gutter="0" w:footer="0" w:header="0"/>
        </w:sectPr>
      </w:pPr>
    </w:p>
    <w:bookmarkStart w:id="11" w:name="page12"/>
    <w:bookmarkEnd w:id="11"/>
    <w:p>
      <w:pPr>
        <w:jc w:val="center"/>
        <w:ind w:right="-13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QUARTERLY ADJUSTED EARNINGS AND ADJUSTED EARNINGS PER SHARE (NON-GAAP)</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(unaudited)(in thousands, except per share data*)</w:t>
      </w:r>
    </w:p>
    <w:tbl>
      <w:tblPr>
        <w:tblLayout w:type="fixed"/>
        <w:tblInd w:w="0" w:type="dxa"/>
        <w:tblCellMar>
          <w:top w:w="0" w:type="dxa"/>
          <w:left w:w="0" w:type="dxa"/>
          <w:bottom w:w="0" w:type="dxa"/>
          <w:right w:w="0" w:type="dxa"/>
        </w:tblCellMar>
      </w:tblPr>
      <w:tr>
        <w:trPr>
          <w:trHeight w:val="172"/>
        </w:trPr>
        <w:tc>
          <w:tcPr>
            <w:tcW w:w="2380" w:type="dxa"/>
            <w:vAlign w:val="bottom"/>
            <w:gridSpan w:val="2"/>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8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8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Q1</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Q1</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9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2024</w:t>
            </w:r>
          </w:p>
        </w:tc>
        <w:tc>
          <w:tcPr>
            <w:tcW w:w="0" w:type="dxa"/>
            <w:vAlign w:val="bottom"/>
          </w:tcPr>
          <w:p>
            <w:pPr>
              <w:spacing w:after="0"/>
              <w:rPr>
                <w:sz w:val="1"/>
                <w:szCs w:val="1"/>
                <w:color w:val="auto"/>
              </w:rPr>
            </w:pPr>
          </w:p>
        </w:tc>
      </w:tr>
      <w:tr>
        <w:trPr>
          <w:trHeight w:val="196"/>
        </w:trPr>
        <w:tc>
          <w:tcPr>
            <w:tcW w:w="4040" w:type="dxa"/>
            <w:vAlign w:val="bottom"/>
            <w:gridSpan w:val="4"/>
            <w:shd w:val="clear" w:color="auto" w:fill="CCEEFF"/>
          </w:tcPr>
          <w:p>
            <w:pPr>
              <w:ind w:left="20"/>
              <w:spacing w:after="0"/>
              <w:rPr>
                <w:sz w:val="20"/>
                <w:szCs w:val="20"/>
                <w:color w:val="auto"/>
              </w:rPr>
            </w:pPr>
            <w:r>
              <w:rPr>
                <w:rFonts w:ascii="Arial" w:cs="Arial" w:eastAsia="Arial" w:hAnsi="Arial"/>
                <w:sz w:val="16"/>
                <w:szCs w:val="16"/>
                <w:b w:val="1"/>
                <w:bCs w:val="1"/>
                <w:color w:val="auto"/>
              </w:rPr>
              <w:t>Adjusted earnings from continuing operations:</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Earnings from continuing</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$ 239,241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$ 280,130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$ 303,292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274,766</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$ 1,097,429</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$ 602,102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$ 246,587</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$ 312,896</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$ 238,383</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9"/>
              </w:rPr>
              <w:t>$ 1,399,968</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rPr>
                <w:sz w:val="20"/>
                <w:szCs w:val="20"/>
                <w:color w:val="auto"/>
              </w:rPr>
            </w:pPr>
            <w:r>
              <w:rPr>
                <w:rFonts w:ascii="Arial" w:cs="Arial" w:eastAsia="Arial" w:hAnsi="Arial"/>
                <w:sz w:val="16"/>
                <w:szCs w:val="16"/>
                <w:color w:val="auto"/>
              </w:rPr>
              <w:t>operations</w:t>
            </w: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Purchase accounting expenses,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49,104</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51,123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59,381</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58,837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218,445</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44,332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48,356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49,366</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186,241</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1</w:t>
            </w: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Purchase accounting expenses,</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(10,919)</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(11,367)</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(14,067)</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(14,134)</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(50,487)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(9,711)</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(9,760)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(10,633)</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(10,911)</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(41,015)</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tax impact </w:t>
            </w:r>
            <w:r>
              <w:rPr>
                <w:rFonts w:ascii="Arial" w:cs="Arial" w:eastAsia="Arial" w:hAnsi="Arial"/>
                <w:sz w:val="21"/>
                <w:szCs w:val="21"/>
                <w:color w:val="auto"/>
                <w:vertAlign w:val="superscript"/>
              </w:rPr>
              <w:t>2</w:t>
            </w: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Restructuring and other costs,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9,397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23,210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15,913</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29,466</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77,986</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23,971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11,590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16,581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32,841</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84,983</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3</w:t>
            </w: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Restructuring and other costs,</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(1,887)</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(4,642)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(3,230)</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(5,608)</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(15,367)</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(4,734)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(2,479)</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(3,465)</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(6,864)</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(17,542)</w:t>
            </w:r>
          </w:p>
        </w:tc>
        <w:tc>
          <w:tcPr>
            <w:tcW w:w="0" w:type="dxa"/>
            <w:vAlign w:val="bottom"/>
          </w:tcPr>
          <w:p>
            <w:pPr>
              <w:spacing w:after="0"/>
              <w:rPr>
                <w:sz w:val="1"/>
                <w:szCs w:val="1"/>
                <w:color w:val="auto"/>
              </w:rPr>
            </w:pPr>
          </w:p>
        </w:tc>
      </w:tr>
      <w:tr>
        <w:trPr>
          <w:trHeight w:val="216"/>
        </w:trPr>
        <w:tc>
          <w:tcPr>
            <w:tcW w:w="2380" w:type="dxa"/>
            <w:vAlign w:val="bottom"/>
            <w:gridSpan w:val="2"/>
          </w:tcPr>
          <w:p>
            <w:pPr>
              <w:ind w:left="20"/>
              <w:spacing w:after="0" w:line="216" w:lineRule="exact"/>
              <w:rPr>
                <w:sz w:val="20"/>
                <w:szCs w:val="20"/>
                <w:color w:val="auto"/>
              </w:rPr>
            </w:pPr>
            <w:r>
              <w:rPr>
                <w:rFonts w:ascii="Arial" w:cs="Arial" w:eastAsia="Arial" w:hAnsi="Arial"/>
                <w:sz w:val="16"/>
                <w:szCs w:val="16"/>
                <w:color w:val="auto"/>
              </w:rPr>
              <w:t xml:space="preserve">tax impact </w:t>
            </w:r>
            <w:r>
              <w:rPr>
                <w:rFonts w:ascii="Arial" w:cs="Arial" w:eastAsia="Arial" w:hAnsi="Arial"/>
                <w:sz w:val="21"/>
                <w:szCs w:val="21"/>
                <w:color w:val="auto"/>
                <w:vertAlign w:val="superscript"/>
              </w:rPr>
              <w:t>2</w:t>
            </w: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84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ind w:left="20"/>
              <w:spacing w:after="0" w:line="162" w:lineRule="exact"/>
              <w:rPr>
                <w:sz w:val="20"/>
                <w:szCs w:val="20"/>
                <w:color w:val="auto"/>
              </w:rPr>
            </w:pPr>
            <w:r>
              <w:rPr>
                <w:rFonts w:ascii="Arial" w:cs="Arial" w:eastAsia="Arial" w:hAnsi="Arial"/>
                <w:sz w:val="16"/>
                <w:szCs w:val="16"/>
                <w:color w:val="auto"/>
              </w:rPr>
              <w:t>(Gain) loss on dispositions, pre-</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(4,644)</w:t>
            </w:r>
          </w:p>
        </w:tc>
        <w:tc>
          <w:tcPr>
            <w:tcW w:w="8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(529,943)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(68,633)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(597,798)</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w:t>
            </w:r>
            <w:r>
              <w:rPr>
                <w:rFonts w:ascii="Arial" w:cs="Arial" w:eastAsia="Arial" w:hAnsi="Arial"/>
                <w:sz w:val="21"/>
                <w:szCs w:val="21"/>
                <w:color w:val="auto"/>
                <w:vertAlign w:val="superscript"/>
              </w:rPr>
              <w:t>4</w:t>
            </w: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(Gain) loss on dispositions, tax-</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689</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435</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1,124</w:t>
            </w:r>
          </w:p>
        </w:tc>
        <w:tc>
          <w:tcPr>
            <w:tcW w:w="8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114,973</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(144)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18,889</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1,695</w:t>
            </w: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135,413</w:t>
            </w:r>
          </w:p>
        </w:tc>
        <w:tc>
          <w:tcPr>
            <w:tcW w:w="0" w:type="dxa"/>
            <w:vAlign w:val="bottom"/>
          </w:tcPr>
          <w:p>
            <w:pPr>
              <w:spacing w:after="0"/>
              <w:rPr>
                <w:sz w:val="1"/>
                <w:szCs w:val="1"/>
                <w:color w:val="auto"/>
              </w:rPr>
            </w:pPr>
          </w:p>
        </w:tc>
      </w:tr>
      <w:tr>
        <w:trPr>
          <w:trHeight w:val="216"/>
        </w:trPr>
        <w:tc>
          <w:tcPr>
            <w:tcW w:w="2380" w:type="dxa"/>
            <w:vAlign w:val="bottom"/>
            <w:tcBorders>
              <w:bottom w:val="single" w:sz="8" w:color="CCEEFF"/>
            </w:tcBorders>
            <w:gridSpan w:val="2"/>
          </w:tcPr>
          <w:p>
            <w:pPr>
              <w:ind w:left="20"/>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8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8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Adjusted earnings from</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$ 283,157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$ 336,713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$ 361,289</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343,327</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$ 1,324,486</w:t>
            </w:r>
          </w:p>
        </w:tc>
        <w:tc>
          <w:tcPr>
            <w:tcW w:w="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$ 240,845</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$ 290,789</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$ 313,991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$ 304,625</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99"/>
              </w:rPr>
              <w:t>$ 1,150,250</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2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Adjusted diluted earnings per share from continuing operations: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Diluted earnings per share from</w:t>
            </w: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1.73</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6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3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7.97</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rPr>
              <w:t>4.30</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rPr>
              <w:t>2.26</w:t>
            </w:r>
          </w:p>
        </w:tc>
        <w:tc>
          <w:tcPr>
            <w:tcW w:w="26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80" w:type="dxa"/>
            <w:vAlign w:val="bottom"/>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10.09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continuing operations</w:t>
            </w:r>
          </w:p>
        </w:tc>
        <w:tc>
          <w:tcPr>
            <w:tcW w:w="2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Purchase accounting expenses,</w:t>
            </w: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0.36</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0.37</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0.43</w:t>
            </w:r>
          </w:p>
        </w:tc>
        <w:tc>
          <w:tcPr>
            <w:tcW w:w="3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1.59</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0.32</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0.32</w:t>
            </w:r>
          </w:p>
        </w:tc>
        <w:tc>
          <w:tcPr>
            <w:tcW w:w="260" w:type="dxa"/>
            <w:vAlign w:val="bottom"/>
          </w:tcPr>
          <w:p>
            <w:pPr>
              <w:spacing w:after="0"/>
              <w:rPr>
                <w:sz w:val="14"/>
                <w:szCs w:val="14"/>
                <w:color w:val="auto"/>
              </w:rPr>
            </w:pP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0.35</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0.36</w:t>
            </w:r>
          </w:p>
        </w:tc>
        <w:tc>
          <w:tcPr>
            <w:tcW w:w="2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1.34</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1</w:t>
            </w: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Purchase accounting expenses,</w:t>
            </w: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3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(0.37)</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rPr>
              <w:t>(0.07)</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rPr>
              <w:t>(0.08)</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2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(0.30)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impact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Restructuring and other costs,</w:t>
            </w: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0.07</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0.17</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0.12</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0.22</w:t>
            </w:r>
          </w:p>
        </w:tc>
        <w:tc>
          <w:tcPr>
            <w:tcW w:w="3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0.57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0.17</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0.08</w:t>
            </w:r>
          </w:p>
        </w:tc>
        <w:tc>
          <w:tcPr>
            <w:tcW w:w="260" w:type="dxa"/>
            <w:vAlign w:val="bottom"/>
          </w:tcPr>
          <w:p>
            <w:pPr>
              <w:spacing w:after="0"/>
              <w:rPr>
                <w:sz w:val="14"/>
                <w:szCs w:val="14"/>
                <w:color w:val="auto"/>
              </w:rPr>
            </w:pP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0.12</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0.24</w:t>
            </w:r>
          </w:p>
        </w:tc>
        <w:tc>
          <w:tcPr>
            <w:tcW w:w="2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0.61</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pre-tax </w:t>
            </w:r>
            <w:r>
              <w:rPr>
                <w:rFonts w:ascii="Arial" w:cs="Arial" w:eastAsia="Arial" w:hAnsi="Arial"/>
                <w:sz w:val="21"/>
                <w:szCs w:val="21"/>
                <w:color w:val="auto"/>
                <w:vertAlign w:val="superscript"/>
              </w:rPr>
              <w:t>3</w:t>
            </w: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Restructuring and other costs,</w:t>
            </w: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3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(0.11)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rPr>
              <w:t>(0.03)</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39"/>
              <w:spacing w:after="0"/>
              <w:rPr>
                <w:sz w:val="20"/>
                <w:szCs w:val="20"/>
                <w:color w:val="auto"/>
              </w:rPr>
            </w:pPr>
            <w:r>
              <w:rPr>
                <w:rFonts w:ascii="Arial" w:cs="Arial" w:eastAsia="Arial" w:hAnsi="Arial"/>
                <w:sz w:val="16"/>
                <w:szCs w:val="16"/>
                <w:color w:val="auto"/>
              </w:rPr>
              <w:t>(0.03)</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(0.13)</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tax impact </w:t>
            </w:r>
            <w:r>
              <w:rPr>
                <w:rFonts w:ascii="Arial" w:cs="Arial" w:eastAsia="Arial" w:hAnsi="Arial"/>
                <w:sz w:val="21"/>
                <w:szCs w:val="21"/>
                <w:color w:val="auto"/>
                <w:vertAlign w:val="superscript"/>
              </w:rPr>
              <w:t>2</w:t>
            </w: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(Gain) loss on dispositions, pre-</w:t>
            </w:r>
          </w:p>
        </w:tc>
        <w:tc>
          <w:tcPr>
            <w:tcW w:w="24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(0.02)</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(0.03)</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rPr>
              <w:t>(3.79)</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580" w:type="dxa"/>
            <w:vAlign w:val="bottom"/>
            <w:vMerge w:val="restart"/>
          </w:tcPr>
          <w:p>
            <w:pPr>
              <w:jc w:val="center"/>
              <w:ind w:left="39"/>
              <w:spacing w:after="0"/>
              <w:rPr>
                <w:sz w:val="20"/>
                <w:szCs w:val="20"/>
                <w:color w:val="auto"/>
              </w:rPr>
            </w:pPr>
            <w:r>
              <w:rPr>
                <w:rFonts w:ascii="Arial" w:cs="Arial" w:eastAsia="Arial" w:hAnsi="Arial"/>
                <w:sz w:val="16"/>
                <w:szCs w:val="16"/>
                <w:color w:val="auto"/>
              </w:rPr>
              <w:t>(0.50)</w:t>
            </w:r>
          </w:p>
        </w:tc>
        <w:tc>
          <w:tcPr>
            <w:tcW w:w="260" w:type="dxa"/>
            <w:vAlign w:val="bottom"/>
          </w:tcPr>
          <w:p>
            <w:pPr>
              <w:spacing w:after="0"/>
              <w:rPr>
                <w:sz w:val="14"/>
                <w:szCs w:val="14"/>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(4.31)</w:t>
            </w:r>
          </w:p>
        </w:tc>
        <w:tc>
          <w:tcPr>
            <w:tcW w:w="0" w:type="dxa"/>
            <w:vAlign w:val="bottom"/>
          </w:tcPr>
          <w:p>
            <w:pPr>
              <w:spacing w:after="0"/>
              <w:rPr>
                <w:sz w:val="1"/>
                <w:szCs w:val="1"/>
                <w:color w:val="auto"/>
              </w:rPr>
            </w:pPr>
          </w:p>
        </w:tc>
      </w:tr>
      <w:tr>
        <w:trPr>
          <w:trHeight w:val="216"/>
        </w:trPr>
        <w:tc>
          <w:tcPr>
            <w:tcW w:w="238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tax </w:t>
            </w:r>
            <w:r>
              <w:rPr>
                <w:rFonts w:ascii="Arial" w:cs="Arial" w:eastAsia="Arial" w:hAnsi="Arial"/>
                <w:sz w:val="21"/>
                <w:szCs w:val="21"/>
                <w:color w:val="auto"/>
                <w:vertAlign w:val="superscript"/>
              </w:rPr>
              <w:t>4</w:t>
            </w: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(Gain) loss on dispositions, tax-</w:t>
            </w: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0.01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rPr>
              <w:t>0.82</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rPr>
              <w:t>0.14</w:t>
            </w:r>
          </w:p>
        </w:tc>
        <w:tc>
          <w:tcPr>
            <w:tcW w:w="2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8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0.98</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impact </w:t>
            </w:r>
            <w:r>
              <w:rPr>
                <w:rFonts w:ascii="Arial" w:cs="Arial" w:eastAsia="Arial" w:hAnsi="Arial"/>
                <w:sz w:val="21"/>
                <w:szCs w:val="21"/>
                <w:color w:val="auto"/>
                <w:vertAlign w:val="superscript"/>
              </w:rPr>
              <w:t>2</w:t>
            </w: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vMerge w:val="continue"/>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380" w:type="dxa"/>
            <w:vAlign w:val="bottom"/>
          </w:tcPr>
          <w:p>
            <w:pPr>
              <w:ind w:left="20"/>
              <w:spacing w:after="0" w:line="142" w:lineRule="exact"/>
              <w:rPr>
                <w:sz w:val="20"/>
                <w:szCs w:val="20"/>
                <w:color w:val="auto"/>
              </w:rPr>
            </w:pPr>
            <w:r>
              <w:rPr>
                <w:rFonts w:ascii="Arial" w:cs="Arial" w:eastAsia="Arial" w:hAnsi="Arial"/>
                <w:sz w:val="16"/>
                <w:szCs w:val="16"/>
                <w:color w:val="auto"/>
              </w:rPr>
              <w:t>Adjusted diluted earnings per</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20"/>
              <w:spacing w:after="0" w:line="162" w:lineRule="exact"/>
              <w:rPr>
                <w:sz w:val="20"/>
                <w:szCs w:val="20"/>
                <w:color w:val="auto"/>
              </w:rPr>
            </w:pPr>
            <w:r>
              <w:rPr>
                <w:rFonts w:ascii="Arial" w:cs="Arial" w:eastAsia="Arial" w:hAnsi="Arial"/>
                <w:sz w:val="16"/>
                <w:szCs w:val="16"/>
                <w:color w:val="auto"/>
              </w:rPr>
              <w:t>share from continuing</w:t>
            </w: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2.05</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2.44</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2.62</w:t>
            </w: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620" w:type="dxa"/>
            <w:vAlign w:val="bottom"/>
            <w:vMerge w:val="restart"/>
          </w:tcPr>
          <w:p>
            <w:pPr>
              <w:jc w:val="right"/>
              <w:spacing w:after="0"/>
              <w:rPr>
                <w:sz w:val="20"/>
                <w:szCs w:val="20"/>
                <w:color w:val="auto"/>
              </w:rPr>
            </w:pPr>
            <w:r>
              <w:rPr>
                <w:rFonts w:ascii="Arial" w:cs="Arial" w:eastAsia="Arial" w:hAnsi="Arial"/>
                <w:sz w:val="16"/>
                <w:szCs w:val="16"/>
                <w:color w:val="auto"/>
              </w:rPr>
              <w:t>2.51</w:t>
            </w:r>
          </w:p>
        </w:tc>
        <w:tc>
          <w:tcPr>
            <w:tcW w:w="32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9.61</w:t>
            </w:r>
          </w:p>
        </w:tc>
        <w:tc>
          <w:tcPr>
            <w:tcW w:w="80" w:type="dxa"/>
            <w:vAlign w:val="bottom"/>
          </w:tcPr>
          <w:p>
            <w:pPr>
              <w:spacing w:after="0"/>
              <w:rPr>
                <w:sz w:val="14"/>
                <w:szCs w:val="14"/>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1.72</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2.10</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center"/>
              <w:ind w:left="59"/>
              <w:spacing w:after="0"/>
              <w:rPr>
                <w:sz w:val="20"/>
                <w:szCs w:val="20"/>
                <w:color w:val="auto"/>
              </w:rPr>
            </w:pPr>
            <w:r>
              <w:rPr>
                <w:rFonts w:ascii="Arial" w:cs="Arial" w:eastAsia="Arial" w:hAnsi="Arial"/>
                <w:sz w:val="16"/>
                <w:szCs w:val="16"/>
                <w:color w:val="auto"/>
              </w:rPr>
              <w:t>2.27</w:t>
            </w:r>
          </w:p>
        </w:tc>
        <w:tc>
          <w:tcPr>
            <w:tcW w:w="260" w:type="dxa"/>
            <w:vAlign w:val="bottom"/>
            <w:vMerge w:val="restart"/>
          </w:tcPr>
          <w:p>
            <w:pPr>
              <w:jc w:val="right"/>
              <w:ind w:right="59"/>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spacing w:after="0"/>
              <w:rPr>
                <w:sz w:val="20"/>
                <w:szCs w:val="20"/>
                <w:color w:val="auto"/>
              </w:rPr>
            </w:pPr>
            <w:r>
              <w:rPr>
                <w:rFonts w:ascii="Arial" w:cs="Arial" w:eastAsia="Arial" w:hAnsi="Arial"/>
                <w:sz w:val="16"/>
                <w:szCs w:val="16"/>
                <w:color w:val="auto"/>
              </w:rPr>
              <w:t>2.20</w:t>
            </w:r>
          </w:p>
        </w:tc>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6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8.29</w:t>
            </w:r>
          </w:p>
        </w:tc>
        <w:tc>
          <w:tcPr>
            <w:tcW w:w="0" w:type="dxa"/>
            <w:vAlign w:val="bottom"/>
          </w:tcPr>
          <w:p>
            <w:pPr>
              <w:spacing w:after="0"/>
              <w:rPr>
                <w:sz w:val="1"/>
                <w:szCs w:val="1"/>
                <w:color w:val="auto"/>
              </w:rPr>
            </w:pPr>
          </w:p>
        </w:tc>
      </w:tr>
      <w:tr>
        <w:trPr>
          <w:trHeight w:val="194"/>
        </w:trPr>
        <w:tc>
          <w:tcPr>
            <w:tcW w:w="2380" w:type="dxa"/>
            <w:vAlign w:val="bottom"/>
          </w:tcPr>
          <w:p>
            <w:pPr>
              <w:ind w:left="20"/>
              <w:spacing w:after="0"/>
              <w:rPr>
                <w:sz w:val="20"/>
                <w:szCs w:val="20"/>
                <w:color w:val="auto"/>
              </w:rPr>
            </w:pPr>
            <w:r>
              <w:rPr>
                <w:rFonts w:ascii="Arial" w:cs="Arial" w:eastAsia="Arial" w:hAnsi="Arial"/>
                <w:sz w:val="16"/>
                <w:szCs w:val="16"/>
                <w:color w:val="auto"/>
              </w:rPr>
              <w:t>operations</w:t>
            </w:r>
          </w:p>
        </w:tc>
        <w:tc>
          <w:tcPr>
            <w:tcW w:w="2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120" w:hanging="94"/>
        <w:spacing w:after="0"/>
        <w:tabs>
          <w:tab w:leader="none" w:pos="120" w:val="left"/>
        </w:tabs>
        <w:numPr>
          <w:ilvl w:val="0"/>
          <w:numId w:val="9"/>
        </w:numPr>
        <w:rPr>
          <w:rFonts w:ascii="Arial" w:cs="Arial" w:eastAsia="Arial" w:hAnsi="Arial"/>
          <w:sz w:val="20"/>
          <w:szCs w:val="20"/>
          <w:color w:val="auto"/>
          <w:vertAlign w:val="superscript"/>
        </w:rPr>
      </w:pPr>
      <w:r>
        <w:rPr>
          <w:rFonts w:ascii="Arial" w:cs="Arial" w:eastAsia="Arial" w:hAnsi="Arial"/>
          <w:sz w:val="15"/>
          <w:szCs w:val="15"/>
          <w:color w:val="auto"/>
        </w:rPr>
        <w:t>Purchase accounting expenses are primarily comprised of amortization of intangible assets.</w:t>
      </w:r>
    </w:p>
    <w:p>
      <w:pPr>
        <w:spacing w:after="0" w:line="24" w:lineRule="exact"/>
        <w:rPr>
          <w:sz w:val="20"/>
          <w:szCs w:val="20"/>
          <w:color w:val="auto"/>
        </w:rPr>
      </w:pPr>
    </w:p>
    <w:p>
      <w:pPr>
        <w:ind w:left="20" w:right="40" w:firstLine="6"/>
        <w:spacing w:after="0" w:line="219" w:lineRule="auto"/>
        <w:tabs>
          <w:tab w:leader="none" w:pos="136" w:val="left"/>
        </w:tabs>
        <w:numPr>
          <w:ilvl w:val="0"/>
          <w:numId w:val="10"/>
        </w:numPr>
        <w:rPr>
          <w:rFonts w:ascii="Arial" w:cs="Arial" w:eastAsia="Arial" w:hAnsi="Arial"/>
          <w:sz w:val="20"/>
          <w:szCs w:val="20"/>
          <w:color w:val="auto"/>
          <w:vertAlign w:val="superscript"/>
        </w:rPr>
      </w:pPr>
      <w:r>
        <w:rPr>
          <w:rFonts w:ascii="Arial" w:cs="Arial" w:eastAsia="Arial" w:hAnsi="Arial"/>
          <w:sz w:val="15"/>
          <w:szCs w:val="15"/>
          <w:color w:val="auto"/>
        </w:rPr>
        <w:t>Adjustments were tax effected using the statutory tax rates in the applicable jurisdictions or the effective tax rate, where applicable, for each period. The tax impact of the (gain) loss on dispositions in Q4 2024 reflects updated tax information related to a Q3 2024 disposition.</w:t>
      </w:r>
    </w:p>
    <w:p>
      <w:pPr>
        <w:spacing w:after="0" w:line="56" w:lineRule="exact"/>
        <w:rPr>
          <w:sz w:val="20"/>
          <w:szCs w:val="20"/>
          <w:color w:val="auto"/>
        </w:rPr>
      </w:pPr>
    </w:p>
    <w:p>
      <w:pPr>
        <w:jc w:val="both"/>
        <w:ind w:left="20" w:right="40" w:firstLine="6"/>
        <w:spacing w:after="0" w:line="231" w:lineRule="auto"/>
        <w:tabs>
          <w:tab w:leader="none" w:pos="144"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Restructuring and other costs relate to actions taken for headcount reductions, facility consolidations and site closures, product line exits, and other asset charges. Q2 2025, Q3 2025, Q4 2025 and FY 2025 include other costs of $1.9 million, $1.8 million, $2.6 million and $6.3 million, respectively, associated with a footprint reduction within our Climate &amp; Sustainability Technologies segment. Q2 2025 and FY 2025 includes other costs of $4.0 million associated with a product line exit within our Climate &amp; Sustainability Technologies segment. Q1 2024 and FY 2024 include $3.4 million of non-cash asset impairment charges for our Climate &amp; Sustainability Technologies segment.</w:t>
      </w:r>
    </w:p>
    <w:p>
      <w:pPr>
        <w:spacing w:after="0" w:line="6" w:lineRule="exact"/>
        <w:rPr>
          <w:sz w:val="20"/>
          <w:szCs w:val="20"/>
          <w:color w:val="auto"/>
        </w:rPr>
      </w:pPr>
    </w:p>
    <w:p>
      <w:pPr>
        <w:jc w:val="both"/>
        <w:ind w:left="20" w:right="20" w:firstLine="6"/>
        <w:spacing w:after="0" w:line="211" w:lineRule="auto"/>
        <w:tabs>
          <w:tab w:leader="none" w:pos="137" w:val="left"/>
        </w:tabs>
        <w:numPr>
          <w:ilvl w:val="0"/>
          <w:numId w:val="12"/>
        </w:numPr>
        <w:rPr>
          <w:rFonts w:ascii="Arial" w:cs="Arial" w:eastAsia="Arial" w:hAnsi="Arial"/>
          <w:sz w:val="20"/>
          <w:szCs w:val="20"/>
          <w:color w:val="auto"/>
          <w:vertAlign w:val="superscript"/>
        </w:rPr>
      </w:pPr>
      <w:r>
        <w:rPr>
          <w:rFonts w:ascii="Arial" w:cs="Arial" w:eastAsia="Arial" w:hAnsi="Arial"/>
          <w:sz w:val="15"/>
          <w:szCs w:val="15"/>
          <w:color w:val="auto"/>
        </w:rPr>
        <w:t>(Gain) loss on dispositions represents a $529.9 million gain recorded during Q1 2024 and a $0.7 million loss and $1.1 million gain recorded as post-closing adjustments in Q2 2024 and Q4 2024, respectively, on the disposition of De-Sta-Co in the Engineered Products segment. Additionally, a gain of $68.6 million was recorded in Q3 2024 and a $1.2 million post-closing adjustment (reduction to the gain) in Q4 2024 on the disposition of a minority owned equity method investment in the Climate &amp; Sustainability Technologies segment.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5"/>
          <w:szCs w:val="15"/>
          <w:color w:val="auto"/>
        </w:rPr>
        <w:t>* Per share data and totals may be impacted by rounding.</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IS - 6</w:t>
      </w:r>
    </w:p>
    <w:p>
      <w:pPr>
        <w:sectPr>
          <w:pgSz w:w="11900" w:h="16838" w:orient="portrait"/>
          <w:cols w:equalWidth="0" w:num="1">
            <w:col w:w="11100"/>
          </w:cols>
          <w:pgMar w:left="320" w:top="364" w:right="479" w:bottom="1440" w:gutter="0" w:footer="0" w:header="0"/>
        </w:sectPr>
      </w:pPr>
    </w:p>
    <w:bookmarkStart w:id="12" w:name="page13"/>
    <w:bookmarkEnd w:id="12"/>
    <w:p>
      <w:pPr>
        <w:jc w:val="center"/>
        <w:ind w:right="-139"/>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7"/>
          <w:szCs w:val="17"/>
          <w:b w:val="1"/>
          <w:bCs w:val="1"/>
          <w:color w:val="auto"/>
        </w:rPr>
        <w:t>QUARTERLY ADJUSTED SEGMENT EBITDA (NON-GAAP)</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(unaudited)(in thousands)</w:t>
      </w:r>
    </w:p>
    <w:p>
      <w:pPr>
        <w:sectPr>
          <w:pgSz w:w="11900" w:h="16838" w:orient="portrait"/>
          <w:cols w:equalWidth="0" w:num="1">
            <w:col w:w="11100"/>
          </w:cols>
          <w:pgMar w:left="320" w:top="364" w:right="479" w:bottom="1440" w:gutter="0" w:footer="0" w:header="0"/>
        </w:sectPr>
      </w:pPr>
    </w:p>
    <w:tbl>
      <w:tblPr>
        <w:tblLayout w:type="fixed"/>
        <w:tblInd w:w="0" w:type="dxa"/>
        <w:tblCellMar>
          <w:top w:w="0" w:type="dxa"/>
          <w:left w:w="0" w:type="dxa"/>
          <w:bottom w:w="0" w:type="dxa"/>
          <w:right w:w="0" w:type="dxa"/>
        </w:tblCellMar>
      </w:tblPr>
      <w:tr>
        <w:trPr>
          <w:trHeight w:val="172"/>
        </w:trPr>
        <w:tc>
          <w:tcPr>
            <w:tcW w:w="2800" w:type="dxa"/>
            <w:vAlign w:val="bottom"/>
            <w:gridSpan w:val="9"/>
          </w:tcPr>
          <w:p>
            <w:pPr>
              <w:spacing w:after="0" w:line="172" w:lineRule="exact"/>
              <w:rPr>
                <w:sz w:val="20"/>
                <w:szCs w:val="20"/>
                <w:color w:val="auto"/>
              </w:rPr>
            </w:pPr>
            <w:r>
              <w:rPr>
                <w:rFonts w:ascii="Arial" w:cs="Arial" w:eastAsia="Arial" w:hAnsi="Arial"/>
                <w:sz w:val="16"/>
                <w:szCs w:val="16"/>
                <w:b w:val="1"/>
                <w:bCs w:val="1"/>
                <w:color w:val="auto"/>
              </w:rPr>
              <w:t>Non-GAAP Reconciliations</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1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400" w:type="dxa"/>
            <w:vAlign w:val="bottom"/>
            <w:tcBorders>
              <w:top w:val="single" w:sz="8" w:color="auto"/>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center"/>
              <w:ind w:left="39"/>
              <w:spacing w:after="0"/>
              <w:rPr>
                <w:sz w:val="20"/>
                <w:szCs w:val="20"/>
                <w:color w:val="auto"/>
              </w:rPr>
            </w:pPr>
            <w:r>
              <w:rPr>
                <w:rFonts w:ascii="Arial" w:cs="Arial" w:eastAsia="Arial" w:hAnsi="Arial"/>
                <w:sz w:val="16"/>
                <w:szCs w:val="16"/>
                <w:b w:val="1"/>
                <w:bCs w:val="1"/>
                <w:color w:val="auto"/>
              </w:rPr>
              <w:t>2025</w:t>
            </w:r>
          </w:p>
        </w:tc>
        <w:tc>
          <w:tcPr>
            <w:tcW w:w="1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vMerge w:val="restart"/>
          </w:tcPr>
          <w:p>
            <w:pPr>
              <w:spacing w:after="0"/>
              <w:rPr>
                <w:sz w:val="20"/>
                <w:szCs w:val="20"/>
                <w:color w:val="auto"/>
              </w:rPr>
            </w:pPr>
            <w:r>
              <w:rPr>
                <w:rFonts w:ascii="Arial" w:cs="Arial" w:eastAsia="Arial" w:hAnsi="Arial"/>
                <w:sz w:val="16"/>
                <w:szCs w:val="16"/>
                <w:b w:val="1"/>
                <w:bCs w:val="1"/>
                <w:color w:val="auto"/>
              </w:rPr>
              <w:t>ADJUSTED SEGMENT EBITDA</w:t>
            </w: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Q1</w:t>
            </w: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Q2</w:t>
            </w: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2025</w:t>
            </w:r>
          </w:p>
        </w:tc>
        <w:tc>
          <w:tcPr>
            <w:tcW w:w="0" w:type="dxa"/>
            <w:vAlign w:val="bottom"/>
          </w:tcPr>
          <w:p>
            <w:pPr>
              <w:spacing w:after="0"/>
              <w:rPr>
                <w:sz w:val="1"/>
                <w:szCs w:val="1"/>
                <w:color w:val="auto"/>
              </w:rPr>
            </w:pPr>
          </w:p>
        </w:tc>
      </w:tr>
      <w:tr>
        <w:trPr>
          <w:trHeight w:val="156"/>
        </w:trPr>
        <w:tc>
          <w:tcPr>
            <w:tcW w:w="180" w:type="dxa"/>
            <w:vAlign w:val="bottom"/>
          </w:tcPr>
          <w:p>
            <w:pPr>
              <w:spacing w:after="0"/>
              <w:rPr>
                <w:sz w:val="13"/>
                <w:szCs w:val="13"/>
                <w:color w:val="auto"/>
              </w:rPr>
            </w:pPr>
          </w:p>
        </w:tc>
        <w:tc>
          <w:tcPr>
            <w:tcW w:w="2620" w:type="dxa"/>
            <w:vAlign w:val="bottom"/>
            <w:gridSpan w:val="8"/>
            <w:vMerge w:val="continue"/>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180" w:type="dxa"/>
            <w:vAlign w:val="bottom"/>
          </w:tcPr>
          <w:p>
            <w:pPr>
              <w:spacing w:after="0"/>
              <w:rPr>
                <w:sz w:val="24"/>
                <w:szCs w:val="24"/>
                <w:color w:val="auto"/>
              </w:rPr>
            </w:pPr>
          </w:p>
        </w:tc>
        <w:tc>
          <w:tcPr>
            <w:tcW w:w="2360" w:type="dxa"/>
            <w:vAlign w:val="bottom"/>
            <w:tcBorders>
              <w:top w:val="single" w:sz="8" w:color="auto"/>
            </w:tcBorders>
            <w:gridSpan w:val="7"/>
          </w:tcPr>
          <w:p>
            <w:pPr>
              <w:spacing w:after="0"/>
              <w:rPr>
                <w:sz w:val="20"/>
                <w:szCs w:val="20"/>
                <w:color w:val="auto"/>
              </w:rPr>
            </w:pPr>
            <w:r>
              <w:rPr>
                <w:rFonts w:ascii="Arial" w:cs="Arial" w:eastAsia="Arial" w:hAnsi="Arial"/>
                <w:sz w:val="15"/>
                <w:szCs w:val="15"/>
                <w:b w:val="1"/>
                <w:bCs w:val="1"/>
                <w:color w:val="auto"/>
              </w:rPr>
              <w:t>Engineered Products:</w:t>
            </w:r>
          </w:p>
        </w:tc>
        <w:tc>
          <w:tcPr>
            <w:tcW w:w="260" w:type="dxa"/>
            <w:vAlign w:val="bottom"/>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44,114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53,511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57,483</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62,158</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217,266</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158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Segment earnings</w:t>
            </w:r>
          </w:p>
        </w:tc>
        <w:tc>
          <w:tcPr>
            <w:tcW w:w="1040" w:type="dxa"/>
            <w:vAlign w:val="bottom"/>
            <w:gridSpan w:val="6"/>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4,800</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5,141</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5,736</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5,818</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21,495</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tcPr>
          <w:p>
            <w:pPr>
              <w:spacing w:after="0" w:line="209" w:lineRule="exact"/>
              <w:rPr>
                <w:sz w:val="20"/>
                <w:szCs w:val="20"/>
                <w:color w:val="auto"/>
              </w:rPr>
            </w:pPr>
            <w:r>
              <w:rPr>
                <w:rFonts w:ascii="Arial" w:cs="Arial" w:eastAsia="Arial" w:hAnsi="Arial"/>
                <w:sz w:val="15"/>
                <w:szCs w:val="15"/>
                <w:color w:val="auto"/>
              </w:rPr>
              <w:t xml:space="preserve">Adjusted segment EBITDA </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48,914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58,652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63,219</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67,976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238,761</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Adjusted segment EBITDA 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19.2 %</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21.3 %</w:t>
            </w:r>
          </w:p>
        </w:tc>
        <w:tc>
          <w:tcPr>
            <w:tcW w:w="120" w:type="dxa"/>
            <w:vAlign w:val="bottom"/>
          </w:tcPr>
          <w:p>
            <w:pPr>
              <w:spacing w:after="0"/>
              <w:rPr>
                <w:sz w:val="23"/>
                <w:szCs w:val="23"/>
                <w:color w:val="auto"/>
              </w:rPr>
            </w:pP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22.6 %</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24.7 %</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22.0 %</w:t>
            </w: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Arial" w:cs="Arial" w:eastAsia="Arial" w:hAnsi="Arial"/>
                <w:sz w:val="15"/>
                <w:szCs w:val="15"/>
                <w:b w:val="1"/>
                <w:bCs w:val="1"/>
                <w:color w:val="auto"/>
              </w:rPr>
              <w:t>Clean Energy &amp; Fueling:</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85,644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107,771</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118,665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105,990</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418,070</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1760" w:type="dxa"/>
            <w:vAlign w:val="bottom"/>
            <w:tcBorders>
              <w:top w:val="single" w:sz="8" w:color="auto"/>
            </w:tcBorders>
            <w:gridSpan w:val="3"/>
          </w:tcPr>
          <w:p>
            <w:pPr>
              <w:spacing w:after="0"/>
              <w:rPr>
                <w:sz w:val="20"/>
                <w:szCs w:val="20"/>
                <w:color w:val="auto"/>
              </w:rPr>
            </w:pPr>
            <w:r>
              <w:rPr>
                <w:rFonts w:ascii="Arial" w:cs="Arial" w:eastAsia="Arial" w:hAnsi="Arial"/>
                <w:sz w:val="15"/>
                <w:szCs w:val="15"/>
                <w:color w:val="auto"/>
              </w:rPr>
              <w:t>Segment earnings</w:t>
            </w:r>
          </w:p>
        </w:tc>
        <w:tc>
          <w:tcPr>
            <w:tcW w:w="860" w:type="dxa"/>
            <w:vAlign w:val="bottom"/>
            <w:gridSpan w:val="5"/>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8,578</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8,961</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8,582</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8,685</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34,806</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tcPr>
          <w:p>
            <w:pPr>
              <w:spacing w:after="0" w:line="209" w:lineRule="exact"/>
              <w:rPr>
                <w:sz w:val="20"/>
                <w:szCs w:val="20"/>
                <w:color w:val="auto"/>
              </w:rPr>
            </w:pPr>
            <w:r>
              <w:rPr>
                <w:rFonts w:ascii="Arial" w:cs="Arial" w:eastAsia="Arial" w:hAnsi="Arial"/>
                <w:sz w:val="15"/>
                <w:szCs w:val="15"/>
                <w:color w:val="auto"/>
              </w:rPr>
              <w:t xml:space="preserve">Adjusted segment EBITDA </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94,222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116,732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127,247</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114,675</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452,876</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Adjusted segment EBITDA 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19.2 %</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21.4 %</w:t>
            </w:r>
          </w:p>
        </w:tc>
        <w:tc>
          <w:tcPr>
            <w:tcW w:w="120" w:type="dxa"/>
            <w:vAlign w:val="bottom"/>
          </w:tcPr>
          <w:p>
            <w:pPr>
              <w:spacing w:after="0"/>
              <w:rPr>
                <w:sz w:val="23"/>
                <w:szCs w:val="23"/>
                <w:color w:val="auto"/>
              </w:rPr>
            </w:pP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23.5 %</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20.8 %</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21.3 %</w:t>
            </w: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178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Imaging &amp; Identification:</w:t>
            </w:r>
          </w:p>
        </w:tc>
        <w:tc>
          <w:tcPr>
            <w:tcW w:w="840" w:type="dxa"/>
            <w:vAlign w:val="bottom"/>
            <w:gridSpan w:val="4"/>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77,575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76,937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81,772</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78,451</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314,735</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2620" w:type="dxa"/>
            <w:vAlign w:val="bottom"/>
            <w:gridSpan w:val="8"/>
          </w:tcPr>
          <w:p>
            <w:pPr>
              <w:spacing w:after="0"/>
              <w:rPr>
                <w:sz w:val="20"/>
                <w:szCs w:val="20"/>
                <w:color w:val="auto"/>
              </w:rPr>
            </w:pPr>
            <w:r>
              <w:rPr>
                <w:rFonts w:ascii="Arial" w:cs="Arial" w:eastAsia="Arial" w:hAnsi="Arial"/>
                <w:sz w:val="15"/>
                <w:szCs w:val="15"/>
                <w:color w:val="auto"/>
              </w:rPr>
              <w:t>Segment earnings</w:t>
            </w: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4,093</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4,229</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4,091</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5,155</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17,568</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tcPr>
          <w:p>
            <w:pPr>
              <w:spacing w:after="0" w:line="209" w:lineRule="exact"/>
              <w:rPr>
                <w:sz w:val="20"/>
                <w:szCs w:val="20"/>
                <w:color w:val="auto"/>
              </w:rPr>
            </w:pPr>
            <w:r>
              <w:rPr>
                <w:rFonts w:ascii="Arial" w:cs="Arial" w:eastAsia="Arial" w:hAnsi="Arial"/>
                <w:sz w:val="15"/>
                <w:szCs w:val="15"/>
                <w:color w:val="auto"/>
              </w:rPr>
              <w:t xml:space="preserve">Adjusted segment EBITDA </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81,668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81,166</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85,863</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83,606</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332,303</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Adjusted segment EBITDA 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29.2 %</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27.8 %</w:t>
            </w:r>
          </w:p>
        </w:tc>
        <w:tc>
          <w:tcPr>
            <w:tcW w:w="120" w:type="dxa"/>
            <w:vAlign w:val="bottom"/>
          </w:tcPr>
          <w:p>
            <w:pPr>
              <w:spacing w:after="0"/>
              <w:rPr>
                <w:sz w:val="23"/>
                <w:szCs w:val="23"/>
                <w:color w:val="auto"/>
              </w:rPr>
            </w:pP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28.7 %</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27.7 %</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28.3 %</w:t>
            </w: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2620" w:type="dxa"/>
            <w:vAlign w:val="bottom"/>
            <w:gridSpan w:val="8"/>
          </w:tcPr>
          <w:p>
            <w:pPr>
              <w:spacing w:after="0"/>
              <w:rPr>
                <w:sz w:val="20"/>
                <w:szCs w:val="20"/>
                <w:color w:val="auto"/>
              </w:rPr>
            </w:pPr>
            <w:r>
              <w:rPr>
                <w:rFonts w:ascii="Arial" w:cs="Arial" w:eastAsia="Arial" w:hAnsi="Arial"/>
                <w:sz w:val="15"/>
                <w:szCs w:val="15"/>
                <w:b w:val="1"/>
                <w:bCs w:val="1"/>
                <w:color w:val="auto"/>
              </w:rPr>
              <w:t>Pumps &amp; Process Solutions:</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151,275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159,504</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168,565</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172,256</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651,600</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2080" w:type="dxa"/>
            <w:vAlign w:val="bottom"/>
            <w:tcBorders>
              <w:top w:val="single" w:sz="8" w:color="auto"/>
            </w:tcBorders>
            <w:gridSpan w:val="6"/>
          </w:tcPr>
          <w:p>
            <w:pPr>
              <w:spacing w:after="0"/>
              <w:rPr>
                <w:sz w:val="20"/>
                <w:szCs w:val="20"/>
                <w:color w:val="auto"/>
              </w:rPr>
            </w:pPr>
            <w:r>
              <w:rPr>
                <w:rFonts w:ascii="Arial" w:cs="Arial" w:eastAsia="Arial" w:hAnsi="Arial"/>
                <w:sz w:val="15"/>
                <w:szCs w:val="15"/>
                <w:color w:val="auto"/>
              </w:rPr>
              <w:t>Segment earnings</w:t>
            </w:r>
          </w:p>
        </w:tc>
        <w:tc>
          <w:tcPr>
            <w:tcW w:w="540" w:type="dxa"/>
            <w:vAlign w:val="bottom"/>
            <w:gridSpan w:val="2"/>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12,601</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13,131</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14,256</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14,238</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54,226</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tcPr>
          <w:p>
            <w:pPr>
              <w:spacing w:after="0" w:line="209" w:lineRule="exact"/>
              <w:rPr>
                <w:sz w:val="20"/>
                <w:szCs w:val="20"/>
                <w:color w:val="auto"/>
              </w:rPr>
            </w:pPr>
            <w:r>
              <w:rPr>
                <w:rFonts w:ascii="Arial" w:cs="Arial" w:eastAsia="Arial" w:hAnsi="Arial"/>
                <w:sz w:val="15"/>
                <w:szCs w:val="15"/>
                <w:color w:val="auto"/>
              </w:rPr>
              <w:t xml:space="preserve">Adjusted segment EBITDA </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163,876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172,635</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182,821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186,494</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705,826</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Adjusted segment EBITDA 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33.2 %</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33.2 %</w:t>
            </w:r>
          </w:p>
        </w:tc>
        <w:tc>
          <w:tcPr>
            <w:tcW w:w="120" w:type="dxa"/>
            <w:vAlign w:val="bottom"/>
          </w:tcPr>
          <w:p>
            <w:pPr>
              <w:spacing w:after="0"/>
              <w:rPr>
                <w:sz w:val="23"/>
                <w:szCs w:val="23"/>
                <w:color w:val="auto"/>
              </w:rPr>
            </w:pP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33.2 %</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32.0 %</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32.8 %</w:t>
            </w: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3400" w:type="dxa"/>
            <w:vAlign w:val="bottom"/>
            <w:gridSpan w:val="11"/>
          </w:tcPr>
          <w:p>
            <w:pPr>
              <w:spacing w:after="0"/>
              <w:rPr>
                <w:sz w:val="20"/>
                <w:szCs w:val="20"/>
                <w:color w:val="auto"/>
              </w:rPr>
            </w:pPr>
            <w:r>
              <w:rPr>
                <w:rFonts w:ascii="Arial" w:cs="Arial" w:eastAsia="Arial" w:hAnsi="Arial"/>
                <w:sz w:val="15"/>
                <w:szCs w:val="15"/>
                <w:b w:val="1"/>
                <w:bCs w:val="1"/>
                <w:color w:val="auto"/>
              </w:rPr>
              <w:t>Climate &amp; Sustainability Technologies:</w:t>
            </w: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2620" w:type="dxa"/>
            <w:vAlign w:val="bottom"/>
            <w:tcBorders>
              <w:top w:val="single" w:sz="8" w:color="auto"/>
            </w:tcBorders>
            <w:gridSpan w:val="8"/>
          </w:tcPr>
          <w:p>
            <w:pPr>
              <w:spacing w:after="0"/>
              <w:rPr>
                <w:sz w:val="20"/>
                <w:szCs w:val="20"/>
                <w:color w:val="auto"/>
              </w:rPr>
            </w:pPr>
            <w:r>
              <w:rPr>
                <w:rFonts w:ascii="Arial" w:cs="Arial" w:eastAsia="Arial" w:hAnsi="Arial"/>
                <w:sz w:val="15"/>
                <w:szCs w:val="15"/>
                <w:color w:val="auto"/>
              </w:rPr>
              <w:t>Segment earnings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tcBorders>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52,119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77,262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76,002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60,264</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265,647</w:t>
            </w: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7,325</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7,605</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7,558</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7,856</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30,344</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80" w:type="dxa"/>
            <w:vAlign w:val="bottom"/>
          </w:tcPr>
          <w:p>
            <w:pPr>
              <w:spacing w:after="0"/>
              <w:rPr>
                <w:sz w:val="18"/>
                <w:szCs w:val="18"/>
                <w:color w:val="auto"/>
              </w:rPr>
            </w:pPr>
          </w:p>
        </w:tc>
        <w:tc>
          <w:tcPr>
            <w:tcW w:w="2620" w:type="dxa"/>
            <w:vAlign w:val="bottom"/>
            <w:gridSpan w:val="8"/>
          </w:tcPr>
          <w:p>
            <w:pPr>
              <w:spacing w:after="0" w:line="209" w:lineRule="exact"/>
              <w:rPr>
                <w:sz w:val="20"/>
                <w:szCs w:val="20"/>
                <w:color w:val="auto"/>
              </w:rPr>
            </w:pPr>
            <w:r>
              <w:rPr>
                <w:rFonts w:ascii="Arial" w:cs="Arial" w:eastAsia="Arial" w:hAnsi="Arial"/>
                <w:sz w:val="15"/>
                <w:szCs w:val="15"/>
                <w:color w:val="auto"/>
              </w:rPr>
              <w:t xml:space="preserve">Adjusted segment EBITDA </w:t>
            </w:r>
            <w:r>
              <w:rPr>
                <w:rFonts w:ascii="Arial" w:cs="Arial" w:eastAsia="Arial" w:hAnsi="Arial"/>
                <w:sz w:val="19"/>
                <w:szCs w:val="19"/>
                <w:color w:val="auto"/>
                <w:vertAlign w:val="superscript"/>
              </w:rPr>
              <w:t>2</w:t>
            </w: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59,444</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84,867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83,560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68,120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295,991</w:t>
            </w:r>
          </w:p>
        </w:tc>
        <w:tc>
          <w:tcPr>
            <w:tcW w:w="0" w:type="dxa"/>
            <w:vAlign w:val="bottom"/>
          </w:tcPr>
          <w:p>
            <w:pPr>
              <w:spacing w:after="0"/>
              <w:rPr>
                <w:sz w:val="1"/>
                <w:szCs w:val="1"/>
                <w:color w:val="auto"/>
              </w:rPr>
            </w:pPr>
          </w:p>
        </w:tc>
      </w:tr>
      <w:tr>
        <w:trPr>
          <w:trHeight w:val="275"/>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Adjusted segment EBITDA 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17.1 %</w:t>
            </w:r>
          </w:p>
        </w:tc>
        <w:tc>
          <w:tcPr>
            <w:tcW w:w="12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20.4 %</w:t>
            </w:r>
          </w:p>
        </w:tc>
        <w:tc>
          <w:tcPr>
            <w:tcW w:w="120" w:type="dxa"/>
            <w:vAlign w:val="bottom"/>
          </w:tcPr>
          <w:p>
            <w:pPr>
              <w:spacing w:after="0"/>
              <w:rPr>
                <w:sz w:val="23"/>
                <w:szCs w:val="23"/>
                <w:color w:val="auto"/>
              </w:rPr>
            </w:pPr>
          </w:p>
        </w:tc>
        <w:tc>
          <w:tcPr>
            <w:tcW w:w="680" w:type="dxa"/>
            <w:vAlign w:val="bottom"/>
          </w:tcPr>
          <w:p>
            <w:pPr>
              <w:jc w:val="center"/>
              <w:ind w:left="39"/>
              <w:spacing w:after="0"/>
              <w:rPr>
                <w:sz w:val="20"/>
                <w:szCs w:val="20"/>
                <w:color w:val="auto"/>
              </w:rPr>
            </w:pPr>
            <w:r>
              <w:rPr>
                <w:rFonts w:ascii="Arial" w:cs="Arial" w:eastAsia="Arial" w:hAnsi="Arial"/>
                <w:sz w:val="16"/>
                <w:szCs w:val="16"/>
                <w:color w:val="auto"/>
              </w:rPr>
              <w:t>20.5 %</w:t>
            </w:r>
          </w:p>
        </w:tc>
        <w:tc>
          <w:tcPr>
            <w:tcW w:w="16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17.6 %</w:t>
            </w:r>
          </w:p>
        </w:tc>
        <w:tc>
          <w:tcPr>
            <w:tcW w:w="1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19.0 %</w:t>
            </w: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11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w w:val="99"/>
              </w:rPr>
              <w:t>Total Segments:</w:t>
            </w:r>
          </w:p>
        </w:tc>
        <w:tc>
          <w:tcPr>
            <w:tcW w:w="1440" w:type="dxa"/>
            <w:vAlign w:val="bottom"/>
            <w:gridSpan w:val="7"/>
          </w:tcPr>
          <w:p>
            <w:pPr>
              <w:spacing w:after="0"/>
              <w:rPr>
                <w:sz w:val="24"/>
                <w:szCs w:val="24"/>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410,727</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474,985</w:t>
            </w: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502,487</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479,119</w:t>
            </w:r>
          </w:p>
        </w:tc>
        <w:tc>
          <w:tcPr>
            <w:tcW w:w="1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w:t>
            </w: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8"/>
              </w:rPr>
              <w:t>1,867,318</w:t>
            </w:r>
          </w:p>
        </w:tc>
        <w:tc>
          <w:tcPr>
            <w:tcW w:w="0" w:type="dxa"/>
            <w:vAlign w:val="bottom"/>
          </w:tcPr>
          <w:p>
            <w:pPr>
              <w:spacing w:after="0"/>
              <w:rPr>
                <w:sz w:val="1"/>
                <w:szCs w:val="1"/>
                <w:color w:val="auto"/>
              </w:rPr>
            </w:pPr>
          </w:p>
        </w:tc>
      </w:tr>
      <w:tr>
        <w:trPr>
          <w:trHeight w:val="233"/>
        </w:trPr>
        <w:tc>
          <w:tcPr>
            <w:tcW w:w="180" w:type="dxa"/>
            <w:vAlign w:val="bottom"/>
          </w:tcPr>
          <w:p>
            <w:pPr>
              <w:spacing w:after="0"/>
              <w:rPr>
                <w:sz w:val="20"/>
                <w:szCs w:val="20"/>
                <w:color w:val="auto"/>
              </w:rPr>
            </w:pPr>
          </w:p>
        </w:tc>
        <w:tc>
          <w:tcPr>
            <w:tcW w:w="2620" w:type="dxa"/>
            <w:vAlign w:val="bottom"/>
            <w:gridSpan w:val="8"/>
          </w:tcPr>
          <w:p>
            <w:pPr>
              <w:spacing w:after="0"/>
              <w:rPr>
                <w:sz w:val="20"/>
                <w:szCs w:val="20"/>
                <w:color w:val="auto"/>
              </w:rPr>
            </w:pPr>
            <w:r>
              <w:rPr>
                <w:rFonts w:ascii="Arial" w:cs="Arial" w:eastAsia="Arial" w:hAnsi="Arial"/>
                <w:sz w:val="15"/>
                <w:szCs w:val="15"/>
                <w:color w:val="auto"/>
              </w:rPr>
              <w:t xml:space="preserve">Total segment earnings </w:t>
            </w:r>
            <w:r>
              <w:rPr>
                <w:rFonts w:ascii="Arial" w:cs="Arial" w:eastAsia="Arial" w:hAnsi="Arial"/>
                <w:sz w:val="19"/>
                <w:szCs w:val="19"/>
                <w:color w:val="auto"/>
                <w:vertAlign w:val="superscript"/>
              </w:rPr>
              <w:t>2, 3</w:t>
            </w:r>
          </w:p>
        </w:tc>
        <w:tc>
          <w:tcPr>
            <w:tcW w:w="120" w:type="dxa"/>
            <w:vAlign w:val="bottom"/>
            <w:vMerge w:val="continue"/>
          </w:tcPr>
          <w:p>
            <w:pPr>
              <w:spacing w:after="0"/>
              <w:rPr>
                <w:sz w:val="20"/>
                <w:szCs w:val="20"/>
                <w:color w:val="auto"/>
              </w:rPr>
            </w:pPr>
          </w:p>
        </w:tc>
        <w:tc>
          <w:tcPr>
            <w:tcW w:w="66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60" w:type="dxa"/>
            <w:vAlign w:val="bottom"/>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680" w:type="dxa"/>
            <w:vAlign w:val="bottom"/>
            <w:vMerge w:val="continue"/>
          </w:tcPr>
          <w:p>
            <w:pPr>
              <w:spacing w:after="0"/>
              <w:rPr>
                <w:sz w:val="20"/>
                <w:szCs w:val="20"/>
                <w:color w:val="auto"/>
              </w:rPr>
            </w:pPr>
          </w:p>
        </w:tc>
        <w:tc>
          <w:tcPr>
            <w:tcW w:w="160" w:type="dxa"/>
            <w:vAlign w:val="bottom"/>
            <w:vMerge w:val="continue"/>
          </w:tcPr>
          <w:p>
            <w:pPr>
              <w:spacing w:after="0"/>
              <w:rPr>
                <w:sz w:val="20"/>
                <w:szCs w:val="20"/>
                <w:color w:val="auto"/>
              </w:rPr>
            </w:pPr>
          </w:p>
        </w:tc>
        <w:tc>
          <w:tcPr>
            <w:tcW w:w="70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8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52"/>
        </w:trPr>
        <w:tc>
          <w:tcPr>
            <w:tcW w:w="180" w:type="dxa"/>
            <w:vAlign w:val="bottom"/>
          </w:tcPr>
          <w:p>
            <w:pPr>
              <w:spacing w:after="0"/>
              <w:rPr>
                <w:sz w:val="13"/>
                <w:szCs w:val="13"/>
                <w:color w:val="auto"/>
              </w:rPr>
            </w:pPr>
          </w:p>
        </w:tc>
        <w:tc>
          <w:tcPr>
            <w:tcW w:w="2620" w:type="dxa"/>
            <w:vAlign w:val="bottom"/>
            <w:gridSpan w:val="8"/>
          </w:tcPr>
          <w:p>
            <w:pPr>
              <w:ind w:left="100"/>
              <w:spacing w:after="0" w:line="153" w:lineRule="exact"/>
              <w:rPr>
                <w:sz w:val="20"/>
                <w:szCs w:val="20"/>
                <w:color w:val="auto"/>
              </w:rPr>
            </w:pPr>
            <w:r>
              <w:rPr>
                <w:rFonts w:ascii="Arial" w:cs="Arial" w:eastAsia="Arial" w:hAnsi="Arial"/>
                <w:sz w:val="15"/>
                <w:szCs w:val="15"/>
                <w:color w:val="auto"/>
              </w:rPr>
              <w:t>Other depreciation and amortization</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37,397</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39,067</w:t>
            </w:r>
          </w:p>
        </w:tc>
        <w:tc>
          <w:tcPr>
            <w:tcW w:w="12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Arial" w:cs="Arial" w:eastAsia="Arial" w:hAnsi="Arial"/>
                <w:sz w:val="16"/>
                <w:szCs w:val="16"/>
                <w:color w:val="auto"/>
              </w:rPr>
              <w:t>40,223</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41,752</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158,439</w:t>
            </w:r>
          </w:p>
        </w:tc>
        <w:tc>
          <w:tcPr>
            <w:tcW w:w="0" w:type="dxa"/>
            <w:vAlign w:val="bottom"/>
          </w:tcPr>
          <w:p>
            <w:pPr>
              <w:spacing w:after="0"/>
              <w:rPr>
                <w:sz w:val="1"/>
                <w:szCs w:val="1"/>
                <w:color w:val="auto"/>
              </w:rPr>
            </w:pPr>
          </w:p>
        </w:tc>
      </w:tr>
      <w:tr>
        <w:trPr>
          <w:trHeight w:val="68"/>
        </w:trPr>
        <w:tc>
          <w:tcPr>
            <w:tcW w:w="1360" w:type="dxa"/>
            <w:vAlign w:val="bottom"/>
            <w:gridSpan w:val="2"/>
            <w:vMerge w:val="restart"/>
          </w:tcPr>
          <w:p>
            <w:pPr>
              <w:ind w:left="280"/>
              <w:spacing w:after="0"/>
              <w:rPr>
                <w:sz w:val="20"/>
                <w:szCs w:val="20"/>
                <w:color w:val="auto"/>
              </w:rPr>
            </w:pPr>
            <w:r>
              <w:rPr>
                <w:rFonts w:ascii="Arial" w:cs="Arial" w:eastAsia="Arial" w:hAnsi="Arial"/>
                <w:sz w:val="10"/>
                <w:szCs w:val="10"/>
                <w:color w:val="auto"/>
              </w:rPr>
              <w:t>1</w:t>
            </w: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136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
        </w:trPr>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2620" w:type="dxa"/>
            <w:vAlign w:val="bottom"/>
            <w:gridSpan w:val="8"/>
          </w:tcPr>
          <w:p>
            <w:pPr>
              <w:spacing w:after="0" w:line="205" w:lineRule="exact"/>
              <w:rPr>
                <w:sz w:val="20"/>
                <w:szCs w:val="20"/>
                <w:color w:val="auto"/>
              </w:rPr>
            </w:pPr>
            <w:r>
              <w:rPr>
                <w:rFonts w:ascii="Arial" w:cs="Arial" w:eastAsia="Arial" w:hAnsi="Arial"/>
                <w:sz w:val="15"/>
                <w:szCs w:val="15"/>
                <w:color w:val="auto"/>
              </w:rPr>
              <w:t xml:space="preserve">Total Adjusted segment EBITDA </w:t>
            </w:r>
            <w:r>
              <w:rPr>
                <w:rFonts w:ascii="Arial" w:cs="Arial" w:eastAsia="Arial" w:hAnsi="Arial"/>
                <w:sz w:val="19"/>
                <w:szCs w:val="19"/>
                <w:color w:val="auto"/>
                <w:vertAlign w:val="superscript"/>
              </w:rPr>
              <w:t>2</w:t>
            </w:r>
          </w:p>
        </w:tc>
        <w:tc>
          <w:tcPr>
            <w:tcW w:w="1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448,124</w:t>
            </w: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514,052</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542,710</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520,871</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w w:val="98"/>
              </w:rPr>
              <w:t>2,025,757</w:t>
            </w:r>
          </w:p>
        </w:tc>
        <w:tc>
          <w:tcPr>
            <w:tcW w:w="0" w:type="dxa"/>
            <w:vAlign w:val="bottom"/>
          </w:tcPr>
          <w:p>
            <w:pPr>
              <w:spacing w:after="0"/>
              <w:rPr>
                <w:sz w:val="1"/>
                <w:szCs w:val="1"/>
                <w:color w:val="auto"/>
              </w:rPr>
            </w:pPr>
          </w:p>
        </w:tc>
      </w:tr>
      <w:tr>
        <w:trPr>
          <w:trHeight w:val="161"/>
        </w:trPr>
        <w:tc>
          <w:tcPr>
            <w:tcW w:w="180" w:type="dxa"/>
            <w:vAlign w:val="bottom"/>
          </w:tcPr>
          <w:p>
            <w:pPr>
              <w:spacing w:after="0"/>
              <w:rPr>
                <w:sz w:val="13"/>
                <w:szCs w:val="13"/>
                <w:color w:val="auto"/>
              </w:rPr>
            </w:pPr>
          </w:p>
        </w:tc>
        <w:tc>
          <w:tcPr>
            <w:tcW w:w="2620" w:type="dxa"/>
            <w:vAlign w:val="bottom"/>
            <w:gridSpan w:val="8"/>
          </w:tcPr>
          <w:p>
            <w:pPr>
              <w:ind w:left="100"/>
              <w:spacing w:after="0" w:line="161" w:lineRule="exact"/>
              <w:rPr>
                <w:sz w:val="20"/>
                <w:szCs w:val="20"/>
                <w:color w:val="auto"/>
              </w:rPr>
            </w:pPr>
            <w:r>
              <w:rPr>
                <w:rFonts w:ascii="Arial" w:cs="Arial" w:eastAsia="Arial" w:hAnsi="Arial"/>
                <w:sz w:val="15"/>
                <w:szCs w:val="15"/>
                <w:color w:val="auto"/>
              </w:rPr>
              <w:t>Total Adjusted segment EBITDA</w:t>
            </w:r>
          </w:p>
        </w:tc>
        <w:tc>
          <w:tcPr>
            <w:tcW w:w="120" w:type="dxa"/>
            <w:vAlign w:val="bottom"/>
          </w:tcPr>
          <w:p>
            <w:pPr>
              <w:spacing w:after="0"/>
              <w:rPr>
                <w:sz w:val="13"/>
                <w:szCs w:val="13"/>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6"/>
                <w:szCs w:val="16"/>
                <w:color w:val="auto"/>
              </w:rPr>
              <w:t>24.0 %</w:t>
            </w:r>
          </w:p>
        </w:tc>
        <w:tc>
          <w:tcPr>
            <w:tcW w:w="12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6"/>
                <w:szCs w:val="16"/>
                <w:color w:val="auto"/>
              </w:rPr>
              <w:t>25.1 %</w:t>
            </w:r>
          </w:p>
        </w:tc>
        <w:tc>
          <w:tcPr>
            <w:tcW w:w="120" w:type="dxa"/>
            <w:vAlign w:val="bottom"/>
          </w:tcPr>
          <w:p>
            <w:pPr>
              <w:spacing w:after="0"/>
              <w:rPr>
                <w:sz w:val="13"/>
                <w:szCs w:val="13"/>
                <w:color w:val="auto"/>
              </w:rPr>
            </w:pPr>
          </w:p>
        </w:tc>
        <w:tc>
          <w:tcPr>
            <w:tcW w:w="680" w:type="dxa"/>
            <w:vAlign w:val="bottom"/>
            <w:vMerge w:val="restart"/>
          </w:tcPr>
          <w:p>
            <w:pPr>
              <w:jc w:val="center"/>
              <w:ind w:left="39"/>
              <w:spacing w:after="0"/>
              <w:rPr>
                <w:sz w:val="20"/>
                <w:szCs w:val="20"/>
                <w:color w:val="auto"/>
              </w:rPr>
            </w:pPr>
            <w:r>
              <w:rPr>
                <w:rFonts w:ascii="Arial" w:cs="Arial" w:eastAsia="Arial" w:hAnsi="Arial"/>
                <w:sz w:val="16"/>
                <w:szCs w:val="16"/>
                <w:color w:val="auto"/>
              </w:rPr>
              <w:t>26.1 %</w:t>
            </w:r>
          </w:p>
        </w:tc>
        <w:tc>
          <w:tcPr>
            <w:tcW w:w="160" w:type="dxa"/>
            <w:vAlign w:val="bottom"/>
          </w:tcPr>
          <w:p>
            <w:pPr>
              <w:spacing w:after="0"/>
              <w:rPr>
                <w:sz w:val="13"/>
                <w:szCs w:val="13"/>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24.8 %</w:t>
            </w:r>
          </w:p>
        </w:tc>
        <w:tc>
          <w:tcPr>
            <w:tcW w:w="14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25.0 %</w:t>
            </w:r>
          </w:p>
        </w:tc>
        <w:tc>
          <w:tcPr>
            <w:tcW w:w="0" w:type="dxa"/>
            <w:vAlign w:val="bottom"/>
          </w:tcPr>
          <w:p>
            <w:pPr>
              <w:spacing w:after="0"/>
              <w:rPr>
                <w:sz w:val="1"/>
                <w:szCs w:val="1"/>
                <w:color w:val="auto"/>
              </w:rPr>
            </w:pPr>
          </w:p>
        </w:tc>
      </w:tr>
      <w:tr>
        <w:trPr>
          <w:trHeight w:val="267"/>
        </w:trPr>
        <w:tc>
          <w:tcPr>
            <w:tcW w:w="180" w:type="dxa"/>
            <w:vAlign w:val="bottom"/>
          </w:tcPr>
          <w:p>
            <w:pPr>
              <w:spacing w:after="0"/>
              <w:rPr>
                <w:sz w:val="23"/>
                <w:szCs w:val="23"/>
                <w:color w:val="auto"/>
              </w:rPr>
            </w:pPr>
          </w:p>
        </w:tc>
        <w:tc>
          <w:tcPr>
            <w:tcW w:w="2620" w:type="dxa"/>
            <w:vAlign w:val="bottom"/>
            <w:gridSpan w:val="8"/>
          </w:tcPr>
          <w:p>
            <w:pPr>
              <w:ind w:left="100"/>
              <w:spacing w:after="0"/>
              <w:rPr>
                <w:sz w:val="20"/>
                <w:szCs w:val="20"/>
                <w:color w:val="auto"/>
              </w:rPr>
            </w:pPr>
            <w:r>
              <w:rPr>
                <w:rFonts w:ascii="Arial" w:cs="Arial" w:eastAsia="Arial" w:hAnsi="Arial"/>
                <w:sz w:val="15"/>
                <w:szCs w:val="15"/>
                <w:color w:val="auto"/>
              </w:rPr>
              <w:t xml:space="preserve">margin </w:t>
            </w:r>
            <w:r>
              <w:rPr>
                <w:rFonts w:ascii="Arial" w:cs="Arial" w:eastAsia="Arial" w:hAnsi="Arial"/>
                <w:sz w:val="19"/>
                <w:szCs w:val="19"/>
                <w:color w:val="auto"/>
                <w:vertAlign w:val="superscript"/>
              </w:rPr>
              <w:t>2</w:t>
            </w:r>
          </w:p>
        </w:tc>
        <w:tc>
          <w:tcPr>
            <w:tcW w:w="120" w:type="dxa"/>
            <w:vAlign w:val="bottom"/>
          </w:tcPr>
          <w:p>
            <w:pPr>
              <w:spacing w:after="0"/>
              <w:rPr>
                <w:sz w:val="23"/>
                <w:szCs w:val="23"/>
                <w:color w:val="auto"/>
              </w:rPr>
            </w:pPr>
          </w:p>
        </w:tc>
        <w:tc>
          <w:tcPr>
            <w:tcW w:w="660" w:type="dxa"/>
            <w:vAlign w:val="bottom"/>
            <w:gridSpan w:val="2"/>
            <w:vMerge w:val="continue"/>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vMerge w:val="continue"/>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vMerge w:val="continue"/>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-5720080</wp:posOffset>
            </wp:positionV>
            <wp:extent cx="694372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-5420360</wp:posOffset>
            </wp:positionV>
            <wp:extent cx="694372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-5154295</wp:posOffset>
            </wp:positionV>
            <wp:extent cx="6943725"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43725" cy="19748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-4811395</wp:posOffset>
            </wp:positionV>
            <wp:extent cx="6943725"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-4511675</wp:posOffset>
            </wp:positionV>
            <wp:extent cx="694372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-4245610</wp:posOffset>
            </wp:positionV>
            <wp:extent cx="6943725"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43725" cy="19748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-3902710</wp:posOffset>
            </wp:positionV>
            <wp:extent cx="6943725"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-3602990</wp:posOffset>
            </wp:positionV>
            <wp:extent cx="694372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-3336925</wp:posOffset>
            </wp:positionV>
            <wp:extent cx="6943725" cy="196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43725" cy="1968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-2994025</wp:posOffset>
            </wp:positionV>
            <wp:extent cx="6943725"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-2694305</wp:posOffset>
            </wp:positionV>
            <wp:extent cx="694372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-2428240</wp:posOffset>
            </wp:positionV>
            <wp:extent cx="6943725" cy="196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43725" cy="1968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-2085340</wp:posOffset>
            </wp:positionV>
            <wp:extent cx="6943725"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-1785620</wp:posOffset>
            </wp:positionV>
            <wp:extent cx="694372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-1519555</wp:posOffset>
            </wp:positionV>
            <wp:extent cx="6943725" cy="1968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3725" cy="19685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-1176655</wp:posOffset>
            </wp:positionV>
            <wp:extent cx="694372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43725" cy="137160"/>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-876935</wp:posOffset>
            </wp:positionV>
            <wp:extent cx="694372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43725" cy="12890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-610870</wp:posOffset>
            </wp:positionV>
            <wp:extent cx="6943725" cy="1974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43725" cy="19748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-267970</wp:posOffset>
            </wp:positionV>
            <wp:extent cx="6943725"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43725" cy="2317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2024</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Q1</w:t>
            </w: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Q2</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Q4</w:t>
            </w: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2024</w:t>
            </w:r>
          </w:p>
        </w:tc>
      </w:tr>
      <w:tr>
        <w:trPr>
          <w:trHeight w:val="877"/>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62,532</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52,095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56,621</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59,989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231,237</w:t>
            </w:r>
          </w:p>
        </w:tc>
      </w:tr>
      <w:tr>
        <w:trPr>
          <w:trHeight w:val="304"/>
        </w:trPr>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4,785</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4,778</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4,829</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4,867</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19,259</w:t>
            </w:r>
          </w:p>
        </w:tc>
      </w:tr>
      <w:tr>
        <w:trPr>
          <w:trHeight w:val="209"/>
        </w:trPr>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67,317</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56,873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61,450</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64,856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250,496</w:t>
            </w:r>
          </w:p>
        </w:tc>
      </w:tr>
      <w:tr>
        <w:trPr>
          <w:trHeight w:val="223"/>
        </w:trPr>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20.2 %</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19.9 %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20.8 %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22.5 %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20.8 %</w:t>
            </w:r>
          </w:p>
        </w:tc>
      </w:tr>
      <w:tr>
        <w:trPr>
          <w:trHeight w:val="67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69,675</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87,536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99,536</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103,246</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359,993</w:t>
            </w:r>
          </w:p>
        </w:tc>
      </w:tr>
      <w:tr>
        <w:trPr>
          <w:trHeight w:val="304"/>
        </w:trPr>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7,921</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7,627</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8,310</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8,118</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31,976</w:t>
            </w:r>
          </w:p>
        </w:tc>
      </w:tr>
      <w:tr>
        <w:trPr>
          <w:trHeight w:val="209"/>
        </w:trPr>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77,596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95,163</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107,846</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111,364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391,969</w:t>
            </w:r>
          </w:p>
        </w:tc>
      </w:tr>
      <w:tr>
        <w:trPr>
          <w:trHeight w:val="223"/>
        </w:trPr>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17.4 %</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20.6 %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21.5 %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21.1 %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20.2 %</w:t>
            </w:r>
          </w:p>
        </w:tc>
      </w:tr>
      <w:tr>
        <w:trPr>
          <w:trHeight w:val="67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69,959</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75,786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77,247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78,715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301,707</w:t>
            </w:r>
          </w:p>
        </w:tc>
      </w:tr>
      <w:tr>
        <w:trPr>
          <w:trHeight w:val="304"/>
        </w:trPr>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3,733</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3,905</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3,739</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14,648</w:t>
            </w:r>
          </w:p>
        </w:tc>
      </w:tr>
      <w:tr>
        <w:trPr>
          <w:trHeight w:val="209"/>
        </w:trPr>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73,692</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79,057</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81,152</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82,454</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316,355</w:t>
            </w:r>
          </w:p>
        </w:tc>
      </w:tr>
      <w:tr>
        <w:trPr>
          <w:trHeight w:val="223"/>
        </w:trPr>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26.6 %</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27.5 %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28.6 %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28.6 %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27.8 %</w:t>
            </w:r>
          </w:p>
        </w:tc>
      </w:tr>
      <w:tr>
        <w:trPr>
          <w:trHeight w:val="675"/>
        </w:trPr>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118,737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137,217</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138,277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142,375</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536,606</w:t>
            </w:r>
          </w:p>
        </w:tc>
      </w:tr>
      <w:tr>
        <w:trPr>
          <w:trHeight w:val="304"/>
        </w:trPr>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12,139</w:t>
            </w: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12,637</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12,651</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12,623</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50,050</w:t>
            </w:r>
          </w:p>
        </w:tc>
      </w:tr>
      <w:tr>
        <w:trPr>
          <w:trHeight w:val="209"/>
        </w:trPr>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130,876</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149,854</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150,928</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154,998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586,656</w:t>
            </w:r>
          </w:p>
        </w:tc>
      </w:tr>
      <w:tr>
        <w:trPr>
          <w:trHeight w:val="223"/>
        </w:trPr>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28.1 %</w:t>
            </w: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31.4 %</w:t>
            </w: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31.9 %</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32.3 %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31.0 %</w:t>
            </w:r>
          </w:p>
        </w:tc>
      </w:tr>
    </w:tbl>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380" w:val="left"/>
        </w:tabs>
        <w:rPr>
          <w:sz w:val="20"/>
          <w:szCs w:val="20"/>
          <w:color w:val="auto"/>
        </w:rPr>
      </w:pPr>
      <w:r>
        <w:rPr>
          <w:rFonts w:ascii="Arial" w:cs="Arial" w:eastAsia="Arial" w:hAnsi="Arial"/>
          <w:sz w:val="16"/>
          <w:szCs w:val="16"/>
          <w:color w:val="auto"/>
        </w:rPr>
        <w:t xml:space="preserve">$ 50,759 $ 79,127 $ 76,015 $ 44,974 </w:t>
      </w: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250,875</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7,275</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7,220</w:t>
            </w:r>
          </w:p>
        </w:tc>
        <w:tc>
          <w:tcPr>
            <w:tcW w:w="7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7,048</w:t>
            </w:r>
          </w:p>
        </w:tc>
        <w:tc>
          <w:tcPr>
            <w:tcW w:w="8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7,596</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29,139</w:t>
            </w:r>
          </w:p>
        </w:tc>
      </w:tr>
      <w:tr>
        <w:trPr>
          <w:trHeight w:val="209"/>
        </w:trPr>
        <w:tc>
          <w:tcPr>
            <w:tcW w:w="880" w:type="dxa"/>
            <w:vAlign w:val="bottom"/>
          </w:tcPr>
          <w:p>
            <w:pPr>
              <w:jc w:val="right"/>
              <w:ind w:right="79"/>
              <w:spacing w:after="0"/>
              <w:rPr>
                <w:sz w:val="20"/>
                <w:szCs w:val="20"/>
                <w:color w:val="auto"/>
              </w:rPr>
            </w:pPr>
            <w:r>
              <w:rPr>
                <w:rFonts w:ascii="Arial" w:cs="Arial" w:eastAsia="Arial" w:hAnsi="Arial"/>
                <w:sz w:val="16"/>
                <w:szCs w:val="16"/>
                <w:color w:val="auto"/>
              </w:rPr>
              <w:t>58,034</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86,347</w:t>
            </w:r>
          </w:p>
        </w:tc>
        <w:tc>
          <w:tcPr>
            <w:tcW w:w="780" w:type="dxa"/>
            <w:vAlign w:val="bottom"/>
          </w:tcPr>
          <w:p>
            <w:pPr>
              <w:jc w:val="right"/>
              <w:ind w:right="79"/>
              <w:spacing w:after="0"/>
              <w:rPr>
                <w:sz w:val="20"/>
                <w:szCs w:val="20"/>
                <w:color w:val="auto"/>
              </w:rPr>
            </w:pPr>
            <w:r>
              <w:rPr>
                <w:rFonts w:ascii="Arial" w:cs="Arial" w:eastAsia="Arial" w:hAnsi="Arial"/>
                <w:sz w:val="16"/>
                <w:szCs w:val="16"/>
                <w:color w:val="auto"/>
              </w:rPr>
              <w:t>83,063</w:t>
            </w:r>
          </w:p>
        </w:tc>
        <w:tc>
          <w:tcPr>
            <w:tcW w:w="820" w:type="dxa"/>
            <w:vAlign w:val="bottom"/>
          </w:tcPr>
          <w:p>
            <w:pPr>
              <w:jc w:val="right"/>
              <w:ind w:right="119"/>
              <w:spacing w:after="0"/>
              <w:rPr>
                <w:sz w:val="20"/>
                <w:szCs w:val="20"/>
                <w:color w:val="auto"/>
              </w:rPr>
            </w:pPr>
            <w:r>
              <w:rPr>
                <w:rFonts w:ascii="Arial" w:cs="Arial" w:eastAsia="Arial" w:hAnsi="Arial"/>
                <w:sz w:val="16"/>
                <w:szCs w:val="16"/>
                <w:color w:val="auto"/>
              </w:rPr>
              <w:t>52,570</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280,014</w:t>
            </w:r>
          </w:p>
        </w:tc>
      </w:tr>
      <w:tr>
        <w:trPr>
          <w:trHeight w:val="223"/>
        </w:trPr>
        <w:tc>
          <w:tcPr>
            <w:tcW w:w="880" w:type="dxa"/>
            <w:vAlign w:val="bottom"/>
          </w:tcPr>
          <w:p>
            <w:pPr>
              <w:jc w:val="right"/>
              <w:ind w:right="39"/>
              <w:spacing w:after="0"/>
              <w:rPr>
                <w:sz w:val="20"/>
                <w:szCs w:val="20"/>
                <w:color w:val="auto"/>
              </w:rPr>
            </w:pPr>
            <w:r>
              <w:rPr>
                <w:rFonts w:ascii="Arial" w:cs="Arial" w:eastAsia="Arial" w:hAnsi="Arial"/>
                <w:sz w:val="16"/>
                <w:szCs w:val="16"/>
                <w:color w:val="auto"/>
              </w:rPr>
              <w:t>15.9 %</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19.8 %</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19.3 %</w:t>
            </w:r>
          </w:p>
        </w:tc>
        <w:tc>
          <w:tcPr>
            <w:tcW w:w="820" w:type="dxa"/>
            <w:vAlign w:val="bottom"/>
          </w:tcPr>
          <w:p>
            <w:pPr>
              <w:jc w:val="right"/>
              <w:ind w:right="59"/>
              <w:spacing w:after="0"/>
              <w:rPr>
                <w:sz w:val="20"/>
                <w:szCs w:val="20"/>
                <w:color w:val="auto"/>
              </w:rPr>
            </w:pPr>
            <w:r>
              <w:rPr>
                <w:rFonts w:ascii="Arial" w:cs="Arial" w:eastAsia="Arial" w:hAnsi="Arial"/>
                <w:sz w:val="16"/>
                <w:szCs w:val="16"/>
                <w:color w:val="auto"/>
              </w:rPr>
              <w:t>15.1 %</w:t>
            </w: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17.7 %</w:t>
            </w:r>
          </w:p>
        </w:tc>
      </w:tr>
    </w:tbl>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$371,662 $431,761 $447,696 $429,299 </w:t>
      </w:r>
      <w:r>
        <w:rPr>
          <w:rFonts w:ascii="Arial" w:cs="Arial" w:eastAsia="Arial" w:hAnsi="Arial"/>
          <w:sz w:val="16"/>
          <w:szCs w:val="16"/>
          <w:b w:val="1"/>
          <w:bCs w:val="1"/>
          <w:color w:val="auto"/>
        </w:rPr>
        <w:t>$1,680,418</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35,853</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35,533</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36,743</w:t>
            </w:r>
          </w:p>
        </w:tc>
        <w:tc>
          <w:tcPr>
            <w:tcW w:w="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36,943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145,072</w:t>
            </w:r>
          </w:p>
        </w:tc>
      </w:tr>
      <w:tr>
        <w:trPr>
          <w:trHeight w:val="216"/>
        </w:trPr>
        <w:tc>
          <w:tcPr>
            <w:tcW w:w="840" w:type="dxa"/>
            <w:vAlign w:val="bottom"/>
          </w:tcPr>
          <w:p>
            <w:pPr>
              <w:jc w:val="right"/>
              <w:ind w:right="39"/>
              <w:spacing w:after="0"/>
              <w:rPr>
                <w:sz w:val="20"/>
                <w:szCs w:val="20"/>
                <w:color w:val="auto"/>
              </w:rPr>
            </w:pPr>
            <w:r>
              <w:rPr>
                <w:rFonts w:ascii="Arial" w:cs="Arial" w:eastAsia="Arial" w:hAnsi="Arial"/>
                <w:sz w:val="16"/>
                <w:szCs w:val="16"/>
                <w:color w:val="auto"/>
              </w:rPr>
              <w:t>407,515</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467,294</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484,439</w:t>
            </w:r>
          </w:p>
        </w:tc>
        <w:tc>
          <w:tcPr>
            <w:tcW w:w="780" w:type="dxa"/>
            <w:vAlign w:val="bottom"/>
          </w:tcPr>
          <w:p>
            <w:pPr>
              <w:jc w:val="right"/>
              <w:ind w:right="39"/>
              <w:spacing w:after="0"/>
              <w:rPr>
                <w:sz w:val="20"/>
                <w:szCs w:val="20"/>
                <w:color w:val="auto"/>
              </w:rPr>
            </w:pPr>
            <w:r>
              <w:rPr>
                <w:rFonts w:ascii="Arial" w:cs="Arial" w:eastAsia="Arial" w:hAnsi="Arial"/>
                <w:sz w:val="16"/>
                <w:szCs w:val="16"/>
                <w:color w:val="auto"/>
              </w:rPr>
              <w:t>466,242</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1,825,490</w:t>
            </w:r>
          </w:p>
        </w:tc>
      </w:tr>
      <w:tr>
        <w:trPr>
          <w:trHeight w:val="364"/>
        </w:trPr>
        <w:tc>
          <w:tcPr>
            <w:tcW w:w="840" w:type="dxa"/>
            <w:vAlign w:val="bottom"/>
          </w:tcPr>
          <w:p>
            <w:pPr>
              <w:jc w:val="right"/>
              <w:spacing w:after="0"/>
              <w:rPr>
                <w:sz w:val="20"/>
                <w:szCs w:val="20"/>
                <w:color w:val="auto"/>
              </w:rPr>
            </w:pPr>
            <w:r>
              <w:rPr>
                <w:rFonts w:ascii="Arial" w:cs="Arial" w:eastAsia="Arial" w:hAnsi="Arial"/>
                <w:sz w:val="16"/>
                <w:szCs w:val="16"/>
                <w:color w:val="auto"/>
              </w:rPr>
              <w:t>21.6 %</w:t>
            </w:r>
          </w:p>
        </w:tc>
        <w:tc>
          <w:tcPr>
            <w:tcW w:w="780" w:type="dxa"/>
            <w:vAlign w:val="bottom"/>
          </w:tcPr>
          <w:p>
            <w:pPr>
              <w:jc w:val="right"/>
              <w:spacing w:after="0"/>
              <w:rPr>
                <w:sz w:val="20"/>
                <w:szCs w:val="20"/>
                <w:color w:val="auto"/>
              </w:rPr>
            </w:pPr>
            <w:r>
              <w:rPr>
                <w:rFonts w:ascii="Arial" w:cs="Arial" w:eastAsia="Arial" w:hAnsi="Arial"/>
                <w:sz w:val="16"/>
                <w:szCs w:val="16"/>
                <w:color w:val="auto"/>
              </w:rPr>
              <w:t>24.0 %</w:t>
            </w:r>
          </w:p>
        </w:tc>
        <w:tc>
          <w:tcPr>
            <w:tcW w:w="780" w:type="dxa"/>
            <w:vAlign w:val="bottom"/>
          </w:tcPr>
          <w:p>
            <w:pPr>
              <w:jc w:val="right"/>
              <w:spacing w:after="0"/>
              <w:rPr>
                <w:sz w:val="20"/>
                <w:szCs w:val="20"/>
                <w:color w:val="auto"/>
              </w:rPr>
            </w:pPr>
            <w:r>
              <w:rPr>
                <w:rFonts w:ascii="Arial" w:cs="Arial" w:eastAsia="Arial" w:hAnsi="Arial"/>
                <w:sz w:val="16"/>
                <w:szCs w:val="16"/>
                <w:color w:val="auto"/>
              </w:rPr>
              <w:t>24.4 %</w:t>
            </w:r>
          </w:p>
        </w:tc>
        <w:tc>
          <w:tcPr>
            <w:tcW w:w="780" w:type="dxa"/>
            <w:vAlign w:val="bottom"/>
          </w:tcPr>
          <w:p>
            <w:pPr>
              <w:jc w:val="right"/>
              <w:spacing w:after="0"/>
              <w:rPr>
                <w:sz w:val="20"/>
                <w:szCs w:val="20"/>
                <w:color w:val="auto"/>
              </w:rPr>
            </w:pPr>
            <w:r>
              <w:rPr>
                <w:rFonts w:ascii="Arial" w:cs="Arial" w:eastAsia="Arial" w:hAnsi="Arial"/>
                <w:sz w:val="16"/>
                <w:szCs w:val="16"/>
                <w:color w:val="auto"/>
              </w:rPr>
              <w:t>24.2 %</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23.6 %</w:t>
            </w:r>
          </w:p>
        </w:tc>
      </w:tr>
    </w:tbl>
    <w:p>
      <w:pPr>
        <w:spacing w:after="0" w:line="249" w:lineRule="exact"/>
        <w:rPr>
          <w:sz w:val="20"/>
          <w:szCs w:val="20"/>
          <w:color w:val="auto"/>
        </w:rPr>
      </w:pPr>
    </w:p>
    <w:p>
      <w:pPr>
        <w:sectPr>
          <w:pgSz w:w="11900" w:h="16838" w:orient="portrait"/>
          <w:cols w:equalWidth="0" w:num="2">
            <w:col w:w="6960" w:space="80"/>
            <w:col w:w="4060"/>
          </w:cols>
          <w:pgMar w:left="320" w:top="364" w:right="479" w:bottom="1440" w:gutter="0" w:footer="0" w:header="0"/>
          <w:type w:val="continuous"/>
        </w:sectPr>
      </w:pPr>
    </w:p>
    <w:p>
      <w:pPr>
        <w:ind w:left="180" w:right="40" w:hanging="6"/>
        <w:spacing w:after="0" w:line="212" w:lineRule="auto"/>
        <w:tabs>
          <w:tab w:leader="none" w:pos="268" w:val="left"/>
        </w:tabs>
        <w:numPr>
          <w:ilvl w:val="0"/>
          <w:numId w:val="13"/>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ind w:left="280" w:hanging="106"/>
        <w:spacing w:after="0" w:line="215" w:lineRule="auto"/>
        <w:tabs>
          <w:tab w:leader="none" w:pos="280" w:val="left"/>
        </w:tabs>
        <w:numPr>
          <w:ilvl w:val="0"/>
          <w:numId w:val="14"/>
        </w:numPr>
        <w:rPr>
          <w:rFonts w:ascii="Arial" w:cs="Arial" w:eastAsia="Arial" w:hAnsi="Arial"/>
          <w:sz w:val="21"/>
          <w:szCs w:val="21"/>
          <w:color w:val="auto"/>
          <w:vertAlign w:val="superscript"/>
        </w:rPr>
      </w:pPr>
      <w:r>
        <w:rPr>
          <w:rFonts w:ascii="Arial" w:cs="Arial" w:eastAsia="Arial" w:hAnsi="Arial"/>
          <w:sz w:val="16"/>
          <w:szCs w:val="16"/>
          <w:color w:val="auto"/>
        </w:rPr>
        <w:t>Refer to Non-GAAP Disclosures section for definition.</w:t>
      </w:r>
    </w:p>
    <w:p>
      <w:pPr>
        <w:ind w:left="280" w:hanging="106"/>
        <w:spacing w:after="0" w:line="215" w:lineRule="auto"/>
        <w:tabs>
          <w:tab w:leader="none" w:pos="280"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Refer to Quarterly Segment Information section for reconciliation of total segment earnings to earnings from continuing operations.</w:t>
      </w:r>
    </w:p>
    <w:p>
      <w:pPr>
        <w:spacing w:after="0" w:line="41" w:lineRule="exact"/>
        <w:rPr>
          <w:rFonts w:ascii="Arial" w:cs="Arial" w:eastAsia="Arial" w:hAnsi="Arial"/>
          <w:sz w:val="21"/>
          <w:szCs w:val="21"/>
          <w:color w:val="auto"/>
          <w:vertAlign w:val="superscript"/>
        </w:rPr>
      </w:pPr>
    </w:p>
    <w:p>
      <w:pPr>
        <w:ind w:left="5400"/>
        <w:spacing w:after="0"/>
        <w:rPr>
          <w:rFonts w:ascii="Arial" w:cs="Arial" w:eastAsia="Arial" w:hAnsi="Arial"/>
          <w:sz w:val="21"/>
          <w:szCs w:val="21"/>
          <w:color w:val="auto"/>
          <w:vertAlign w:val="superscript"/>
        </w:rPr>
      </w:pPr>
      <w:r>
        <w:rPr>
          <w:rFonts w:ascii="Arial" w:cs="Arial" w:eastAsia="Arial" w:hAnsi="Arial"/>
          <w:sz w:val="18"/>
          <w:szCs w:val="18"/>
          <w:color w:val="auto"/>
        </w:rPr>
        <w:t>IS - 7</w:t>
      </w:r>
    </w:p>
    <w:p>
      <w:pPr>
        <w:sectPr>
          <w:pgSz w:w="11900" w:h="16838" w:orient="portrait"/>
          <w:cols w:equalWidth="0" w:num="1">
            <w:col w:w="11100"/>
          </w:cols>
          <w:pgMar w:left="320" w:top="364" w:right="479" w:bottom="1440" w:gutter="0" w:footer="0" w:header="0"/>
          <w:type w:val="continuous"/>
        </w:sectPr>
      </w:pPr>
    </w:p>
    <w:bookmarkStart w:id="13" w:name="page14"/>
    <w:bookmarkEnd w:id="13"/>
    <w:p>
      <w:pPr>
        <w:ind w:left="4940"/>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auto"/>
        </w:rPr>
        <w:t>QUARTERLY EARNINGS FROM CONTINUING OPERATIONS TO ADJUSTED SEGMENT EBITDA RECONCILIATION (NON-GAAP)</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(unaudited)(in thousands)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Non-GAAP Reconciliations</w:t>
      </w:r>
    </w:p>
    <w:p>
      <w:pPr>
        <w:spacing w:after="0" w:line="30" w:lineRule="exact"/>
        <w:rPr>
          <w:sz w:val="20"/>
          <w:szCs w:val="20"/>
          <w:color w:val="auto"/>
        </w:rPr>
      </w:pPr>
    </w:p>
    <w:tbl>
      <w:tblPr>
        <w:tblLayout w:type="fixed"/>
        <w:tblInd w:w="80" w:type="dxa"/>
        <w:tblCellMar>
          <w:top w:w="0" w:type="dxa"/>
          <w:left w:w="0" w:type="dxa"/>
          <w:bottom w:w="0" w:type="dxa"/>
          <w:right w:w="0" w:type="dxa"/>
        </w:tblCellMar>
      </w:tblPr>
      <w:tr>
        <w:trPr>
          <w:trHeight w:val="217"/>
        </w:trPr>
        <w:tc>
          <w:tcPr>
            <w:tcW w:w="240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2025</w:t>
            </w:r>
          </w:p>
        </w:tc>
        <w:tc>
          <w:tcPr>
            <w:tcW w:w="8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2024</w:t>
            </w:r>
          </w:p>
        </w:tc>
        <w:tc>
          <w:tcPr>
            <w:tcW w:w="8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4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Q1</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Q4</w:t>
            </w:r>
          </w:p>
        </w:tc>
        <w:tc>
          <w:tcPr>
            <w:tcW w:w="9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2025</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Q1</w:t>
            </w:r>
          </w:p>
        </w:tc>
        <w:tc>
          <w:tcPr>
            <w:tcW w:w="82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Q2</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Q3</w:t>
            </w:r>
          </w:p>
        </w:tc>
        <w:tc>
          <w:tcPr>
            <w:tcW w:w="8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Q4</w:t>
            </w:r>
          </w:p>
        </w:tc>
        <w:tc>
          <w:tcPr>
            <w:tcW w:w="9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FY 2024</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Earnings from continuing</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$ 239,241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$ 280,130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$ 303,292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$ 274,766</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$ 1,097,429</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$ 602,102</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$ 246,587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$ 312,896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$ 238,383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$ 1,399,968</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Provision for income taxes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56,140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71,967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82,951</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65,765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276,823</w:t>
            </w:r>
          </w:p>
        </w:tc>
        <w:tc>
          <w:tcPr>
            <w:tcW w:w="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157,577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60,770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73,434</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65,267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357,048</w:t>
            </w:r>
          </w:p>
        </w:tc>
        <w:tc>
          <w:tcPr>
            <w:tcW w:w="0" w:type="dxa"/>
            <w:vAlign w:val="bottom"/>
          </w:tcPr>
          <w:p>
            <w:pPr>
              <w:spacing w:after="0"/>
              <w:rPr>
                <w:sz w:val="1"/>
                <w:szCs w:val="1"/>
                <w:color w:val="auto"/>
              </w:rPr>
            </w:pPr>
          </w:p>
        </w:tc>
      </w:tr>
      <w:tr>
        <w:trPr>
          <w:trHeight w:val="142"/>
        </w:trPr>
        <w:tc>
          <w:tcPr>
            <w:tcW w:w="24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Earnings before provision for</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295,381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352,097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386,243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340,531</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1,374,252</w:t>
            </w:r>
          </w:p>
        </w:tc>
        <w:tc>
          <w:tcPr>
            <w:tcW w:w="8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759,679</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307,357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386,330</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303,650</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1,757,016</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w:t>
            </w: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rPr>
                <w:sz w:val="20"/>
                <w:szCs w:val="20"/>
                <w:color w:val="auto"/>
              </w:rPr>
            </w:pPr>
            <w:r>
              <w:rPr>
                <w:rFonts w:ascii="Arial" w:cs="Arial" w:eastAsia="Arial" w:hAnsi="Arial"/>
                <w:sz w:val="16"/>
                <w:szCs w:val="16"/>
                <w:color w:val="auto"/>
              </w:rPr>
              <w:t>Interest income</w:t>
            </w:r>
          </w:p>
        </w:tc>
        <w:tc>
          <w:tcPr>
            <w:tcW w:w="820" w:type="dxa"/>
            <w:vAlign w:val="bottom"/>
          </w:tcPr>
          <w:p>
            <w:pPr>
              <w:jc w:val="right"/>
              <w:spacing w:after="0"/>
              <w:rPr>
                <w:sz w:val="20"/>
                <w:szCs w:val="20"/>
                <w:color w:val="auto"/>
              </w:rPr>
            </w:pPr>
            <w:r>
              <w:rPr>
                <w:rFonts w:ascii="Arial" w:cs="Arial" w:eastAsia="Arial" w:hAnsi="Arial"/>
                <w:sz w:val="16"/>
                <w:szCs w:val="16"/>
                <w:color w:val="auto"/>
              </w:rPr>
              <w:t>(20,254)</w:t>
            </w:r>
          </w:p>
        </w:tc>
        <w:tc>
          <w:tcPr>
            <w:tcW w:w="840" w:type="dxa"/>
            <w:vAlign w:val="bottom"/>
          </w:tcPr>
          <w:p>
            <w:pPr>
              <w:jc w:val="right"/>
              <w:spacing w:after="0"/>
              <w:rPr>
                <w:sz w:val="20"/>
                <w:szCs w:val="20"/>
                <w:color w:val="auto"/>
              </w:rPr>
            </w:pPr>
            <w:r>
              <w:rPr>
                <w:rFonts w:ascii="Arial" w:cs="Arial" w:eastAsia="Arial" w:hAnsi="Arial"/>
                <w:sz w:val="16"/>
                <w:szCs w:val="16"/>
                <w:color w:val="auto"/>
              </w:rPr>
              <w:t>(17,935)</w:t>
            </w:r>
          </w:p>
        </w:tc>
        <w:tc>
          <w:tcPr>
            <w:tcW w:w="840" w:type="dxa"/>
            <w:vAlign w:val="bottom"/>
          </w:tcPr>
          <w:p>
            <w:pPr>
              <w:jc w:val="right"/>
              <w:spacing w:after="0"/>
              <w:rPr>
                <w:sz w:val="20"/>
                <w:szCs w:val="20"/>
                <w:color w:val="auto"/>
              </w:rPr>
            </w:pPr>
            <w:r>
              <w:rPr>
                <w:rFonts w:ascii="Arial" w:cs="Arial" w:eastAsia="Arial" w:hAnsi="Arial"/>
                <w:sz w:val="16"/>
                <w:szCs w:val="16"/>
                <w:color w:val="auto"/>
              </w:rPr>
              <w:t>(17,804)</w:t>
            </w:r>
          </w:p>
        </w:tc>
        <w:tc>
          <w:tcPr>
            <w:tcW w:w="840" w:type="dxa"/>
            <w:vAlign w:val="bottom"/>
          </w:tcPr>
          <w:p>
            <w:pPr>
              <w:jc w:val="right"/>
              <w:spacing w:after="0"/>
              <w:rPr>
                <w:sz w:val="20"/>
                <w:szCs w:val="20"/>
                <w:color w:val="auto"/>
              </w:rPr>
            </w:pPr>
            <w:r>
              <w:rPr>
                <w:rFonts w:ascii="Arial" w:cs="Arial" w:eastAsia="Arial" w:hAnsi="Arial"/>
                <w:sz w:val="16"/>
                <w:szCs w:val="16"/>
                <w:color w:val="auto"/>
              </w:rPr>
              <w:t>(17,039)</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(73,032)</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(4,756)</w:t>
            </w:r>
          </w:p>
        </w:tc>
        <w:tc>
          <w:tcPr>
            <w:tcW w:w="820" w:type="dxa"/>
            <w:vAlign w:val="bottom"/>
          </w:tcPr>
          <w:p>
            <w:pPr>
              <w:jc w:val="right"/>
              <w:spacing w:after="0"/>
              <w:rPr>
                <w:sz w:val="20"/>
                <w:szCs w:val="20"/>
                <w:color w:val="auto"/>
              </w:rPr>
            </w:pPr>
            <w:r>
              <w:rPr>
                <w:rFonts w:ascii="Arial" w:cs="Arial" w:eastAsia="Arial" w:hAnsi="Arial"/>
                <w:sz w:val="16"/>
                <w:szCs w:val="16"/>
                <w:color w:val="auto"/>
              </w:rPr>
              <w:t>(4,081)</w:t>
            </w:r>
          </w:p>
        </w:tc>
        <w:tc>
          <w:tcPr>
            <w:tcW w:w="840" w:type="dxa"/>
            <w:vAlign w:val="bottom"/>
          </w:tcPr>
          <w:p>
            <w:pPr>
              <w:jc w:val="right"/>
              <w:spacing w:after="0"/>
              <w:rPr>
                <w:sz w:val="20"/>
                <w:szCs w:val="20"/>
                <w:color w:val="auto"/>
              </w:rPr>
            </w:pPr>
            <w:r>
              <w:rPr>
                <w:rFonts w:ascii="Arial" w:cs="Arial" w:eastAsia="Arial" w:hAnsi="Arial"/>
                <w:sz w:val="16"/>
                <w:szCs w:val="16"/>
                <w:color w:val="auto"/>
              </w:rPr>
              <w:t>(5,176)</w:t>
            </w:r>
          </w:p>
        </w:tc>
        <w:tc>
          <w:tcPr>
            <w:tcW w:w="840" w:type="dxa"/>
            <w:vAlign w:val="bottom"/>
          </w:tcPr>
          <w:p>
            <w:pPr>
              <w:jc w:val="right"/>
              <w:spacing w:after="0"/>
              <w:rPr>
                <w:sz w:val="20"/>
                <w:szCs w:val="20"/>
                <w:color w:val="auto"/>
              </w:rPr>
            </w:pPr>
            <w:r>
              <w:rPr>
                <w:rFonts w:ascii="Arial" w:cs="Arial" w:eastAsia="Arial" w:hAnsi="Arial"/>
                <w:sz w:val="16"/>
                <w:szCs w:val="16"/>
                <w:color w:val="auto"/>
              </w:rPr>
              <w:t>(23,145)</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(37,158)</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27,608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26,791</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27,239</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28,134</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109,772</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36,365</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32,374</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34,128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28,304</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131,171</w:t>
            </w: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Corporate expense / other </w:t>
            </w:r>
            <w:r>
              <w:rPr>
                <w:rFonts w:ascii="Arial" w:cs="Arial" w:eastAsia="Arial" w:hAnsi="Arial"/>
                <w:sz w:val="21"/>
                <w:szCs w:val="21"/>
                <w:color w:val="auto"/>
                <w:vertAlign w:val="superscript"/>
              </w:rPr>
              <w:t>1</w:t>
            </w:r>
          </w:p>
        </w:tc>
        <w:tc>
          <w:tcPr>
            <w:tcW w:w="820" w:type="dxa"/>
            <w:vAlign w:val="bottom"/>
          </w:tcPr>
          <w:p>
            <w:pPr>
              <w:jc w:val="right"/>
              <w:spacing w:after="0"/>
              <w:rPr>
                <w:sz w:val="20"/>
                <w:szCs w:val="20"/>
                <w:color w:val="auto"/>
              </w:rPr>
            </w:pPr>
            <w:r>
              <w:rPr>
                <w:rFonts w:ascii="Arial" w:cs="Arial" w:eastAsia="Arial" w:hAnsi="Arial"/>
                <w:sz w:val="16"/>
                <w:szCs w:val="16"/>
                <w:color w:val="auto"/>
              </w:rPr>
              <w:t>51,959</w:t>
            </w:r>
          </w:p>
        </w:tc>
        <w:tc>
          <w:tcPr>
            <w:tcW w:w="840" w:type="dxa"/>
            <w:vAlign w:val="bottom"/>
          </w:tcPr>
          <w:p>
            <w:pPr>
              <w:jc w:val="right"/>
              <w:spacing w:after="0"/>
              <w:rPr>
                <w:sz w:val="20"/>
                <w:szCs w:val="20"/>
                <w:color w:val="auto"/>
              </w:rPr>
            </w:pPr>
            <w:r>
              <w:rPr>
                <w:rFonts w:ascii="Arial" w:cs="Arial" w:eastAsia="Arial" w:hAnsi="Arial"/>
                <w:sz w:val="16"/>
                <w:szCs w:val="16"/>
                <w:color w:val="auto"/>
              </w:rPr>
              <w:t>41,875</w:t>
            </w:r>
          </w:p>
        </w:tc>
        <w:tc>
          <w:tcPr>
            <w:tcW w:w="840" w:type="dxa"/>
            <w:vAlign w:val="bottom"/>
          </w:tcPr>
          <w:p>
            <w:pPr>
              <w:jc w:val="right"/>
              <w:spacing w:after="0"/>
              <w:rPr>
                <w:sz w:val="20"/>
                <w:szCs w:val="20"/>
                <w:color w:val="auto"/>
              </w:rPr>
            </w:pPr>
            <w:r>
              <w:rPr>
                <w:rFonts w:ascii="Arial" w:cs="Arial" w:eastAsia="Arial" w:hAnsi="Arial"/>
                <w:sz w:val="16"/>
                <w:szCs w:val="16"/>
                <w:color w:val="auto"/>
              </w:rPr>
              <w:t>31,515</w:t>
            </w:r>
          </w:p>
        </w:tc>
        <w:tc>
          <w:tcPr>
            <w:tcW w:w="840" w:type="dxa"/>
            <w:vAlign w:val="bottom"/>
          </w:tcPr>
          <w:p>
            <w:pPr>
              <w:jc w:val="right"/>
              <w:spacing w:after="0"/>
              <w:rPr>
                <w:sz w:val="20"/>
                <w:szCs w:val="20"/>
                <w:color w:val="auto"/>
              </w:rPr>
            </w:pPr>
            <w:r>
              <w:rPr>
                <w:rFonts w:ascii="Arial" w:cs="Arial" w:eastAsia="Arial" w:hAnsi="Arial"/>
                <w:sz w:val="16"/>
                <w:szCs w:val="16"/>
                <w:color w:val="auto"/>
              </w:rPr>
              <w:t>39,190</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164,539</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42,159</w:t>
            </w:r>
          </w:p>
        </w:tc>
        <w:tc>
          <w:tcPr>
            <w:tcW w:w="820" w:type="dxa"/>
            <w:vAlign w:val="bottom"/>
          </w:tcPr>
          <w:p>
            <w:pPr>
              <w:jc w:val="right"/>
              <w:spacing w:after="0"/>
              <w:rPr>
                <w:sz w:val="20"/>
                <w:szCs w:val="20"/>
                <w:color w:val="auto"/>
              </w:rPr>
            </w:pPr>
            <w:r>
              <w:rPr>
                <w:rFonts w:ascii="Arial" w:cs="Arial" w:eastAsia="Arial" w:hAnsi="Arial"/>
                <w:sz w:val="16"/>
                <w:szCs w:val="16"/>
                <w:color w:val="auto"/>
              </w:rPr>
              <w:t>39,526</w:t>
            </w:r>
          </w:p>
        </w:tc>
        <w:tc>
          <w:tcPr>
            <w:tcW w:w="840" w:type="dxa"/>
            <w:vAlign w:val="bottom"/>
          </w:tcPr>
          <w:p>
            <w:pPr>
              <w:jc w:val="right"/>
              <w:spacing w:after="0"/>
              <w:rPr>
                <w:sz w:val="20"/>
                <w:szCs w:val="20"/>
                <w:color w:val="auto"/>
              </w:rPr>
            </w:pPr>
            <w:r>
              <w:rPr>
                <w:rFonts w:ascii="Arial" w:cs="Arial" w:eastAsia="Arial" w:hAnsi="Arial"/>
                <w:sz w:val="16"/>
                <w:szCs w:val="16"/>
                <w:color w:val="auto"/>
              </w:rPr>
              <w:t>36,110</w:t>
            </w:r>
          </w:p>
        </w:tc>
        <w:tc>
          <w:tcPr>
            <w:tcW w:w="840" w:type="dxa"/>
            <w:vAlign w:val="bottom"/>
          </w:tcPr>
          <w:p>
            <w:pPr>
              <w:jc w:val="right"/>
              <w:spacing w:after="0"/>
              <w:rPr>
                <w:sz w:val="20"/>
                <w:szCs w:val="20"/>
                <w:color w:val="auto"/>
              </w:rPr>
            </w:pPr>
            <w:r>
              <w:rPr>
                <w:rFonts w:ascii="Arial" w:cs="Arial" w:eastAsia="Arial" w:hAnsi="Arial"/>
                <w:sz w:val="16"/>
                <w:szCs w:val="16"/>
                <w:color w:val="auto"/>
              </w:rPr>
              <w:t>38,168</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155,963</w:t>
            </w:r>
          </w:p>
        </w:tc>
        <w:tc>
          <w:tcPr>
            <w:tcW w:w="0" w:type="dxa"/>
            <w:vAlign w:val="bottom"/>
          </w:tcPr>
          <w:p>
            <w:pPr>
              <w:spacing w:after="0"/>
              <w:rPr>
                <w:sz w:val="1"/>
                <w:szCs w:val="1"/>
                <w:color w:val="auto"/>
              </w:rPr>
            </w:pPr>
          </w:p>
        </w:tc>
      </w:tr>
      <w:tr>
        <w:trPr>
          <w:trHeight w:val="216"/>
        </w:trPr>
        <w:tc>
          <w:tcPr>
            <w:tcW w:w="2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(Gain) loss on dispositions </w:t>
            </w:r>
            <w:r>
              <w:rPr>
                <w:rFonts w:ascii="Arial" w:cs="Arial" w:eastAsia="Arial" w:hAnsi="Arial"/>
                <w:sz w:val="21"/>
                <w:szCs w:val="21"/>
                <w:color w:val="auto"/>
                <w:vertAlign w:val="superscript"/>
              </w:rPr>
              <w:t>2</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(2,176)</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(4,644)</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(529,943)</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(68,633)</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(597,798)</w:t>
            </w:r>
          </w:p>
        </w:tc>
        <w:tc>
          <w:tcPr>
            <w:tcW w:w="0" w:type="dxa"/>
            <w:vAlign w:val="bottom"/>
          </w:tcPr>
          <w:p>
            <w:pPr>
              <w:spacing w:after="0"/>
              <w:rPr>
                <w:sz w:val="1"/>
                <w:szCs w:val="1"/>
                <w:color w:val="auto"/>
              </w:rPr>
            </w:pPr>
          </w:p>
        </w:tc>
      </w:tr>
      <w:tr>
        <w:trPr>
          <w:trHeight w:val="216"/>
        </w:trPr>
        <w:tc>
          <w:tcPr>
            <w:tcW w:w="24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Restructuring and other costs </w:t>
            </w:r>
            <w:r>
              <w:rPr>
                <w:rFonts w:ascii="Arial" w:cs="Arial" w:eastAsia="Arial" w:hAnsi="Arial"/>
                <w:sz w:val="21"/>
                <w:szCs w:val="21"/>
                <w:color w:val="auto"/>
                <w:vertAlign w:val="superscript"/>
              </w:rPr>
              <w:t>3</w:t>
            </w:r>
          </w:p>
        </w:tc>
        <w:tc>
          <w:tcPr>
            <w:tcW w:w="820" w:type="dxa"/>
            <w:vAlign w:val="bottom"/>
          </w:tcPr>
          <w:p>
            <w:pPr>
              <w:jc w:val="right"/>
              <w:spacing w:after="0"/>
              <w:rPr>
                <w:sz w:val="20"/>
                <w:szCs w:val="20"/>
                <w:color w:val="auto"/>
              </w:rPr>
            </w:pPr>
            <w:r>
              <w:rPr>
                <w:rFonts w:ascii="Arial" w:cs="Arial" w:eastAsia="Arial" w:hAnsi="Arial"/>
                <w:sz w:val="16"/>
                <w:szCs w:val="16"/>
                <w:color w:val="auto"/>
              </w:rPr>
              <w:t>9,397</w:t>
            </w:r>
          </w:p>
        </w:tc>
        <w:tc>
          <w:tcPr>
            <w:tcW w:w="840" w:type="dxa"/>
            <w:vAlign w:val="bottom"/>
          </w:tcPr>
          <w:p>
            <w:pPr>
              <w:jc w:val="right"/>
              <w:spacing w:after="0"/>
              <w:rPr>
                <w:sz w:val="20"/>
                <w:szCs w:val="20"/>
                <w:color w:val="auto"/>
              </w:rPr>
            </w:pPr>
            <w:r>
              <w:rPr>
                <w:rFonts w:ascii="Arial" w:cs="Arial" w:eastAsia="Arial" w:hAnsi="Arial"/>
                <w:sz w:val="16"/>
                <w:szCs w:val="16"/>
                <w:color w:val="auto"/>
              </w:rPr>
              <w:t>23,210</w:t>
            </w:r>
          </w:p>
        </w:tc>
        <w:tc>
          <w:tcPr>
            <w:tcW w:w="840" w:type="dxa"/>
            <w:vAlign w:val="bottom"/>
          </w:tcPr>
          <w:p>
            <w:pPr>
              <w:jc w:val="right"/>
              <w:spacing w:after="0"/>
              <w:rPr>
                <w:sz w:val="20"/>
                <w:szCs w:val="20"/>
                <w:color w:val="auto"/>
              </w:rPr>
            </w:pPr>
            <w:r>
              <w:rPr>
                <w:rFonts w:ascii="Arial" w:cs="Arial" w:eastAsia="Arial" w:hAnsi="Arial"/>
                <w:sz w:val="16"/>
                <w:szCs w:val="16"/>
                <w:color w:val="auto"/>
              </w:rPr>
              <w:t>15,913</w:t>
            </w:r>
          </w:p>
        </w:tc>
        <w:tc>
          <w:tcPr>
            <w:tcW w:w="840" w:type="dxa"/>
            <w:vAlign w:val="bottom"/>
          </w:tcPr>
          <w:p>
            <w:pPr>
              <w:jc w:val="right"/>
              <w:spacing w:after="0"/>
              <w:rPr>
                <w:sz w:val="20"/>
                <w:szCs w:val="20"/>
                <w:color w:val="auto"/>
              </w:rPr>
            </w:pPr>
            <w:r>
              <w:rPr>
                <w:rFonts w:ascii="Arial" w:cs="Arial" w:eastAsia="Arial" w:hAnsi="Arial"/>
                <w:sz w:val="16"/>
                <w:szCs w:val="16"/>
                <w:color w:val="auto"/>
              </w:rPr>
              <w:t>29,466</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77,986</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23,971</w:t>
            </w:r>
          </w:p>
        </w:tc>
        <w:tc>
          <w:tcPr>
            <w:tcW w:w="820" w:type="dxa"/>
            <w:vAlign w:val="bottom"/>
          </w:tcPr>
          <w:p>
            <w:pPr>
              <w:jc w:val="right"/>
              <w:spacing w:after="0"/>
              <w:rPr>
                <w:sz w:val="20"/>
                <w:szCs w:val="20"/>
                <w:color w:val="auto"/>
              </w:rPr>
            </w:pPr>
            <w:r>
              <w:rPr>
                <w:rFonts w:ascii="Arial" w:cs="Arial" w:eastAsia="Arial" w:hAnsi="Arial"/>
                <w:sz w:val="16"/>
                <w:szCs w:val="16"/>
                <w:color w:val="auto"/>
              </w:rPr>
              <w:t>11,590</w:t>
            </w:r>
          </w:p>
        </w:tc>
        <w:tc>
          <w:tcPr>
            <w:tcW w:w="840" w:type="dxa"/>
            <w:vAlign w:val="bottom"/>
          </w:tcPr>
          <w:p>
            <w:pPr>
              <w:jc w:val="right"/>
              <w:spacing w:after="0"/>
              <w:rPr>
                <w:sz w:val="20"/>
                <w:szCs w:val="20"/>
                <w:color w:val="auto"/>
              </w:rPr>
            </w:pPr>
            <w:r>
              <w:rPr>
                <w:rFonts w:ascii="Arial" w:cs="Arial" w:eastAsia="Arial" w:hAnsi="Arial"/>
                <w:sz w:val="16"/>
                <w:szCs w:val="16"/>
                <w:color w:val="auto"/>
              </w:rPr>
              <w:t>16,581</w:t>
            </w:r>
          </w:p>
        </w:tc>
        <w:tc>
          <w:tcPr>
            <w:tcW w:w="840" w:type="dxa"/>
            <w:vAlign w:val="bottom"/>
          </w:tcPr>
          <w:p>
            <w:pPr>
              <w:jc w:val="right"/>
              <w:spacing w:after="0"/>
              <w:rPr>
                <w:sz w:val="20"/>
                <w:szCs w:val="20"/>
                <w:color w:val="auto"/>
              </w:rPr>
            </w:pPr>
            <w:r>
              <w:rPr>
                <w:rFonts w:ascii="Arial" w:cs="Arial" w:eastAsia="Arial" w:hAnsi="Arial"/>
                <w:sz w:val="16"/>
                <w:szCs w:val="16"/>
                <w:color w:val="auto"/>
              </w:rPr>
              <w:t>32,841</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84,983</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Purchase accounting expenses</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49,104</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51,123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59,381</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58,837</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218,445</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44,187</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44,332</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48,356</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49,366</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186,241</w:t>
            </w:r>
          </w:p>
        </w:tc>
        <w:tc>
          <w:tcPr>
            <w:tcW w:w="0" w:type="dxa"/>
            <w:vAlign w:val="bottom"/>
          </w:tcPr>
          <w:p>
            <w:pPr>
              <w:spacing w:after="0"/>
              <w:rPr>
                <w:sz w:val="1"/>
                <w:szCs w:val="1"/>
                <w:color w:val="auto"/>
              </w:rPr>
            </w:pPr>
          </w:p>
        </w:tc>
      </w:tr>
      <w:tr>
        <w:trPr>
          <w:trHeight w:val="162"/>
        </w:trPr>
        <w:tc>
          <w:tcPr>
            <w:tcW w:w="2400" w:type="dxa"/>
            <w:vAlign w:val="bottom"/>
            <w:tcBorders>
              <w:bottom w:val="single" w:sz="8" w:color="CCEEFF"/>
            </w:tcBorders>
            <w:shd w:val="clear" w:color="auto" w:fill="CCEEFF"/>
          </w:tcPr>
          <w:p>
            <w:pPr>
              <w:ind w:left="20"/>
              <w:spacing w:after="0" w:line="108" w:lineRule="exact"/>
              <w:rPr>
                <w:sz w:val="20"/>
                <w:szCs w:val="20"/>
                <w:color w:val="auto"/>
              </w:rPr>
            </w:pPr>
            <w:r>
              <w:rPr>
                <w:rFonts w:ascii="Arial" w:cs="Arial" w:eastAsia="Arial" w:hAnsi="Arial"/>
                <w:sz w:val="11"/>
                <w:szCs w:val="11"/>
                <w:color w:val="auto"/>
              </w:rPr>
              <w:t>4</w:t>
            </w: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9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2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840" w:type="dxa"/>
            <w:vAlign w:val="bottom"/>
            <w:tcBorders>
              <w:bottom w:val="single" w:sz="8" w:color="CCEEFF"/>
            </w:tcBorders>
            <w:vMerge w:val="continue"/>
            <w:shd w:val="clear" w:color="auto" w:fill="CCEEFF"/>
          </w:tcPr>
          <w:p>
            <w:pPr>
              <w:spacing w:after="0"/>
              <w:rPr>
                <w:sz w:val="14"/>
                <w:szCs w:val="14"/>
                <w:color w:val="auto"/>
              </w:rPr>
            </w:pPr>
          </w:p>
        </w:tc>
        <w:tc>
          <w:tcPr>
            <w:tcW w:w="98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00" w:type="dxa"/>
            <w:vAlign w:val="bottom"/>
          </w:tcPr>
          <w:p>
            <w:pPr>
              <w:ind w:left="20"/>
              <w:spacing w:after="0" w:line="210" w:lineRule="exact"/>
              <w:rPr>
                <w:sz w:val="20"/>
                <w:szCs w:val="20"/>
                <w:color w:val="auto"/>
              </w:rPr>
            </w:pPr>
            <w:r>
              <w:rPr>
                <w:rFonts w:ascii="Arial" w:cs="Arial" w:eastAsia="Arial" w:hAnsi="Arial"/>
                <w:sz w:val="16"/>
                <w:szCs w:val="16"/>
                <w:color w:val="auto"/>
              </w:rPr>
              <w:t xml:space="preserve">Total segment earnings </w:t>
            </w:r>
            <w:r>
              <w:rPr>
                <w:rFonts w:ascii="Arial" w:cs="Arial" w:eastAsia="Arial" w:hAnsi="Arial"/>
                <w:sz w:val="21"/>
                <w:szCs w:val="21"/>
                <w:color w:val="auto"/>
                <w:vertAlign w:val="superscript"/>
              </w:rPr>
              <w:t>5</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410,727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474,985</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502,487</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479,119</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1,867,318</w:t>
            </w: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371,662</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431,761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447,696</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429,299</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1,680,418</w:t>
            </w:r>
          </w:p>
        </w:tc>
        <w:tc>
          <w:tcPr>
            <w:tcW w:w="0" w:type="dxa"/>
            <w:vAlign w:val="bottom"/>
          </w:tcPr>
          <w:p>
            <w:pPr>
              <w:spacing w:after="0"/>
              <w:rPr>
                <w:sz w:val="1"/>
                <w:szCs w:val="1"/>
                <w:color w:val="auto"/>
              </w:rPr>
            </w:pPr>
          </w:p>
        </w:tc>
      </w:tr>
      <w:tr>
        <w:trPr>
          <w:trHeight w:val="162"/>
        </w:trPr>
        <w:tc>
          <w:tcPr>
            <w:tcW w:w="240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Add: Other depreciation and</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37,397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39,067</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40,223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41,752</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158,439</w:t>
            </w:r>
          </w:p>
        </w:tc>
        <w:tc>
          <w:tcPr>
            <w:tcW w:w="8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35,853</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35,533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36,743</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36,943</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145,072</w:t>
            </w:r>
          </w:p>
        </w:tc>
        <w:tc>
          <w:tcPr>
            <w:tcW w:w="0" w:type="dxa"/>
            <w:vAlign w:val="bottom"/>
          </w:tcPr>
          <w:p>
            <w:pPr>
              <w:spacing w:after="0"/>
              <w:rPr>
                <w:sz w:val="1"/>
                <w:szCs w:val="1"/>
                <w:color w:val="auto"/>
              </w:rPr>
            </w:pPr>
          </w:p>
        </w:tc>
      </w:tr>
      <w:tr>
        <w:trPr>
          <w:trHeight w:val="221"/>
        </w:trPr>
        <w:tc>
          <w:tcPr>
            <w:tcW w:w="24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amortization </w:t>
            </w:r>
            <w:r>
              <w:rPr>
                <w:rFonts w:ascii="Arial" w:cs="Arial" w:eastAsia="Arial" w:hAnsi="Arial"/>
                <w:sz w:val="21"/>
                <w:szCs w:val="21"/>
                <w:color w:val="auto"/>
                <w:vertAlign w:val="superscript"/>
              </w:rPr>
              <w:t>6</w:t>
            </w: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400" w:type="dxa"/>
            <w:vAlign w:val="bottom"/>
          </w:tcPr>
          <w:p>
            <w:pPr>
              <w:ind w:left="20"/>
              <w:spacing w:after="0" w:line="142" w:lineRule="exact"/>
              <w:rPr>
                <w:sz w:val="20"/>
                <w:szCs w:val="20"/>
                <w:color w:val="auto"/>
              </w:rPr>
            </w:pPr>
            <w:r>
              <w:rPr>
                <w:rFonts w:ascii="Arial" w:cs="Arial" w:eastAsia="Arial" w:hAnsi="Arial"/>
                <w:sz w:val="16"/>
                <w:szCs w:val="16"/>
                <w:color w:val="auto"/>
              </w:rPr>
              <w:t>Total adjusted segment EBITDA</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$ 448,124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$ 514,052</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$ 542,710</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$ 520,871</w:t>
            </w:r>
          </w:p>
        </w:tc>
        <w:tc>
          <w:tcPr>
            <w:tcW w:w="9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$ 2,025,757</w:t>
            </w:r>
          </w:p>
        </w:tc>
        <w:tc>
          <w:tcPr>
            <w:tcW w:w="8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$ 407,515</w:t>
            </w: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$ 467,294</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$ 484,439</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$ 466,242</w:t>
            </w:r>
          </w:p>
        </w:tc>
        <w:tc>
          <w:tcPr>
            <w:tcW w:w="9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$ 1,825,490</w:t>
            </w:r>
          </w:p>
        </w:tc>
        <w:tc>
          <w:tcPr>
            <w:tcW w:w="0" w:type="dxa"/>
            <w:vAlign w:val="bottom"/>
          </w:tcPr>
          <w:p>
            <w:pPr>
              <w:spacing w:after="0"/>
              <w:rPr>
                <w:sz w:val="1"/>
                <w:szCs w:val="1"/>
                <w:color w:val="auto"/>
              </w:rPr>
            </w:pPr>
          </w:p>
        </w:tc>
      </w:tr>
      <w:tr>
        <w:trPr>
          <w:trHeight w:val="140"/>
        </w:trPr>
        <w:tc>
          <w:tcPr>
            <w:tcW w:w="2400" w:type="dxa"/>
            <w:vAlign w:val="bottom"/>
          </w:tcPr>
          <w:p>
            <w:pPr>
              <w:ind w:left="20"/>
              <w:spacing w:after="0"/>
              <w:rPr>
                <w:sz w:val="20"/>
                <w:szCs w:val="20"/>
                <w:color w:val="auto"/>
              </w:rPr>
            </w:pPr>
            <w:r>
              <w:rPr>
                <w:rFonts w:ascii="Arial" w:cs="Arial" w:eastAsia="Arial" w:hAnsi="Arial"/>
                <w:sz w:val="11"/>
                <w:szCs w:val="11"/>
                <w:color w:val="auto"/>
              </w:rPr>
              <w:t>5</w:t>
            </w:r>
          </w:p>
        </w:tc>
        <w:tc>
          <w:tcPr>
            <w:tcW w:w="8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100" w:right="40"/>
        <w:spacing w:after="0" w:line="212"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 xml:space="preserve"> Certain expenses are maintained at the corporate level and not allocated to the segments. These expenses include executive and functional compensation costs, non-service pension costs, non-operating insurance expenses, shared business services and digital and IT overhead costs, deal related expenses and various administrative expenses relating to the corporate headquarters.</w:t>
      </w:r>
    </w:p>
    <w:p>
      <w:pPr>
        <w:spacing w:after="0" w:line="15" w:lineRule="exact"/>
        <w:rPr>
          <w:sz w:val="20"/>
          <w:szCs w:val="20"/>
          <w:color w:val="auto"/>
        </w:rPr>
      </w:pPr>
    </w:p>
    <w:p>
      <w:pPr>
        <w:ind w:left="200" w:hanging="100"/>
        <w:spacing w:after="0"/>
        <w:tabs>
          <w:tab w:leader="none" w:pos="200" w:val="left"/>
        </w:tabs>
        <w:numPr>
          <w:ilvl w:val="0"/>
          <w:numId w:val="16"/>
        </w:numPr>
        <w:rPr>
          <w:rFonts w:ascii="Arial" w:cs="Arial" w:eastAsia="Arial" w:hAnsi="Arial"/>
          <w:sz w:val="21"/>
          <w:szCs w:val="21"/>
          <w:color w:val="auto"/>
          <w:vertAlign w:val="superscript"/>
        </w:rPr>
      </w:pPr>
      <w:r>
        <w:rPr>
          <w:rFonts w:ascii="Arial" w:cs="Arial" w:eastAsia="Arial" w:hAnsi="Arial"/>
          <w:sz w:val="16"/>
          <w:szCs w:val="16"/>
          <w:color w:val="auto"/>
        </w:rPr>
        <w:t>(Gain) loss on dispositions, including post-closing adjustments.</w:t>
      </w:r>
    </w:p>
    <w:p>
      <w:pPr>
        <w:spacing w:after="0" w:line="15" w:lineRule="exact"/>
        <w:rPr>
          <w:sz w:val="20"/>
          <w:szCs w:val="20"/>
          <w:color w:val="auto"/>
        </w:rPr>
      </w:pPr>
    </w:p>
    <w:p>
      <w:pPr>
        <w:ind w:left="100" w:right="40"/>
        <w:spacing w:after="0" w:line="204" w:lineRule="auto"/>
        <w:tabs>
          <w:tab w:leader="none" w:pos="223"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Restructuring and other costs relate to actions taken for headcount reductions, facility consolidations and site closures, product line exits, and other asset charges.</w:t>
      </w:r>
    </w:p>
    <w:p>
      <w:pPr>
        <w:spacing w:after="0" w:line="17" w:lineRule="exact"/>
        <w:rPr>
          <w:sz w:val="20"/>
          <w:szCs w:val="20"/>
          <w:color w:val="auto"/>
        </w:rPr>
      </w:pPr>
    </w:p>
    <w:p>
      <w:pPr>
        <w:ind w:left="200" w:hanging="100"/>
        <w:spacing w:after="0"/>
        <w:tabs>
          <w:tab w:leader="none" w:pos="200" w:val="left"/>
        </w:tabs>
        <w:numPr>
          <w:ilvl w:val="0"/>
          <w:numId w:val="18"/>
        </w:numPr>
        <w:rPr>
          <w:rFonts w:ascii="Arial" w:cs="Arial" w:eastAsia="Arial" w:hAnsi="Arial"/>
          <w:sz w:val="21"/>
          <w:szCs w:val="21"/>
          <w:color w:val="auto"/>
          <w:vertAlign w:val="superscript"/>
        </w:rPr>
      </w:pPr>
      <w:r>
        <w:rPr>
          <w:rFonts w:ascii="Arial" w:cs="Arial" w:eastAsia="Arial" w:hAnsi="Arial"/>
          <w:sz w:val="16"/>
          <w:szCs w:val="16"/>
          <w:color w:val="auto"/>
        </w:rPr>
        <w:t>Purchase accounting expenses are primarily comprised of amortization of intangible assets.</w:t>
      </w:r>
    </w:p>
    <w:p>
      <w:pPr>
        <w:spacing w:after="0" w:line="17" w:lineRule="exact"/>
        <w:rPr>
          <w:rFonts w:ascii="Arial" w:cs="Arial" w:eastAsia="Arial" w:hAnsi="Arial"/>
          <w:sz w:val="21"/>
          <w:szCs w:val="21"/>
          <w:color w:val="auto"/>
          <w:vertAlign w:val="superscript"/>
        </w:rPr>
      </w:pPr>
    </w:p>
    <w:p>
      <w:pPr>
        <w:ind w:left="100"/>
        <w:spacing w:after="0" w:line="212" w:lineRule="auto"/>
        <w:rPr>
          <w:rFonts w:ascii="Arial" w:cs="Arial" w:eastAsia="Arial" w:hAnsi="Arial"/>
          <w:sz w:val="21"/>
          <w:szCs w:val="21"/>
          <w:color w:val="auto"/>
          <w:vertAlign w:val="superscript"/>
        </w:rPr>
      </w:pPr>
      <w:r>
        <w:rPr>
          <w:rFonts w:ascii="Arial" w:cs="Arial" w:eastAsia="Arial" w:hAnsi="Arial"/>
          <w:sz w:val="21"/>
          <w:szCs w:val="21"/>
          <w:color w:val="auto"/>
          <w:vertAlign w:val="superscript"/>
        </w:rPr>
        <w:t>5</w:t>
      </w:r>
      <w:r>
        <w:rPr>
          <w:rFonts w:ascii="Arial" w:cs="Arial" w:eastAsia="Arial" w:hAnsi="Arial"/>
          <w:sz w:val="16"/>
          <w:szCs w:val="16"/>
          <w:color w:val="auto"/>
        </w:rPr>
        <w:t xml:space="preserve"> Refer to Non-GAAP Disclosures section for definition.</w:t>
      </w:r>
    </w:p>
    <w:p>
      <w:pPr>
        <w:ind w:left="100" w:right="40"/>
        <w:spacing w:after="0" w:line="204" w:lineRule="auto"/>
        <w:tabs>
          <w:tab w:leader="none" w:pos="220" w:val="left"/>
        </w:tabs>
        <w:numPr>
          <w:ilvl w:val="0"/>
          <w:numId w:val="19"/>
        </w:numPr>
        <w:rPr>
          <w:rFonts w:ascii="Arial" w:cs="Arial" w:eastAsia="Arial" w:hAnsi="Arial"/>
          <w:sz w:val="21"/>
          <w:szCs w:val="21"/>
          <w:color w:val="auto"/>
          <w:vertAlign w:val="superscript"/>
        </w:rPr>
      </w:pPr>
      <w:r>
        <w:rPr>
          <w:rFonts w:ascii="Arial" w:cs="Arial" w:eastAsia="Arial" w:hAnsi="Arial"/>
          <w:sz w:val="16"/>
          <w:szCs w:val="16"/>
          <w:color w:val="auto"/>
        </w:rPr>
        <w:t>Other depreciation and amortization relates to property, plant, and equipment and intangibles, and excludes amounts related to purchase accounting expenses and restructuring and other costs.</w:t>
      </w:r>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IS - 8</w:t>
      </w:r>
    </w:p>
    <w:p>
      <w:pPr>
        <w:sectPr>
          <w:pgSz w:w="11900" w:h="16838" w:orient="portrait"/>
          <w:cols w:equalWidth="0" w:num="1">
            <w:col w:w="11180"/>
          </w:cols>
          <w:pgMar w:left="320" w:top="364" w:right="39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GROWTH FACTORS AND ADJUSTED EPS GUIDANCE RECONCILIATIONS (NON-GAAP)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40" w:type="dxa"/>
            <w:vAlign w:val="bottom"/>
            <w:gridSpan w:val="6"/>
          </w:tcPr>
          <w:p>
            <w:pPr>
              <w:spacing w:after="0"/>
              <w:rPr>
                <w:sz w:val="20"/>
                <w:szCs w:val="20"/>
                <w:color w:val="auto"/>
              </w:rPr>
            </w:pPr>
            <w:r>
              <w:rPr>
                <w:rFonts w:ascii="Arial" w:cs="Arial" w:eastAsia="Arial" w:hAnsi="Arial"/>
                <w:sz w:val="16"/>
                <w:szCs w:val="16"/>
                <w:b w:val="1"/>
                <w:bCs w:val="1"/>
                <w:color w:val="auto"/>
              </w:rPr>
              <w:t>Non-GAAP Reconciliations</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2"/>
        </w:trPr>
        <w:tc>
          <w:tcPr>
            <w:tcW w:w="2080" w:type="dxa"/>
            <w:vAlign w:val="bottom"/>
            <w:tcBorders>
              <w:top w:val="single" w:sz="8" w:color="auto"/>
            </w:tcBorders>
            <w:gridSpan w:val="4"/>
          </w:tcPr>
          <w:p>
            <w:pPr>
              <w:spacing w:after="0"/>
              <w:rPr>
                <w:sz w:val="20"/>
                <w:szCs w:val="20"/>
                <w:color w:val="auto"/>
              </w:rPr>
            </w:pPr>
            <w:r>
              <w:rPr>
                <w:rFonts w:ascii="Arial" w:cs="Arial" w:eastAsia="Arial" w:hAnsi="Arial"/>
                <w:sz w:val="16"/>
                <w:szCs w:val="16"/>
                <w:b w:val="1"/>
                <w:bCs w:val="1"/>
                <w:color w:val="auto"/>
              </w:rPr>
              <w:t>Revenue Growth Factors</w:t>
            </w:r>
          </w:p>
        </w:tc>
        <w:tc>
          <w:tcPr>
            <w:tcW w:w="226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39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ind w:left="520"/>
              <w:spacing w:after="0"/>
              <w:rPr>
                <w:sz w:val="20"/>
                <w:szCs w:val="20"/>
                <w:color w:val="auto"/>
              </w:rPr>
            </w:pPr>
            <w:r>
              <w:rPr>
                <w:rFonts w:ascii="Arial" w:cs="Arial" w:eastAsia="Arial" w:hAnsi="Arial"/>
                <w:sz w:val="16"/>
                <w:szCs w:val="16"/>
                <w:b w:val="1"/>
                <w:bCs w:val="1"/>
                <w:color w:val="auto"/>
              </w:rPr>
              <w:t>Q1</w:t>
            </w:r>
          </w:p>
        </w:tc>
        <w:tc>
          <w:tcPr>
            <w:tcW w:w="20" w:type="dxa"/>
            <w:vAlign w:val="bottom"/>
          </w:tcPr>
          <w:p>
            <w:pPr>
              <w:spacing w:after="0"/>
              <w:rPr>
                <w:sz w:val="18"/>
                <w:szCs w:val="18"/>
                <w:color w:val="auto"/>
              </w:rPr>
            </w:pPr>
          </w:p>
        </w:tc>
        <w:tc>
          <w:tcPr>
            <w:tcW w:w="1360" w:type="dxa"/>
            <w:vAlign w:val="bottom"/>
            <w:gridSpan w:val="3"/>
          </w:tcPr>
          <w:p>
            <w:pPr>
              <w:ind w:left="520"/>
              <w:spacing w:after="0"/>
              <w:rPr>
                <w:sz w:val="20"/>
                <w:szCs w:val="20"/>
                <w:color w:val="auto"/>
              </w:rPr>
            </w:pPr>
            <w:r>
              <w:rPr>
                <w:rFonts w:ascii="Arial" w:cs="Arial" w:eastAsia="Arial" w:hAnsi="Arial"/>
                <w:sz w:val="16"/>
                <w:szCs w:val="16"/>
                <w:b w:val="1"/>
                <w:bCs w:val="1"/>
                <w:color w:val="auto"/>
              </w:rPr>
              <w:t>Q2</w:t>
            </w:r>
          </w:p>
        </w:tc>
        <w:tc>
          <w:tcPr>
            <w:tcW w:w="20" w:type="dxa"/>
            <w:vAlign w:val="bottom"/>
          </w:tcPr>
          <w:p>
            <w:pPr>
              <w:spacing w:after="0"/>
              <w:rPr>
                <w:sz w:val="18"/>
                <w:szCs w:val="18"/>
                <w:color w:val="auto"/>
              </w:rPr>
            </w:pPr>
          </w:p>
        </w:tc>
        <w:tc>
          <w:tcPr>
            <w:tcW w:w="1820" w:type="dxa"/>
            <w:vAlign w:val="bottom"/>
            <w:gridSpan w:val="6"/>
          </w:tcPr>
          <w:p>
            <w:pPr>
              <w:jc w:val="center"/>
              <w:ind w:right="479"/>
              <w:spacing w:after="0"/>
              <w:rPr>
                <w:sz w:val="20"/>
                <w:szCs w:val="20"/>
                <w:color w:val="auto"/>
              </w:rPr>
            </w:pPr>
            <w:r>
              <w:rPr>
                <w:rFonts w:ascii="Arial" w:cs="Arial" w:eastAsia="Arial" w:hAnsi="Arial"/>
                <w:sz w:val="16"/>
                <w:szCs w:val="16"/>
                <w:b w:val="1"/>
                <w:bCs w:val="1"/>
                <w:color w:val="auto"/>
              </w:rPr>
              <w:t>Q3</w:t>
            </w:r>
          </w:p>
        </w:tc>
        <w:tc>
          <w:tcPr>
            <w:tcW w:w="900" w:type="dxa"/>
            <w:vAlign w:val="bottom"/>
            <w:gridSpan w:val="3"/>
          </w:tcPr>
          <w:p>
            <w:pPr>
              <w:jc w:val="right"/>
              <w:ind w:right="620"/>
              <w:spacing w:after="0"/>
              <w:rPr>
                <w:sz w:val="20"/>
                <w:szCs w:val="20"/>
                <w:color w:val="auto"/>
              </w:rPr>
            </w:pPr>
            <w:r>
              <w:rPr>
                <w:rFonts w:ascii="Arial" w:cs="Arial" w:eastAsia="Arial" w:hAnsi="Arial"/>
                <w:sz w:val="16"/>
                <w:szCs w:val="16"/>
                <w:b w:val="1"/>
                <w:bCs w:val="1"/>
                <w:color w:val="auto"/>
              </w:rPr>
              <w:t>Q4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259"/>
              <w:spacing w:after="0"/>
              <w:rPr>
                <w:sz w:val="20"/>
                <w:szCs w:val="20"/>
                <w:color w:val="auto"/>
              </w:rPr>
            </w:pPr>
            <w:r>
              <w:rPr>
                <w:rFonts w:ascii="Arial" w:cs="Arial" w:eastAsia="Arial" w:hAnsi="Arial"/>
                <w:sz w:val="16"/>
                <w:szCs w:val="16"/>
                <w:b w:val="1"/>
                <w:bCs w:val="1"/>
                <w:color w:val="auto"/>
              </w:rPr>
              <w:t>FY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432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6"/>
                <w:szCs w:val="16"/>
                <w:color w:val="auto"/>
              </w:rPr>
              <w:t>Organic</w:t>
            </w:r>
          </w:p>
        </w:tc>
        <w:tc>
          <w:tcPr>
            <w:tcW w:w="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ind w:left="380"/>
              <w:spacing w:after="0"/>
              <w:rPr>
                <w:sz w:val="20"/>
                <w:szCs w:val="20"/>
                <w:color w:val="auto"/>
              </w:rPr>
            </w:pPr>
            <w:r>
              <w:rPr>
                <w:rFonts w:ascii="Arial" w:cs="Arial" w:eastAsia="Arial" w:hAnsi="Arial"/>
                <w:sz w:val="16"/>
                <w:szCs w:val="16"/>
                <w:color w:val="auto"/>
              </w:rPr>
              <w:t>Engineered Products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(5.1)%</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(7.0)%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Clean Energy &amp; Fueling</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ind w:left="380"/>
              <w:spacing w:after="0"/>
              <w:rPr>
                <w:sz w:val="20"/>
                <w:szCs w:val="20"/>
                <w:color w:val="auto"/>
              </w:rPr>
            </w:pPr>
            <w:r>
              <w:rPr>
                <w:rFonts w:ascii="Arial" w:cs="Arial" w:eastAsia="Arial" w:hAnsi="Arial"/>
                <w:sz w:val="16"/>
                <w:szCs w:val="16"/>
                <w:color w:val="auto"/>
              </w:rPr>
              <w:t>Imaging &amp; Identification</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3.9 %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jc w:val="right"/>
              <w:ind w:right="100"/>
              <w:spacing w:after="0"/>
              <w:rPr>
                <w:sz w:val="20"/>
                <w:szCs w:val="20"/>
                <w:color w:val="auto"/>
              </w:rPr>
            </w:pPr>
            <w:r>
              <w:rPr>
                <w:rFonts w:ascii="Arial" w:cs="Arial" w:eastAsia="Arial" w:hAnsi="Arial"/>
                <w:sz w:val="16"/>
                <w:szCs w:val="16"/>
                <w:color w:val="auto"/>
              </w:rPr>
              <w:t>— %</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0.8 %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60" w:type="dxa"/>
            <w:vAlign w:val="bottom"/>
            <w:gridSpan w:val="4"/>
            <w:shd w:val="clear" w:color="auto" w:fill="CCEEFF"/>
          </w:tcPr>
          <w:p>
            <w:pPr>
              <w:ind w:left="380"/>
              <w:spacing w:after="0"/>
              <w:rPr>
                <w:sz w:val="20"/>
                <w:szCs w:val="20"/>
                <w:color w:val="auto"/>
              </w:rPr>
            </w:pPr>
            <w:r>
              <w:rPr>
                <w:rFonts w:ascii="Arial" w:cs="Arial" w:eastAsia="Arial" w:hAnsi="Arial"/>
                <w:sz w:val="16"/>
                <w:szCs w:val="16"/>
                <w:color w:val="auto"/>
              </w:rPr>
              <w:t>Pumps &amp; Process Solutions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5.6 %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260" w:type="dxa"/>
            <w:vAlign w:val="bottom"/>
            <w:tcBorders>
              <w:bottom w:val="single" w:sz="8" w:color="CCEEFF"/>
            </w:tcBorders>
            <w:gridSpan w:val="4"/>
          </w:tcPr>
          <w:p>
            <w:pPr>
              <w:ind w:left="380"/>
              <w:spacing w:after="0"/>
              <w:rPr>
                <w:sz w:val="20"/>
                <w:szCs w:val="20"/>
                <w:color w:val="auto"/>
              </w:rPr>
            </w:pPr>
            <w:r>
              <w:rPr>
                <w:rFonts w:ascii="Arial" w:cs="Arial" w:eastAsia="Arial" w:hAnsi="Arial"/>
                <w:sz w:val="16"/>
                <w:szCs w:val="16"/>
                <w:color w:val="auto"/>
              </w:rPr>
              <w:t>Climate &amp; Sustainability Technologies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(3.7)%</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(5.6)%</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(6.5)%</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9.4 %</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Total Organic</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5"/>
          </w:tcPr>
          <w:p>
            <w:pPr>
              <w:spacing w:after="0"/>
              <w:rPr>
                <w:sz w:val="20"/>
                <w:szCs w:val="20"/>
                <w:color w:val="auto"/>
              </w:rPr>
            </w:pPr>
            <w:r>
              <w:rPr>
                <w:rFonts w:ascii="Arial" w:cs="Arial" w:eastAsia="Arial" w:hAnsi="Arial"/>
                <w:sz w:val="16"/>
                <w:szCs w:val="16"/>
                <w:color w:val="auto"/>
              </w:rPr>
              <w:t>Acquisitions</w:t>
            </w: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Arial" w:cs="Arial" w:eastAsia="Arial" w:hAnsi="Arial"/>
                <w:sz w:val="16"/>
                <w:szCs w:val="16"/>
                <w:color w:val="auto"/>
              </w:rPr>
              <w:t>3.0 %</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2.1 %</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Dispositions</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479"/>
              <w:spacing w:after="0"/>
              <w:rPr>
                <w:sz w:val="20"/>
                <w:szCs w:val="20"/>
                <w:color w:val="auto"/>
              </w:rPr>
            </w:pPr>
            <w:r>
              <w:rPr>
                <w:rFonts w:ascii="Arial" w:cs="Arial" w:eastAsia="Arial" w:hAnsi="Arial"/>
                <w:sz w:val="16"/>
                <w:szCs w:val="16"/>
                <w:color w:val="auto"/>
              </w:rPr>
              <w:t>— %</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Borders>
              <w:bottom w:val="single" w:sz="8" w:color="CCEEFF"/>
            </w:tcBorders>
          </w:tcPr>
          <w:p>
            <w:pPr>
              <w:spacing w:after="0"/>
              <w:rPr>
                <w:sz w:val="18"/>
                <w:szCs w:val="18"/>
                <w:color w:val="auto"/>
              </w:rPr>
            </w:pPr>
          </w:p>
        </w:tc>
        <w:tc>
          <w:tcPr>
            <w:tcW w:w="4320" w:type="dxa"/>
            <w:vAlign w:val="bottom"/>
            <w:tcBorders>
              <w:bottom w:val="single" w:sz="8" w:color="CCEEFF"/>
            </w:tcBorders>
            <w:gridSpan w:val="5"/>
          </w:tcPr>
          <w:p>
            <w:pPr>
              <w:spacing w:after="0"/>
              <w:rPr>
                <w:sz w:val="20"/>
                <w:szCs w:val="20"/>
                <w:color w:val="auto"/>
              </w:rPr>
            </w:pPr>
            <w:r>
              <w:rPr>
                <w:rFonts w:ascii="Arial" w:cs="Arial" w:eastAsia="Arial" w:hAnsi="Arial"/>
                <w:sz w:val="16"/>
                <w:szCs w:val="16"/>
                <w:color w:val="auto"/>
              </w:rPr>
              <w:t>Currency translation</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1.3 %</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1.3 %</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2.1 %</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Total*</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5.2 %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4.8 %</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8.8 %</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4340" w:type="dxa"/>
            <w:vAlign w:val="bottom"/>
            <w:gridSpan w:val="6"/>
          </w:tcPr>
          <w:p>
            <w:pPr>
              <w:spacing w:after="0"/>
              <w:rPr>
                <w:sz w:val="20"/>
                <w:szCs w:val="20"/>
                <w:color w:val="auto"/>
              </w:rPr>
            </w:pPr>
            <w:r>
              <w:rPr>
                <w:rFonts w:ascii="Arial" w:cs="Arial" w:eastAsia="Arial" w:hAnsi="Arial"/>
                <w:sz w:val="14"/>
                <w:szCs w:val="14"/>
                <w:color w:val="auto"/>
              </w:rPr>
              <w:t>* Totals may be impacted by rounding.</w:t>
            </w: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gridSpan w:val="3"/>
          </w:tcPr>
          <w:p>
            <w:pPr>
              <w:ind w:left="540"/>
              <w:spacing w:after="0"/>
              <w:rPr>
                <w:sz w:val="20"/>
                <w:szCs w:val="20"/>
                <w:color w:val="auto"/>
              </w:rPr>
            </w:pPr>
            <w:r>
              <w:rPr>
                <w:rFonts w:ascii="Arial" w:cs="Arial" w:eastAsia="Arial" w:hAnsi="Arial"/>
                <w:sz w:val="16"/>
                <w:szCs w:val="16"/>
                <w:b w:val="1"/>
                <w:bCs w:val="1"/>
                <w:color w:val="auto"/>
              </w:rPr>
              <w:t>Q1</w:t>
            </w:r>
          </w:p>
        </w:tc>
        <w:tc>
          <w:tcPr>
            <w:tcW w:w="20" w:type="dxa"/>
            <w:vAlign w:val="bottom"/>
          </w:tcPr>
          <w:p>
            <w:pPr>
              <w:spacing w:after="0"/>
              <w:rPr>
                <w:sz w:val="18"/>
                <w:szCs w:val="18"/>
                <w:color w:val="auto"/>
              </w:rPr>
            </w:pPr>
          </w:p>
        </w:tc>
        <w:tc>
          <w:tcPr>
            <w:tcW w:w="1360" w:type="dxa"/>
            <w:vAlign w:val="bottom"/>
            <w:gridSpan w:val="3"/>
          </w:tcPr>
          <w:p>
            <w:pPr>
              <w:ind w:left="540"/>
              <w:spacing w:after="0"/>
              <w:rPr>
                <w:sz w:val="20"/>
                <w:szCs w:val="20"/>
                <w:color w:val="auto"/>
              </w:rPr>
            </w:pPr>
            <w:r>
              <w:rPr>
                <w:rFonts w:ascii="Arial" w:cs="Arial" w:eastAsia="Arial" w:hAnsi="Arial"/>
                <w:sz w:val="16"/>
                <w:szCs w:val="16"/>
                <w:b w:val="1"/>
                <w:bCs w:val="1"/>
                <w:color w:val="auto"/>
              </w:rPr>
              <w:t>Q2</w:t>
            </w:r>
          </w:p>
        </w:tc>
        <w:tc>
          <w:tcPr>
            <w:tcW w:w="20" w:type="dxa"/>
            <w:vAlign w:val="bottom"/>
          </w:tcPr>
          <w:p>
            <w:pPr>
              <w:spacing w:after="0"/>
              <w:rPr>
                <w:sz w:val="18"/>
                <w:szCs w:val="18"/>
                <w:color w:val="auto"/>
              </w:rPr>
            </w:pPr>
          </w:p>
        </w:tc>
        <w:tc>
          <w:tcPr>
            <w:tcW w:w="1820" w:type="dxa"/>
            <w:vAlign w:val="bottom"/>
            <w:gridSpan w:val="6"/>
          </w:tcPr>
          <w:p>
            <w:pPr>
              <w:jc w:val="right"/>
              <w:ind w:right="979"/>
              <w:spacing w:after="0"/>
              <w:rPr>
                <w:sz w:val="20"/>
                <w:szCs w:val="20"/>
                <w:color w:val="auto"/>
              </w:rPr>
            </w:pPr>
            <w:r>
              <w:rPr>
                <w:rFonts w:ascii="Arial" w:cs="Arial" w:eastAsia="Arial" w:hAnsi="Arial"/>
                <w:sz w:val="16"/>
                <w:szCs w:val="16"/>
                <w:b w:val="1"/>
                <w:bCs w:val="1"/>
                <w:color w:val="auto"/>
              </w:rPr>
              <w:t>Q3</w:t>
            </w:r>
          </w:p>
        </w:tc>
        <w:tc>
          <w:tcPr>
            <w:tcW w:w="900" w:type="dxa"/>
            <w:vAlign w:val="bottom"/>
            <w:gridSpan w:val="3"/>
          </w:tcPr>
          <w:p>
            <w:pPr>
              <w:jc w:val="right"/>
              <w:ind w:right="580"/>
              <w:spacing w:after="0"/>
              <w:rPr>
                <w:sz w:val="20"/>
                <w:szCs w:val="20"/>
                <w:color w:val="auto"/>
              </w:rPr>
            </w:pPr>
            <w:r>
              <w:rPr>
                <w:rFonts w:ascii="Arial" w:cs="Arial" w:eastAsia="Arial" w:hAnsi="Arial"/>
                <w:sz w:val="16"/>
                <w:szCs w:val="16"/>
                <w:b w:val="1"/>
                <w:bCs w:val="1"/>
                <w:color w:val="auto"/>
              </w:rPr>
              <w:t>Q4</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jc w:val="right"/>
              <w:ind w:right="219"/>
              <w:spacing w:after="0"/>
              <w:rPr>
                <w:sz w:val="20"/>
                <w:szCs w:val="20"/>
                <w:color w:val="auto"/>
              </w:rPr>
            </w:pPr>
            <w:r>
              <w:rPr>
                <w:rFonts w:ascii="Arial" w:cs="Arial" w:eastAsia="Arial" w:hAnsi="Arial"/>
                <w:sz w:val="16"/>
                <w:szCs w:val="16"/>
                <w:b w:val="1"/>
                <w:bCs w:val="1"/>
                <w:color w:val="auto"/>
              </w:rPr>
              <w:t>FY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Organic</w:t>
            </w: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ind w:left="440"/>
              <w:spacing w:after="0"/>
              <w:rPr>
                <w:sz w:val="20"/>
                <w:szCs w:val="20"/>
                <w:color w:val="auto"/>
              </w:rPr>
            </w:pPr>
            <w:r>
              <w:rPr>
                <w:rFonts w:ascii="Arial" w:cs="Arial" w:eastAsia="Arial" w:hAnsi="Arial"/>
                <w:sz w:val="16"/>
                <w:szCs w:val="16"/>
                <w:color w:val="auto"/>
              </w:rPr>
              <w:t>United States</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3.9 %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1.6 %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8.0 %</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Europe</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(3.5)%</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0.2 %</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1.1 %</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ind w:left="440"/>
              <w:spacing w:after="0"/>
              <w:rPr>
                <w:sz w:val="20"/>
                <w:szCs w:val="20"/>
                <w:color w:val="auto"/>
              </w:rPr>
            </w:pPr>
            <w:r>
              <w:rPr>
                <w:rFonts w:ascii="Arial" w:cs="Arial" w:eastAsia="Arial" w:hAnsi="Arial"/>
                <w:sz w:val="16"/>
                <w:szCs w:val="16"/>
                <w:color w:val="auto"/>
              </w:rPr>
              <w:t>Asia</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8.0 %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(0.6)%</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7.1 %</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3.4 %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shd w:val="clear" w:color="auto" w:fill="CCEEFF"/>
          </w:tcPr>
          <w:p>
            <w:pPr>
              <w:ind w:left="440"/>
              <w:spacing w:after="0"/>
              <w:rPr>
                <w:sz w:val="20"/>
                <w:szCs w:val="20"/>
                <w:color w:val="auto"/>
              </w:rPr>
            </w:pPr>
            <w:r>
              <w:rPr>
                <w:rFonts w:ascii="Arial" w:cs="Arial" w:eastAsia="Arial" w:hAnsi="Arial"/>
                <w:sz w:val="16"/>
                <w:szCs w:val="16"/>
                <w:color w:val="auto"/>
              </w:rPr>
              <w:t>Other Americas</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0.6 %</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(19.3)%</w:t>
            </w:r>
          </w:p>
        </w:tc>
        <w:tc>
          <w:tcPr>
            <w:tcW w:w="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(6.5)%</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10.1 %</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ind w:left="440"/>
              <w:spacing w:after="0"/>
              <w:rPr>
                <w:sz w:val="20"/>
                <w:szCs w:val="20"/>
                <w:color w:val="auto"/>
              </w:rPr>
            </w:pPr>
            <w:r>
              <w:rPr>
                <w:rFonts w:ascii="Arial" w:cs="Arial" w:eastAsia="Arial" w:hAnsi="Arial"/>
                <w:sz w:val="16"/>
                <w:szCs w:val="16"/>
                <w:color w:val="auto"/>
              </w:rPr>
              <w:t>Other</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12.1 %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20.8 %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2.9 %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(24.5)%</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0.7 %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 Organic</w:t>
            </w: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0.5 %</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0.9 %</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0.5 %</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4.6 %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6"/>
                <w:szCs w:val="16"/>
                <w:color w:val="auto"/>
              </w:rPr>
              <w:t>Acquisitions</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2.4 %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3.0 %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3.0 %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2.1 %</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2.6 %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shd w:val="clear" w:color="auto" w:fill="CCEEFF"/>
          </w:tcPr>
          <w:p>
            <w:pPr>
              <w:spacing w:after="0"/>
              <w:rPr>
                <w:sz w:val="20"/>
                <w:szCs w:val="20"/>
                <w:color w:val="auto"/>
              </w:rPr>
            </w:pPr>
            <w:r>
              <w:rPr>
                <w:rFonts w:ascii="Arial" w:cs="Arial" w:eastAsia="Arial" w:hAnsi="Arial"/>
                <w:sz w:val="16"/>
                <w:szCs w:val="16"/>
                <w:color w:val="auto"/>
              </w:rPr>
              <w:t>Dispositions</w:t>
            </w:r>
          </w:p>
        </w:tc>
        <w:tc>
          <w:tcPr>
            <w:tcW w:w="132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(2.7)%</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 %</w:t>
            </w:r>
          </w:p>
        </w:tc>
        <w:tc>
          <w:tcPr>
            <w:tcW w:w="20" w:type="dxa"/>
            <w:vAlign w:val="bottom"/>
            <w:shd w:val="clear" w:color="auto" w:fill="CCEEFF"/>
          </w:tcPr>
          <w:p>
            <w:pPr>
              <w:spacing w:after="0"/>
              <w:rPr>
                <w:sz w:val="18"/>
                <w:szCs w:val="18"/>
                <w:color w:val="auto"/>
              </w:rPr>
            </w:pPr>
          </w:p>
        </w:tc>
        <w:tc>
          <w:tcPr>
            <w:tcW w:w="1820" w:type="dxa"/>
            <w:vAlign w:val="bottom"/>
            <w:gridSpan w:val="6"/>
            <w:shd w:val="clear" w:color="auto" w:fill="CCEEFF"/>
          </w:tcPr>
          <w:p>
            <w:pPr>
              <w:jc w:val="right"/>
              <w:ind w:right="459"/>
              <w:spacing w:after="0"/>
              <w:rPr>
                <w:sz w:val="20"/>
                <w:szCs w:val="20"/>
                <w:color w:val="auto"/>
              </w:rPr>
            </w:pPr>
            <w:r>
              <w:rPr>
                <w:rFonts w:ascii="Arial" w:cs="Arial" w:eastAsia="Arial" w:hAnsi="Arial"/>
                <w:sz w:val="16"/>
                <w:szCs w:val="16"/>
                <w:color w:val="auto"/>
              </w:rPr>
              <w:t>— %</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 %</w:t>
            </w: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(0.7)%</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gridSpan w:val="4"/>
          </w:tcPr>
          <w:p>
            <w:pPr>
              <w:spacing w:after="0"/>
              <w:rPr>
                <w:sz w:val="20"/>
                <w:szCs w:val="20"/>
                <w:color w:val="auto"/>
              </w:rPr>
            </w:pPr>
            <w:r>
              <w:rPr>
                <w:rFonts w:ascii="Arial" w:cs="Arial" w:eastAsia="Arial" w:hAnsi="Arial"/>
                <w:sz w:val="16"/>
                <w:szCs w:val="16"/>
                <w:color w:val="auto"/>
              </w:rPr>
              <w:t>Currency translation</w:t>
            </w: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(1.1)%</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1.3 %</w:t>
            </w:r>
          </w:p>
        </w:tc>
        <w:tc>
          <w:tcPr>
            <w:tcW w:w="60" w:type="dxa"/>
            <w:vAlign w:val="bottom"/>
          </w:tcPr>
          <w:p>
            <w:pPr>
              <w:spacing w:after="0"/>
              <w:rPr>
                <w:sz w:val="18"/>
                <w:szCs w:val="18"/>
                <w:color w:val="auto"/>
              </w:rPr>
            </w:pPr>
          </w:p>
        </w:tc>
        <w:tc>
          <w:tcPr>
            <w:tcW w:w="1320" w:type="dxa"/>
            <w:vAlign w:val="bottom"/>
            <w:gridSpan w:val="3"/>
          </w:tcPr>
          <w:p>
            <w:pPr>
              <w:jc w:val="right"/>
              <w:ind w:right="20"/>
              <w:spacing w:after="0"/>
              <w:rPr>
                <w:sz w:val="20"/>
                <w:szCs w:val="20"/>
                <w:color w:val="auto"/>
              </w:rPr>
            </w:pPr>
            <w:r>
              <w:rPr>
                <w:rFonts w:ascii="Arial" w:cs="Arial" w:eastAsia="Arial" w:hAnsi="Arial"/>
                <w:sz w:val="16"/>
                <w:szCs w:val="16"/>
                <w:color w:val="auto"/>
              </w:rPr>
              <w:t>1.3 %</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2.1 %</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1.0 %</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60" w:type="dxa"/>
            <w:vAlign w:val="bottom"/>
            <w:tcBorders>
              <w:top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Total*</w:t>
            </w: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(0.9)%</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5.2 %</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4.8 %</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8.8 %</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10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75"/>
        </w:trPr>
        <w:tc>
          <w:tcPr>
            <w:tcW w:w="4340" w:type="dxa"/>
            <w:vAlign w:val="bottom"/>
            <w:gridSpan w:val="6"/>
          </w:tcPr>
          <w:p>
            <w:pPr>
              <w:spacing w:after="0"/>
              <w:rPr>
                <w:sz w:val="20"/>
                <w:szCs w:val="20"/>
                <w:color w:val="auto"/>
              </w:rPr>
            </w:pPr>
            <w:r>
              <w:rPr>
                <w:rFonts w:ascii="Arial" w:cs="Arial" w:eastAsia="Arial" w:hAnsi="Arial"/>
                <w:sz w:val="14"/>
                <w:szCs w:val="14"/>
                <w:color w:val="auto"/>
              </w:rPr>
              <w:t>* Totals may be impacted by rounding.</w:t>
            </w: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0"/>
        </w:trPr>
        <w:tc>
          <w:tcPr>
            <w:tcW w:w="20" w:type="dxa"/>
            <w:vAlign w:val="bottom"/>
          </w:tcPr>
          <w:p>
            <w:pPr>
              <w:spacing w:after="0"/>
              <w:rPr>
                <w:sz w:val="24"/>
                <w:szCs w:val="24"/>
                <w:color w:val="auto"/>
              </w:rPr>
            </w:pPr>
          </w:p>
        </w:tc>
        <w:tc>
          <w:tcPr>
            <w:tcW w:w="4320" w:type="dxa"/>
            <w:vAlign w:val="bottom"/>
            <w:gridSpan w:val="5"/>
          </w:tcPr>
          <w:p>
            <w:pPr>
              <w:spacing w:after="0"/>
              <w:rPr>
                <w:sz w:val="20"/>
                <w:szCs w:val="20"/>
                <w:color w:val="auto"/>
              </w:rPr>
            </w:pPr>
            <w:r>
              <w:rPr>
                <w:rFonts w:ascii="Arial" w:cs="Arial" w:eastAsia="Arial" w:hAnsi="Arial"/>
                <w:sz w:val="16"/>
                <w:szCs w:val="16"/>
                <w:b w:val="1"/>
                <w:bCs w:val="1"/>
                <w:color w:val="auto"/>
              </w:rPr>
              <w:t>Adjusted EPS Guidance Reconciliation*</w:t>
            </w: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gridSpan w:val="4"/>
            <w:vMerge w:val="restart"/>
          </w:tcPr>
          <w:p>
            <w:pPr>
              <w:jc w:val="right"/>
              <w:ind w:right="80"/>
              <w:spacing w:after="0"/>
              <w:rPr>
                <w:sz w:val="20"/>
                <w:szCs w:val="20"/>
                <w:color w:val="auto"/>
              </w:rPr>
            </w:pPr>
            <w:r>
              <w:rPr>
                <w:rFonts w:ascii="Arial" w:cs="Arial" w:eastAsia="Arial" w:hAnsi="Arial"/>
                <w:sz w:val="16"/>
                <w:szCs w:val="16"/>
                <w:b w:val="1"/>
                <w:bCs w:val="1"/>
                <w:color w:val="auto"/>
              </w:rPr>
              <w:t>2025 Actual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vMerge w:val="restart"/>
          </w:tcPr>
          <w:p>
            <w:pPr>
              <w:jc w:val="right"/>
              <w:ind w:right="80"/>
              <w:spacing w:after="0"/>
              <w:rPr>
                <w:sz w:val="20"/>
                <w:szCs w:val="20"/>
                <w:color w:val="auto"/>
              </w:rPr>
            </w:pPr>
            <w:r>
              <w:rPr>
                <w:rFonts w:ascii="Arial" w:cs="Arial" w:eastAsia="Arial" w:hAnsi="Arial"/>
                <w:sz w:val="16"/>
                <w:szCs w:val="16"/>
                <w:b w:val="1"/>
                <w:bCs w:val="1"/>
                <w:color w:val="auto"/>
              </w:rPr>
              <w:t>2026 Guidance</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184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CCEEFF"/>
            </w:tcBorders>
          </w:tcPr>
          <w:p>
            <w:pPr>
              <w:spacing w:after="0"/>
              <w:rPr>
                <w:sz w:val="20"/>
                <w:szCs w:val="20"/>
                <w:color w:val="auto"/>
              </w:rPr>
            </w:pPr>
          </w:p>
        </w:tc>
        <w:tc>
          <w:tcPr>
            <w:tcW w:w="1000" w:type="dxa"/>
            <w:vAlign w:val="bottom"/>
            <w:tcBorders>
              <w:top w:val="single" w:sz="8" w:color="auto"/>
              <w:bottom w:val="single" w:sz="8" w:color="CCEEFF"/>
            </w:tcBorders>
          </w:tcPr>
          <w:p>
            <w:pPr>
              <w:spacing w:after="0"/>
              <w:rPr>
                <w:sz w:val="20"/>
                <w:szCs w:val="20"/>
                <w:color w:val="auto"/>
              </w:rPr>
            </w:pPr>
          </w:p>
        </w:tc>
        <w:tc>
          <w:tcPr>
            <w:tcW w:w="12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gridSpan w:val="4"/>
            <w:vMerge w:val="continue"/>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Earnings per Share from Continuing Operations (GAAP)</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gridSpan w:val="6"/>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7.97</w:t>
            </w:r>
          </w:p>
        </w:tc>
        <w:tc>
          <w:tcPr>
            <w:tcW w:w="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$8.95 - $9.15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5"/>
          </w:tcPr>
          <w:p>
            <w:pPr>
              <w:spacing w:after="0"/>
              <w:rPr>
                <w:sz w:val="20"/>
                <w:szCs w:val="20"/>
                <w:color w:val="auto"/>
              </w:rPr>
            </w:pPr>
            <w:r>
              <w:rPr>
                <w:rFonts w:ascii="Arial" w:cs="Arial" w:eastAsia="Arial" w:hAnsi="Arial"/>
                <w:sz w:val="16"/>
                <w:szCs w:val="16"/>
                <w:color w:val="auto"/>
              </w:rPr>
              <w:t>Purchase accounting expenses, net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1.22</w:t>
            </w:r>
          </w:p>
        </w:tc>
        <w:tc>
          <w:tcPr>
            <w:tcW w:w="4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shd w:val="clear" w:color="auto" w:fill="CCEEFF"/>
          </w:tcPr>
          <w:p>
            <w:pPr>
              <w:spacing w:after="0"/>
              <w:rPr>
                <w:sz w:val="18"/>
                <w:szCs w:val="18"/>
                <w:color w:val="auto"/>
              </w:rPr>
            </w:pPr>
          </w:p>
        </w:tc>
        <w:tc>
          <w:tcPr>
            <w:tcW w:w="4320" w:type="dxa"/>
            <w:vAlign w:val="bottom"/>
            <w:gridSpan w:val="5"/>
            <w:shd w:val="clear" w:color="auto" w:fill="CCEEFF"/>
          </w:tcPr>
          <w:p>
            <w:pPr>
              <w:spacing w:after="0"/>
              <w:rPr>
                <w:sz w:val="20"/>
                <w:szCs w:val="20"/>
                <w:color w:val="auto"/>
              </w:rPr>
            </w:pPr>
            <w:r>
              <w:rPr>
                <w:rFonts w:ascii="Arial" w:cs="Arial" w:eastAsia="Arial" w:hAnsi="Arial"/>
                <w:sz w:val="16"/>
                <w:szCs w:val="16"/>
                <w:color w:val="auto"/>
              </w:rPr>
              <w:t>Restructuring and other costs, net</w:t>
            </w: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0.46</w:t>
            </w:r>
          </w:p>
        </w:tc>
        <w:tc>
          <w:tcPr>
            <w:tcW w:w="4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0.30</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320" w:type="dxa"/>
            <w:vAlign w:val="bottom"/>
            <w:gridSpan w:val="5"/>
          </w:tcPr>
          <w:p>
            <w:pPr>
              <w:spacing w:after="0"/>
              <w:rPr>
                <w:sz w:val="20"/>
                <w:szCs w:val="20"/>
                <w:color w:val="auto"/>
              </w:rPr>
            </w:pPr>
            <w:r>
              <w:rPr>
                <w:rFonts w:ascii="Arial" w:cs="Arial" w:eastAsia="Arial" w:hAnsi="Arial"/>
                <w:sz w:val="16"/>
                <w:szCs w:val="16"/>
                <w:color w:val="auto"/>
              </w:rPr>
              <w:t>Gain on dispositions, net</w:t>
            </w: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(0.03)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5700" w:type="dxa"/>
            <w:vAlign w:val="bottom"/>
            <w:gridSpan w:val="9"/>
            <w:shd w:val="clear" w:color="auto" w:fill="CCEEFF"/>
          </w:tcPr>
          <w:p>
            <w:pPr>
              <w:spacing w:after="0"/>
              <w:rPr>
                <w:sz w:val="20"/>
                <w:szCs w:val="20"/>
                <w:color w:val="auto"/>
              </w:rPr>
            </w:pPr>
            <w:r>
              <w:rPr>
                <w:rFonts w:ascii="Arial" w:cs="Arial" w:eastAsia="Arial" w:hAnsi="Arial"/>
                <w:sz w:val="16"/>
                <w:szCs w:val="16"/>
                <w:b w:val="1"/>
                <w:bCs w:val="1"/>
                <w:color w:val="auto"/>
              </w:rPr>
              <w:t>Adjusted Earnings per Share from Continuing Operations (Non-GAAP)</w:t>
            </w:r>
          </w:p>
        </w:tc>
        <w:tc>
          <w:tcPr>
            <w:tcW w:w="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40" w:type="dxa"/>
            <w:vAlign w:val="bottom"/>
            <w:gridSpan w:val="7"/>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9.61</w:t>
            </w:r>
          </w:p>
        </w:tc>
        <w:tc>
          <w:tcPr>
            <w:tcW w:w="40" w:type="dxa"/>
            <w:vAlign w:val="bottom"/>
            <w:shd w:val="clear" w:color="auto" w:fill="CCEEFF"/>
          </w:tcPr>
          <w:p>
            <w:pPr>
              <w:spacing w:after="0"/>
              <w:rPr>
                <w:sz w:val="20"/>
                <w:szCs w:val="20"/>
                <w:color w:val="auto"/>
              </w:rPr>
            </w:pPr>
          </w:p>
        </w:tc>
        <w:tc>
          <w:tcPr>
            <w:tcW w:w="1400" w:type="dxa"/>
            <w:vAlign w:val="bottom"/>
            <w:gridSpan w:val="4"/>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$10.45 - $10.65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7" w:lineRule="exact"/>
        <w:rPr>
          <w:sz w:val="20"/>
          <w:szCs w:val="20"/>
          <w:color w:val="auto"/>
        </w:rPr>
      </w:pPr>
    </w:p>
    <w:p>
      <w:pPr>
        <w:spacing w:after="0"/>
        <w:rPr>
          <w:sz w:val="20"/>
          <w:szCs w:val="20"/>
          <w:color w:val="auto"/>
        </w:rPr>
      </w:pPr>
      <w:r>
        <w:rPr>
          <w:rFonts w:ascii="Arial" w:cs="Arial" w:eastAsia="Arial" w:hAnsi="Arial"/>
          <w:sz w:val="14"/>
          <w:szCs w:val="14"/>
          <w:color w:val="auto"/>
        </w:rPr>
        <w:t>* Per share data and totals may be impacted by rounding.</w:t>
      </w:r>
    </w:p>
    <w:p>
      <w:pPr>
        <w:jc w:val="center"/>
        <w:spacing w:after="0"/>
        <w:rPr>
          <w:sz w:val="20"/>
          <w:szCs w:val="20"/>
          <w:color w:val="auto"/>
        </w:rPr>
      </w:pPr>
      <w:r>
        <w:rPr>
          <w:rFonts w:ascii="Arial" w:cs="Arial" w:eastAsia="Arial" w:hAnsi="Arial"/>
          <w:sz w:val="18"/>
          <w:szCs w:val="18"/>
          <w:color w:val="auto"/>
        </w:rPr>
        <w:t>IS - 9</w:t>
      </w:r>
    </w:p>
    <w:p>
      <w:pPr>
        <w:sectPr>
          <w:pgSz w:w="11900" w:h="16838" w:orient="portrait"/>
          <w:cols w:equalWidth="0" w:num="1">
            <w:col w:w="11240"/>
          </w:cols>
          <w:pgMar w:left="320" w:top="36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DOVER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Q1</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Q2</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Q3</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FY 2025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Q1</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Q2</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Q3</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Q4</w:t>
            </w: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FY 2024</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800" w:type="dxa"/>
            <w:vAlign w:val="bottom"/>
            <w:gridSpan w:val="2"/>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BOOKINGS</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CCEEFF"/>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2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tcPr>
          <w:p>
            <w:pPr>
              <w:spacing w:after="0"/>
              <w:rPr>
                <w:sz w:val="22"/>
                <w:szCs w:val="22"/>
                <w:color w:val="auto"/>
              </w:rPr>
            </w:pPr>
          </w:p>
        </w:tc>
        <w:tc>
          <w:tcPr>
            <w:tcW w:w="84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spacing w:after="0"/>
              <w:rPr>
                <w:sz w:val="22"/>
                <w:szCs w:val="22"/>
                <w:color w:val="auto"/>
              </w:rPr>
            </w:pPr>
          </w:p>
        </w:tc>
        <w:tc>
          <w:tcPr>
            <w:tcW w:w="800" w:type="dxa"/>
            <w:vAlign w:val="bottom"/>
            <w:tcBorders>
              <w:top w:val="single" w:sz="8" w:color="CCEEFF"/>
            </w:tcBorders>
          </w:tcPr>
          <w:p>
            <w:pPr>
              <w:spacing w:after="0"/>
              <w:rPr>
                <w:sz w:val="22"/>
                <w:szCs w:val="22"/>
                <w:color w:val="auto"/>
              </w:rPr>
            </w:pPr>
          </w:p>
        </w:tc>
        <w:tc>
          <w:tcPr>
            <w:tcW w:w="92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6"/>
                <w:szCs w:val="16"/>
                <w:color w:val="auto"/>
                <w:shd w:val="clear" w:color="auto" w:fill="CCEEFF"/>
              </w:rPr>
              <w:t>Engineered Products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264,538</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276,571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273,278</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281,237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w:t>
            </w:r>
          </w:p>
        </w:tc>
        <w:tc>
          <w:tcPr>
            <w:tcW w:w="8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shd w:val="clear" w:color="auto" w:fill="CCEEFF"/>
              </w:rPr>
              <w:t>1,095,624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329,925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280,542</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284,823</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276,487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shd w:val="clear" w:color="auto" w:fill="CCEEFF"/>
              </w:rPr>
              <w:t>$1,171,777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Clean Energy &amp; Fueling</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543,859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526,819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509,553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587,041</w:t>
            </w:r>
          </w:p>
        </w:tc>
        <w:tc>
          <w:tcPr>
            <w:tcW w:w="160" w:type="dxa"/>
            <w:vAlign w:val="bottom"/>
          </w:tcPr>
          <w:p>
            <w:pPr>
              <w:spacing w:after="0"/>
              <w:rPr>
                <w:sz w:val="18"/>
                <w:szCs w:val="18"/>
                <w:color w:val="auto"/>
              </w:rPr>
            </w:pPr>
          </w:p>
        </w:tc>
        <w:tc>
          <w:tcPr>
            <w:tcW w:w="840" w:type="dxa"/>
            <w:vAlign w:val="bottom"/>
          </w:tcPr>
          <w:p>
            <w:pPr>
              <w:ind w:left="60"/>
              <w:spacing w:after="0"/>
              <w:rPr>
                <w:sz w:val="20"/>
                <w:szCs w:val="20"/>
                <w:color w:val="auto"/>
              </w:rPr>
            </w:pPr>
            <w:r>
              <w:rPr>
                <w:rFonts w:ascii="Arial" w:cs="Arial" w:eastAsia="Arial" w:hAnsi="Arial"/>
                <w:sz w:val="16"/>
                <w:szCs w:val="16"/>
                <w:b w:val="1"/>
                <w:bCs w:val="1"/>
                <w:color w:val="auto"/>
              </w:rPr>
              <w:t>2,167,272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471,610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442,086</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507,329</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517,470</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1,938,495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Imaging &amp; Identification</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288,169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292,092</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292,229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302,047</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ind w:left="60"/>
              <w:spacing w:after="0"/>
              <w:rPr>
                <w:sz w:val="20"/>
                <w:szCs w:val="20"/>
                <w:color w:val="auto"/>
              </w:rPr>
            </w:pPr>
            <w:r>
              <w:rPr>
                <w:rFonts w:ascii="Arial" w:cs="Arial" w:eastAsia="Arial" w:hAnsi="Arial"/>
                <w:sz w:val="16"/>
                <w:szCs w:val="16"/>
                <w:b w:val="1"/>
                <w:bCs w:val="1"/>
                <w:color w:val="auto"/>
              </w:rPr>
              <w:t>1,174,537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278,433</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288,641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281,289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295,784</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1,144,147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gridSpan w:val="2"/>
          </w:tcPr>
          <w:p>
            <w:pPr>
              <w:spacing w:after="0" w:line="162" w:lineRule="exact"/>
              <w:rPr>
                <w:sz w:val="20"/>
                <w:szCs w:val="20"/>
                <w:color w:val="auto"/>
              </w:rPr>
            </w:pPr>
            <w:r>
              <w:rPr>
                <w:rFonts w:ascii="Arial" w:cs="Arial" w:eastAsia="Arial" w:hAnsi="Arial"/>
                <w:sz w:val="16"/>
                <w:szCs w:val="16"/>
                <w:color w:val="auto"/>
              </w:rPr>
              <w:t>Pumps &amp; Process</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499,287</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530,158</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510,960</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500,779</w:t>
            </w:r>
          </w:p>
        </w:tc>
        <w:tc>
          <w:tcPr>
            <w:tcW w:w="160" w:type="dxa"/>
            <w:vAlign w:val="bottom"/>
          </w:tcPr>
          <w:p>
            <w:pPr>
              <w:spacing w:after="0"/>
              <w:rPr>
                <w:sz w:val="14"/>
                <w:szCs w:val="14"/>
                <w:color w:val="auto"/>
              </w:rPr>
            </w:pPr>
          </w:p>
        </w:tc>
        <w:tc>
          <w:tcPr>
            <w:tcW w:w="840" w:type="dxa"/>
            <w:vAlign w:val="bottom"/>
            <w:vMerge w:val="restart"/>
          </w:tcPr>
          <w:p>
            <w:pPr>
              <w:ind w:left="60"/>
              <w:spacing w:after="0"/>
              <w:rPr>
                <w:sz w:val="20"/>
                <w:szCs w:val="20"/>
                <w:color w:val="auto"/>
              </w:rPr>
            </w:pPr>
            <w:r>
              <w:rPr>
                <w:rFonts w:ascii="Arial" w:cs="Arial" w:eastAsia="Arial" w:hAnsi="Arial"/>
                <w:sz w:val="16"/>
                <w:szCs w:val="16"/>
                <w:b w:val="1"/>
                <w:bCs w:val="1"/>
                <w:color w:val="auto"/>
              </w:rPr>
              <w:t>2,041,184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473,632</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461,426</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448,074</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473,548</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1,856,680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0" w:type="dxa"/>
            <w:vAlign w:val="bottom"/>
            <w:gridSpan w:val="2"/>
          </w:tcPr>
          <w:p>
            <w:pPr>
              <w:spacing w:after="0"/>
              <w:rPr>
                <w:sz w:val="20"/>
                <w:szCs w:val="20"/>
                <w:color w:val="auto"/>
              </w:rPr>
            </w:pPr>
            <w:r>
              <w:rPr>
                <w:rFonts w:ascii="Arial" w:cs="Arial" w:eastAsia="Arial" w:hAnsi="Arial"/>
                <w:sz w:val="16"/>
                <w:szCs w:val="16"/>
                <w:color w:val="auto"/>
              </w:rPr>
              <w:t>Solutions</w:t>
            </w:r>
          </w:p>
        </w:tc>
        <w:tc>
          <w:tcPr>
            <w:tcW w:w="12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shd w:val="clear" w:color="auto" w:fill="CCEEFF"/>
          </w:tcPr>
          <w:p>
            <w:pPr>
              <w:spacing w:after="0"/>
              <w:rPr>
                <w:sz w:val="14"/>
                <w:szCs w:val="14"/>
                <w:color w:val="auto"/>
              </w:rPr>
            </w:pPr>
          </w:p>
        </w:tc>
        <w:tc>
          <w:tcPr>
            <w:tcW w:w="1800" w:type="dxa"/>
            <w:vAlign w:val="bottom"/>
            <w:gridSpan w:val="2"/>
            <w:shd w:val="clear" w:color="auto" w:fill="CCEEFF"/>
          </w:tcPr>
          <w:p>
            <w:pPr>
              <w:spacing w:after="0" w:line="162" w:lineRule="exact"/>
              <w:rPr>
                <w:sz w:val="20"/>
                <w:szCs w:val="20"/>
                <w:color w:val="auto"/>
              </w:rPr>
            </w:pPr>
            <w:r>
              <w:rPr>
                <w:rFonts w:ascii="Arial" w:cs="Arial" w:eastAsia="Arial" w:hAnsi="Arial"/>
                <w:sz w:val="16"/>
                <w:szCs w:val="16"/>
                <w:color w:val="auto"/>
              </w:rPr>
              <w:t>Climate &amp; Sustainability</w:t>
            </w:r>
          </w:p>
        </w:tc>
        <w:tc>
          <w:tcPr>
            <w:tcW w:w="12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395,623</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384,246</w:t>
            </w:r>
          </w:p>
        </w:tc>
        <w:tc>
          <w:tcPr>
            <w:tcW w:w="14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415,099</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470,081</w:t>
            </w:r>
          </w:p>
        </w:tc>
        <w:tc>
          <w:tcPr>
            <w:tcW w:w="16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ind w:left="60"/>
              <w:spacing w:after="0"/>
              <w:rPr>
                <w:sz w:val="20"/>
                <w:szCs w:val="20"/>
                <w:color w:val="auto"/>
              </w:rPr>
            </w:pPr>
            <w:r>
              <w:rPr>
                <w:rFonts w:ascii="Arial" w:cs="Arial" w:eastAsia="Arial" w:hAnsi="Arial"/>
                <w:sz w:val="16"/>
                <w:szCs w:val="16"/>
                <w:b w:val="1"/>
                <w:bCs w:val="1"/>
                <w:color w:val="auto"/>
              </w:rPr>
              <w:t>1,665,049</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453,086</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406,269</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332,503</w:t>
            </w:r>
          </w:p>
        </w:tc>
        <w:tc>
          <w:tcPr>
            <w:tcW w:w="1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378,774</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1,570,632</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Technologies</w:t>
            </w:r>
          </w:p>
        </w:tc>
        <w:tc>
          <w:tcPr>
            <w:tcW w:w="12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800" w:type="dxa"/>
            <w:vAlign w:val="bottom"/>
            <w:gridSpan w:val="2"/>
          </w:tcPr>
          <w:p>
            <w:pPr>
              <w:spacing w:after="0" w:line="162" w:lineRule="exact"/>
              <w:rPr>
                <w:sz w:val="20"/>
                <w:szCs w:val="20"/>
                <w:color w:val="auto"/>
              </w:rPr>
            </w:pPr>
            <w:r>
              <w:rPr>
                <w:rFonts w:ascii="Arial" w:cs="Arial" w:eastAsia="Arial" w:hAnsi="Arial"/>
                <w:sz w:val="16"/>
                <w:szCs w:val="16"/>
                <w:color w:val="auto"/>
              </w:rPr>
              <w:t>Intersegment</w:t>
            </w:r>
          </w:p>
        </w:tc>
        <w:tc>
          <w:tcPr>
            <w:tcW w:w="1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(1,892)</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(1,295)</w:t>
            </w:r>
          </w:p>
        </w:tc>
        <w:tc>
          <w:tcPr>
            <w:tcW w:w="1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(1,380)</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(1,472)</w:t>
            </w:r>
          </w:p>
        </w:tc>
        <w:tc>
          <w:tcPr>
            <w:tcW w:w="160" w:type="dxa"/>
            <w:vAlign w:val="bottom"/>
          </w:tcPr>
          <w:p>
            <w:pPr>
              <w:spacing w:after="0"/>
              <w:rPr>
                <w:sz w:val="14"/>
                <w:szCs w:val="14"/>
                <w:color w:val="auto"/>
              </w:rPr>
            </w:pPr>
          </w:p>
        </w:tc>
        <w:tc>
          <w:tcPr>
            <w:tcW w:w="84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(6,039)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(791)</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(1,591)</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(1,065)</w:t>
            </w:r>
          </w:p>
        </w:tc>
        <w:tc>
          <w:tcPr>
            <w:tcW w:w="12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(2,578)</w:t>
            </w:r>
          </w:p>
        </w:tc>
        <w:tc>
          <w:tcPr>
            <w:tcW w:w="9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(6,025)</w:t>
            </w:r>
          </w:p>
        </w:tc>
        <w:tc>
          <w:tcPr>
            <w:tcW w:w="0" w:type="dxa"/>
            <w:vAlign w:val="bottom"/>
          </w:tcPr>
          <w:p>
            <w:pPr>
              <w:spacing w:after="0"/>
              <w:rPr>
                <w:sz w:val="1"/>
                <w:szCs w:val="1"/>
                <w:color w:val="auto"/>
              </w:rPr>
            </w:pPr>
          </w:p>
        </w:tc>
      </w:tr>
      <w:tr>
        <w:trPr>
          <w:trHeight w:val="216"/>
        </w:trPr>
        <w:tc>
          <w:tcPr>
            <w:tcW w:w="20" w:type="dxa"/>
            <w:vAlign w:val="bottom"/>
            <w:tcBorders>
              <w:bottom w:val="single" w:sz="8" w:color="CCEEFF"/>
            </w:tcBorders>
          </w:tcPr>
          <w:p>
            <w:pPr>
              <w:spacing w:after="0"/>
              <w:rPr>
                <w:sz w:val="18"/>
                <w:szCs w:val="18"/>
                <w:color w:val="auto"/>
              </w:rPr>
            </w:pPr>
          </w:p>
        </w:tc>
        <w:tc>
          <w:tcPr>
            <w:tcW w:w="18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eliminations</w:t>
            </w: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1800" w:type="dxa"/>
            <w:vAlign w:val="bottom"/>
            <w:gridSpan w:val="2"/>
            <w:shd w:val="clear" w:color="auto" w:fill="CCEEFF"/>
          </w:tcPr>
          <w:p>
            <w:pPr>
              <w:spacing w:after="0" w:line="142" w:lineRule="exact"/>
              <w:rPr>
                <w:sz w:val="20"/>
                <w:szCs w:val="20"/>
                <w:color w:val="auto"/>
              </w:rPr>
            </w:pPr>
            <w:r>
              <w:rPr>
                <w:rFonts w:ascii="Arial" w:cs="Arial" w:eastAsia="Arial" w:hAnsi="Arial"/>
                <w:sz w:val="16"/>
                <w:szCs w:val="16"/>
                <w:color w:val="auto"/>
              </w:rPr>
              <w:t>Total consolidated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1,989,584</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2,008,591</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1,999,739</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2,139,713</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40" w:type="dxa"/>
            <w:vAlign w:val="bottom"/>
            <w:vMerge w:val="restart"/>
            <w:shd w:val="clear" w:color="auto" w:fill="CCEEFF"/>
          </w:tcPr>
          <w:p>
            <w:pPr>
              <w:ind w:left="60"/>
              <w:spacing w:after="0"/>
              <w:rPr>
                <w:sz w:val="20"/>
                <w:szCs w:val="20"/>
                <w:color w:val="auto"/>
              </w:rPr>
            </w:pPr>
            <w:r>
              <w:rPr>
                <w:rFonts w:ascii="Arial" w:cs="Arial" w:eastAsia="Arial" w:hAnsi="Arial"/>
                <w:sz w:val="16"/>
                <w:szCs w:val="16"/>
                <w:b w:val="1"/>
                <w:bCs w:val="1"/>
                <w:color w:val="auto"/>
              </w:rPr>
              <w:t>8,137,627</w:t>
            </w:r>
          </w:p>
        </w:tc>
        <w:tc>
          <w:tcPr>
            <w:tcW w:w="8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2,005,895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1,877,373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1,852,953</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u w:val="single" w:color="auto"/>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8"/>
              </w:rPr>
              <w:t>1,939,485</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7,675,706</w:t>
            </w: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8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bookings</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9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- 10</w:t>
      </w:r>
    </w:p>
    <w:p>
      <w:pPr>
        <w:sectPr>
          <w:pgSz w:w="11900" w:h="16838" w:orient="portrait"/>
          <w:cols w:equalWidth="0" w:num="1">
            <w:col w:w="11240"/>
          </w:cols>
          <w:pgMar w:left="320" w:top="36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(unaudited)(amounts in thousands except share data and where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The discussion throughout this Investor Supplement, unless otherwise noted, relates solely to our continuing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Acquisitions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did not complete any acquisitions during the fourth quarter of 2025. For the full year 2025, the Company acquired four businesses in separate transactions for total consideration of $665.3 million, net of cash acquired and inclusive of measurement period adjustments and contingent consideration of $2.0 million. These businesses were acquired to complement and expand upon existing operations within the Pumps &amp; Process Solutions and Clean Energy &amp; Fueling segments. The purchase price allocations for these acquisitions are preliminary and subject to change during the measurement period.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Restructuring and Other Costs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fourth quarter and year ended December 31, 2025, restructuring and other costs included restructuring charges of $24.3 million and $56.7 million, respectively, and other costs of $5.2 million and $ 21.2 million, respectively. The restructuring expenses incurred during the year ended December 31, 2025 were primarily related to exit costs and headcount reductions across all segments, most notably within the Climate &amp; Sustainability Technologies and Clean Energy &amp; Fueling segments. These restructuring programs were initiated in 2024 and 2025 and the Company will continue to make proactive adjustments to its cost structure to align with current demand trends and additional programs, beyond the scope of the announced programs, may be implemented during 2026 with related restructuring charges. Other costs for the year ended December 31, 2025 include $4.0 million in costs associated with a product line exit and $6.3 million in costs associated with a footprint reduction, both in our Climate &amp; Sustainability Technologies segment.</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0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9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1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8"/>
                <w:szCs w:val="18"/>
                <w:b w:val="1"/>
                <w:bCs w:val="1"/>
                <w:color w:val="auto"/>
              </w:rPr>
              <w:t>2024</w:t>
            </w:r>
          </w:p>
        </w:tc>
        <w:tc>
          <w:tcPr>
            <w:tcW w:w="1080" w:type="dxa"/>
            <w:vAlign w:val="bottom"/>
            <w:tcBorders>
              <w:bottom w:val="single" w:sz="8" w:color="auto"/>
            </w:tcBorders>
          </w:tcPr>
          <w:p>
            <w:pPr>
              <w:spacing w:after="0"/>
              <w:rPr>
                <w:sz w:val="20"/>
                <w:szCs w:val="20"/>
                <w:color w:val="auto"/>
              </w:rPr>
            </w:pPr>
          </w:p>
        </w:tc>
      </w:tr>
      <w:tr>
        <w:trPr>
          <w:trHeight w:val="223"/>
        </w:trPr>
        <w:tc>
          <w:tcPr>
            <w:tcW w:w="50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Q4</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ind w:right="530"/>
              <w:spacing w:after="0"/>
              <w:rPr>
                <w:sz w:val="20"/>
                <w:szCs w:val="20"/>
                <w:color w:val="auto"/>
              </w:rPr>
            </w:pPr>
            <w:r>
              <w:rPr>
                <w:rFonts w:ascii="Arial" w:cs="Arial" w:eastAsia="Arial" w:hAnsi="Arial"/>
                <w:sz w:val="18"/>
                <w:szCs w:val="18"/>
                <w:b w:val="1"/>
                <w:bCs w:val="1"/>
                <w:color w:val="auto"/>
              </w:rPr>
              <w:t>FY</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gridSpan w:val="2"/>
          </w:tcPr>
          <w:p>
            <w:pPr>
              <w:ind w:left="240"/>
              <w:spacing w:after="0"/>
              <w:rPr>
                <w:sz w:val="20"/>
                <w:szCs w:val="20"/>
                <w:color w:val="auto"/>
              </w:rPr>
            </w:pPr>
            <w:r>
              <w:rPr>
                <w:rFonts w:ascii="Arial" w:cs="Arial" w:eastAsia="Arial" w:hAnsi="Arial"/>
                <w:sz w:val="18"/>
                <w:szCs w:val="18"/>
                <w:b w:val="1"/>
                <w:bCs w:val="1"/>
                <w:color w:val="auto"/>
              </w:rPr>
              <w:t>Q4</w:t>
            </w:r>
          </w:p>
        </w:tc>
        <w:tc>
          <w:tcPr>
            <w:tcW w:w="380" w:type="dxa"/>
            <w:vAlign w:val="bottom"/>
          </w:tcPr>
          <w:p>
            <w:pPr>
              <w:spacing w:after="0"/>
              <w:rPr>
                <w:sz w:val="19"/>
                <w:szCs w:val="19"/>
                <w:color w:val="auto"/>
              </w:rPr>
            </w:pPr>
          </w:p>
        </w:tc>
        <w:tc>
          <w:tcPr>
            <w:tcW w:w="1080" w:type="dxa"/>
            <w:vAlign w:val="bottom"/>
          </w:tcPr>
          <w:p>
            <w:pPr>
              <w:jc w:val="right"/>
              <w:ind w:right="530"/>
              <w:spacing w:after="0"/>
              <w:rPr>
                <w:sz w:val="20"/>
                <w:szCs w:val="20"/>
                <w:color w:val="auto"/>
              </w:rPr>
            </w:pPr>
            <w:r>
              <w:rPr>
                <w:rFonts w:ascii="Arial" w:cs="Arial" w:eastAsia="Arial" w:hAnsi="Arial"/>
                <w:sz w:val="18"/>
                <w:szCs w:val="18"/>
                <w:b w:val="1"/>
                <w:bCs w:val="1"/>
                <w:color w:val="auto"/>
              </w:rPr>
              <w:t>FY</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Engineered Products</w:t>
            </w:r>
          </w:p>
        </w:tc>
        <w:tc>
          <w:tcPr>
            <w:tcW w:w="940" w:type="dxa"/>
            <w:vAlign w:val="bottom"/>
            <w:tcBorders>
              <w:top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Clean Energy &amp; Fueling</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w:t>
            </w:r>
          </w:p>
        </w:tc>
      </w:tr>
      <w:tr>
        <w:trPr>
          <w:trHeight w:val="229"/>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Imaging &amp; Identification</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Pumps &amp; Process Solutions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Climate &amp; Sustainability Technologies</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Corporate</w:t>
            </w:r>
          </w:p>
        </w:tc>
        <w:tc>
          <w:tcPr>
            <w:tcW w:w="9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r>
      <w:tr>
        <w:trPr>
          <w:trHeight w:val="24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940" w:type="dxa"/>
            <w:vAlign w:val="bottom"/>
            <w:tcBorders>
              <w:bottom w:val="single" w:sz="8" w:color="auto"/>
            </w:tcBorders>
            <w:shd w:val="clear" w:color="auto" w:fill="CCEEFF"/>
          </w:tcPr>
          <w:p>
            <w:pPr>
              <w:jc w:val="right"/>
              <w:ind w:right="7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Totals may be impacted by rounding.</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Tax Rate</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effective tax rate was 19.3% and 21.5% for the fourth quarters of 2025 and 2024, respectively. The decrease from 2024 to 2025 was primarily due to earnings mix. On a full year basis, the effective tax rate for 2025 and 2024 was 20.1% and 20.3%,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Share Repurchases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the fourth quarter of 2025, the Company established a $500.0 million accelerated share repurchase program ("ASR Program"), initially receiving 2,334,010 shares, representing a substantial majority of the shares expected to be retired over the course of the ASR Program. The total number of shares ultimately repurchased will be based on the average of the daily volume-weighted average share price of Dover's common stock during the calculation period of the ASR Program, less a discount and subject to potential adjustments pursuant to the terms of the ASR Program. The ASR Program is scheduled to be completed in the second quarter of 2026, but is subject to early termination in certain circumstances. During the year ended December 31, 2025, exclusive of the ASR Program, the Company repurchased 200,000 shares of common stock at a total cost of $40.7 million or $203.50 per share.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- 11</w:t>
      </w:r>
    </w:p>
    <w:p>
      <w:pPr>
        <w:sectPr>
          <w:pgSz w:w="11900" w:h="16838" w:orient="portrait"/>
          <w:cols w:equalWidth="0" w:num="1">
            <w:col w:w="11240"/>
          </w:cols>
          <w:pgMar w:left="320" w:top="122"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ADDITIONAL INFORMATION</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QUARTER AND FULL YEAR 2025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(unaudited)(amounts in thousands except share data and where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Capitalization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calculation of net debt to net capitalization from the most directly comparable GAAP measures: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40" w:type="dxa"/>
            <w:vAlign w:val="bottom"/>
          </w:tcPr>
          <w:p>
            <w:pPr>
              <w:ind w:left="20"/>
              <w:spacing w:after="0"/>
              <w:rPr>
                <w:sz w:val="20"/>
                <w:szCs w:val="20"/>
                <w:color w:val="auto"/>
              </w:rPr>
            </w:pPr>
            <w:r>
              <w:rPr>
                <w:rFonts w:ascii="Arial" w:cs="Arial" w:eastAsia="Arial" w:hAnsi="Arial"/>
                <w:sz w:val="16"/>
                <w:szCs w:val="16"/>
                <w:b w:val="1"/>
                <w:bCs w:val="1"/>
                <w:color w:val="auto"/>
              </w:rPr>
              <w:t>Net Debt to Net Capitalization Ratio (Non-GAAP)</w:t>
            </w:r>
          </w:p>
        </w:tc>
        <w:tc>
          <w:tcPr>
            <w:tcW w:w="200" w:type="dxa"/>
            <w:vAlign w:val="bottom"/>
          </w:tcPr>
          <w:p>
            <w:pPr>
              <w:spacing w:after="0"/>
              <w:rPr>
                <w:sz w:val="18"/>
                <w:szCs w:val="18"/>
                <w:color w:val="auto"/>
              </w:rPr>
            </w:pPr>
          </w:p>
        </w:tc>
        <w:tc>
          <w:tcPr>
            <w:tcW w:w="190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 2025</w:t>
            </w:r>
          </w:p>
        </w:tc>
        <w:tc>
          <w:tcPr>
            <w:tcW w:w="200" w:type="dxa"/>
            <w:vAlign w:val="bottom"/>
          </w:tcPr>
          <w:p>
            <w:pPr>
              <w:spacing w:after="0"/>
              <w:rPr>
                <w:sz w:val="18"/>
                <w:szCs w:val="18"/>
                <w:color w:val="auto"/>
              </w:rPr>
            </w:pPr>
          </w:p>
        </w:tc>
        <w:tc>
          <w:tcPr>
            <w:tcW w:w="1800" w:type="dxa"/>
            <w:vAlign w:val="bottom"/>
          </w:tcPr>
          <w:p>
            <w:pPr>
              <w:jc w:val="right"/>
              <w:ind w:right="179"/>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7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Short-term borrowings and current portion of long-term debt</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706,677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400,056</w:t>
            </w:r>
          </w:p>
        </w:tc>
      </w:tr>
      <w:tr>
        <w:trPr>
          <w:trHeight w:val="21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Long-term debt</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2,621,295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2,529,346</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3,327,972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2,929,402</w:t>
            </w:r>
          </w:p>
        </w:tc>
      </w:tr>
      <w:tr>
        <w:trPr>
          <w:trHeight w:val="21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Cash and cash equivalents</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(1,676,808)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(1,844,877)</w:t>
            </w: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debt</w:t>
            </w: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1,651,164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1,084,525</w:t>
            </w:r>
          </w:p>
        </w:tc>
      </w:tr>
      <w:tr>
        <w:trPr>
          <w:trHeight w:val="215"/>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Add: Stockholders' equity</w:t>
            </w: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7,405,206</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6,953,996</w:t>
            </w:r>
          </w:p>
        </w:tc>
      </w:tr>
      <w:tr>
        <w:trPr>
          <w:trHeight w:val="235"/>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capitalization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9,056,370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8,038,521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5320" w:type="dxa"/>
            <w:vAlign w:val="bottom"/>
          </w:tcPr>
          <w:p>
            <w:pPr>
              <w:spacing w:after="0"/>
              <w:rPr>
                <w:sz w:val="20"/>
                <w:szCs w:val="20"/>
                <w:color w:val="auto"/>
              </w:rPr>
            </w:pPr>
            <w:r>
              <w:rPr>
                <w:rFonts w:ascii="Arial" w:cs="Arial" w:eastAsia="Arial" w:hAnsi="Arial"/>
                <w:sz w:val="16"/>
                <w:szCs w:val="16"/>
                <w:color w:val="auto"/>
              </w:rPr>
              <w:t>Net debt to net capitalization</w:t>
            </w:r>
          </w:p>
        </w:tc>
        <w:tc>
          <w:tcPr>
            <w:tcW w:w="4580" w:type="dxa"/>
            <w:vAlign w:val="bottom"/>
          </w:tcPr>
          <w:p>
            <w:pPr>
              <w:jc w:val="right"/>
              <w:ind w:right="719"/>
              <w:spacing w:after="0"/>
              <w:rPr>
                <w:sz w:val="20"/>
                <w:szCs w:val="20"/>
                <w:color w:val="auto"/>
              </w:rPr>
            </w:pPr>
            <w:r>
              <w:rPr>
                <w:rFonts w:ascii="Arial" w:cs="Arial" w:eastAsia="Arial" w:hAnsi="Arial"/>
                <w:sz w:val="16"/>
                <w:szCs w:val="16"/>
                <w:color w:val="auto"/>
              </w:rPr>
              <w:t>18.2 %</w:t>
            </w:r>
          </w:p>
        </w:tc>
        <w:tc>
          <w:tcPr>
            <w:tcW w:w="1300" w:type="dxa"/>
            <w:vAlign w:val="bottom"/>
          </w:tcPr>
          <w:p>
            <w:pPr>
              <w:jc w:val="right"/>
              <w:spacing w:after="0"/>
              <w:rPr>
                <w:sz w:val="20"/>
                <w:szCs w:val="20"/>
                <w:color w:val="auto"/>
              </w:rPr>
            </w:pPr>
            <w:r>
              <w:rPr>
                <w:rFonts w:ascii="Arial" w:cs="Arial" w:eastAsia="Arial" w:hAnsi="Arial"/>
                <w:sz w:val="16"/>
                <w:szCs w:val="16"/>
                <w:color w:val="auto"/>
              </w:rPr>
              <w:t>13.5 %</w:t>
            </w:r>
          </w:p>
        </w:tc>
      </w:tr>
    </w:tbl>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Cash Flow</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2025</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196"/>
        </w:trPr>
        <w:tc>
          <w:tcPr>
            <w:tcW w:w="2240" w:type="dxa"/>
            <w:vAlign w:val="bottom"/>
          </w:tcPr>
          <w:p>
            <w:pPr>
              <w:spacing w:after="0"/>
              <w:rPr>
                <w:sz w:val="17"/>
                <w:szCs w:val="17"/>
                <w:color w:val="auto"/>
              </w:rPr>
            </w:pPr>
          </w:p>
        </w:tc>
        <w:tc>
          <w:tcPr>
            <w:tcW w:w="880" w:type="dxa"/>
            <w:vAlign w:val="bottom"/>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80" w:type="dxa"/>
            <w:vAlign w:val="bottom"/>
          </w:tcPr>
          <w:p>
            <w:pPr>
              <w:spacing w:after="0"/>
              <w:rPr>
                <w:sz w:val="17"/>
                <w:szCs w:val="17"/>
                <w:color w:val="auto"/>
              </w:rPr>
            </w:pPr>
          </w:p>
        </w:tc>
        <w:tc>
          <w:tcPr>
            <w:tcW w:w="700" w:type="dxa"/>
            <w:vAlign w:val="bottom"/>
          </w:tcPr>
          <w:p>
            <w:pPr>
              <w:jc w:val="right"/>
              <w:ind w:right="268"/>
              <w:spacing w:after="0"/>
              <w:rPr>
                <w:sz w:val="20"/>
                <w:szCs w:val="20"/>
                <w:color w:val="auto"/>
              </w:rPr>
            </w:pPr>
            <w:r>
              <w:rPr>
                <w:rFonts w:ascii="Arial" w:cs="Arial" w:eastAsia="Arial" w:hAnsi="Arial"/>
                <w:sz w:val="14"/>
                <w:szCs w:val="14"/>
                <w:b w:val="1"/>
                <w:bCs w:val="1"/>
                <w:color w:val="auto"/>
              </w:rPr>
              <w:t>Q2</w:t>
            </w:r>
          </w:p>
        </w:tc>
        <w:tc>
          <w:tcPr>
            <w:tcW w:w="200" w:type="dxa"/>
            <w:vAlign w:val="bottom"/>
          </w:tcPr>
          <w:p>
            <w:pPr>
              <w:spacing w:after="0"/>
              <w:rPr>
                <w:sz w:val="17"/>
                <w:szCs w:val="17"/>
                <w:color w:val="auto"/>
              </w:rPr>
            </w:pPr>
          </w:p>
        </w:tc>
        <w:tc>
          <w:tcPr>
            <w:tcW w:w="680" w:type="dxa"/>
            <w:vAlign w:val="bottom"/>
          </w:tcPr>
          <w:p>
            <w:pPr>
              <w:ind w:left="140"/>
              <w:spacing w:after="0"/>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7"/>
                <w:szCs w:val="17"/>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FY 2025</w:t>
            </w:r>
          </w:p>
        </w:tc>
        <w:tc>
          <w:tcPr>
            <w:tcW w:w="200" w:type="dxa"/>
            <w:vAlign w:val="bottom"/>
          </w:tcPr>
          <w:p>
            <w:pPr>
              <w:spacing w:after="0"/>
              <w:rPr>
                <w:sz w:val="17"/>
                <w:szCs w:val="17"/>
                <w:color w:val="auto"/>
              </w:rPr>
            </w:pPr>
          </w:p>
        </w:tc>
        <w:tc>
          <w:tcPr>
            <w:tcW w:w="680" w:type="dxa"/>
            <w:vAlign w:val="bottom"/>
          </w:tcPr>
          <w:p>
            <w:pPr>
              <w:jc w:val="right"/>
              <w:ind w:right="268"/>
              <w:spacing w:after="0"/>
              <w:rPr>
                <w:sz w:val="20"/>
                <w:szCs w:val="20"/>
                <w:color w:val="auto"/>
              </w:rPr>
            </w:pPr>
            <w:r>
              <w:rPr>
                <w:rFonts w:ascii="Arial" w:cs="Arial" w:eastAsia="Arial" w:hAnsi="Arial"/>
                <w:sz w:val="14"/>
                <w:szCs w:val="14"/>
                <w:b w:val="1"/>
                <w:bCs w:val="1"/>
                <w:color w:val="auto"/>
              </w:rPr>
              <w:t>Q1</w:t>
            </w:r>
          </w:p>
        </w:tc>
        <w:tc>
          <w:tcPr>
            <w:tcW w:w="160" w:type="dxa"/>
            <w:vAlign w:val="bottom"/>
          </w:tcPr>
          <w:p>
            <w:pPr>
              <w:spacing w:after="0"/>
              <w:rPr>
                <w:sz w:val="17"/>
                <w:szCs w:val="17"/>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Q2</w:t>
            </w:r>
          </w:p>
        </w:tc>
        <w:tc>
          <w:tcPr>
            <w:tcW w:w="160" w:type="dxa"/>
            <w:vAlign w:val="bottom"/>
          </w:tcPr>
          <w:p>
            <w:pPr>
              <w:spacing w:after="0"/>
              <w:rPr>
                <w:sz w:val="17"/>
                <w:szCs w:val="17"/>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Q3</w:t>
            </w:r>
          </w:p>
        </w:tc>
        <w:tc>
          <w:tcPr>
            <w:tcW w:w="160" w:type="dxa"/>
            <w:vAlign w:val="bottom"/>
          </w:tcPr>
          <w:p>
            <w:pPr>
              <w:spacing w:after="0"/>
              <w:rPr>
                <w:sz w:val="17"/>
                <w:szCs w:val="17"/>
                <w:color w:val="auto"/>
              </w:rPr>
            </w:pPr>
          </w:p>
        </w:tc>
        <w:tc>
          <w:tcPr>
            <w:tcW w:w="720" w:type="dxa"/>
            <w:vAlign w:val="bottom"/>
          </w:tcPr>
          <w:p>
            <w:pPr>
              <w:jc w:val="right"/>
              <w:ind w:right="268"/>
              <w:spacing w:after="0"/>
              <w:rPr>
                <w:sz w:val="20"/>
                <w:szCs w:val="20"/>
                <w:color w:val="auto"/>
              </w:rPr>
            </w:pPr>
            <w:r>
              <w:rPr>
                <w:rFonts w:ascii="Arial" w:cs="Arial" w:eastAsia="Arial" w:hAnsi="Arial"/>
                <w:sz w:val="14"/>
                <w:szCs w:val="14"/>
                <w:b w:val="1"/>
                <w:bCs w:val="1"/>
                <w:color w:val="auto"/>
              </w:rPr>
              <w:t>Q4</w:t>
            </w:r>
          </w:p>
        </w:tc>
        <w:tc>
          <w:tcPr>
            <w:tcW w:w="140" w:type="dxa"/>
            <w:vAlign w:val="bottom"/>
          </w:tcPr>
          <w:p>
            <w:pPr>
              <w:spacing w:after="0"/>
              <w:rPr>
                <w:sz w:val="17"/>
                <w:szCs w:val="17"/>
                <w:color w:val="auto"/>
              </w:rPr>
            </w:pP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FY 2024</w:t>
            </w:r>
          </w:p>
        </w:tc>
      </w:tr>
      <w:tr>
        <w:trPr>
          <w:trHeight w:val="183"/>
        </w:trPr>
        <w:tc>
          <w:tcPr>
            <w:tcW w:w="2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Flows Provided By (Used</w:t>
            </w:r>
          </w:p>
        </w:tc>
        <w:tc>
          <w:tcPr>
            <w:tcW w:w="880" w:type="dxa"/>
            <w:vAlign w:val="bottom"/>
            <w:tcBorders>
              <w:top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In):</w:t>
            </w:r>
          </w:p>
        </w:tc>
        <w:tc>
          <w:tcPr>
            <w:tcW w:w="18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r>
      <w:tr>
        <w:trPr>
          <w:trHeight w:val="202"/>
        </w:trPr>
        <w:tc>
          <w:tcPr>
            <w:tcW w:w="2240" w:type="dxa"/>
            <w:vAlign w:val="bottom"/>
          </w:tcPr>
          <w:p>
            <w:pPr>
              <w:ind w:left="20"/>
              <w:spacing w:after="0"/>
              <w:rPr>
                <w:sz w:val="20"/>
                <w:szCs w:val="20"/>
                <w:color w:val="auto"/>
              </w:rPr>
            </w:pPr>
            <w:r>
              <w:rPr>
                <w:rFonts w:ascii="Arial" w:cs="Arial" w:eastAsia="Arial" w:hAnsi="Arial"/>
                <w:sz w:val="14"/>
                <w:szCs w:val="14"/>
                <w:color w:val="auto"/>
              </w:rPr>
              <w:t>Operating activities</w:t>
            </w:r>
          </w:p>
        </w:tc>
        <w:tc>
          <w:tcPr>
            <w:tcW w:w="880" w:type="dxa"/>
            <w:vAlign w:val="bottom"/>
          </w:tcPr>
          <w:p>
            <w:pPr>
              <w:jc w:val="right"/>
              <w:spacing w:after="0"/>
              <w:rPr>
                <w:sz w:val="20"/>
                <w:szCs w:val="20"/>
                <w:color w:val="auto"/>
              </w:rPr>
            </w:pPr>
            <w:r>
              <w:rPr>
                <w:rFonts w:ascii="Arial" w:cs="Arial" w:eastAsia="Arial" w:hAnsi="Arial"/>
                <w:sz w:val="14"/>
                <w:szCs w:val="14"/>
                <w:color w:val="auto"/>
              </w:rPr>
              <w:t>$   157,474</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212,340</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ind w:left="100"/>
              <w:spacing w:after="0"/>
              <w:rPr>
                <w:sz w:val="20"/>
                <w:szCs w:val="20"/>
                <w:color w:val="auto"/>
              </w:rPr>
            </w:pPr>
            <w:r>
              <w:rPr>
                <w:rFonts w:ascii="Arial" w:cs="Arial" w:eastAsia="Arial" w:hAnsi="Arial"/>
                <w:sz w:val="14"/>
                <w:szCs w:val="14"/>
                <w:color w:val="auto"/>
              </w:rPr>
              <w:t>424,245</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543,946</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1,338,005</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146,456</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149,181</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353,244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438,952</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1,087,833</w:t>
            </w:r>
          </w:p>
        </w:tc>
      </w:tr>
      <w:tr>
        <w:trPr>
          <w:trHeight w:val="203"/>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Investing activities</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(74,186)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(681,584)</w:t>
            </w: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(58,857)</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(71,967)</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(886,594)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432,416</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33,215</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(402,512)</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(90,102)</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(26,983)</w:t>
            </w:r>
          </w:p>
        </w:tc>
      </w:tr>
      <w:tr>
        <w:trPr>
          <w:trHeight w:val="200"/>
        </w:trPr>
        <w:tc>
          <w:tcPr>
            <w:tcW w:w="224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880" w:type="dxa"/>
            <w:vAlign w:val="bottom"/>
          </w:tcPr>
          <w:p>
            <w:pPr>
              <w:jc w:val="right"/>
              <w:spacing w:after="0"/>
              <w:rPr>
                <w:sz w:val="20"/>
                <w:szCs w:val="20"/>
                <w:color w:val="auto"/>
              </w:rPr>
            </w:pPr>
            <w:r>
              <w:rPr>
                <w:rFonts w:ascii="Arial" w:cs="Arial" w:eastAsia="Arial" w:hAnsi="Arial"/>
                <w:sz w:val="14"/>
                <w:szCs w:val="14"/>
                <w:color w:val="auto"/>
              </w:rPr>
              <w:t>(122,234)</w:t>
            </w: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(84,235)</w:t>
            </w:r>
          </w:p>
        </w:tc>
        <w:tc>
          <w:tcPr>
            <w:tcW w:w="200" w:type="dxa"/>
            <w:vAlign w:val="bottom"/>
          </w:tcPr>
          <w:p>
            <w:pPr>
              <w:spacing w:after="0"/>
              <w:rPr>
                <w:sz w:val="17"/>
                <w:szCs w:val="17"/>
                <w:color w:val="auto"/>
              </w:rPr>
            </w:pPr>
          </w:p>
        </w:tc>
        <w:tc>
          <w:tcPr>
            <w:tcW w:w="680" w:type="dxa"/>
            <w:vAlign w:val="bottom"/>
          </w:tcPr>
          <w:p>
            <w:pPr>
              <w:ind w:left="120"/>
              <w:spacing w:after="0"/>
              <w:rPr>
                <w:sz w:val="20"/>
                <w:szCs w:val="20"/>
                <w:color w:val="auto"/>
              </w:rPr>
            </w:pPr>
            <w:r>
              <w:rPr>
                <w:rFonts w:ascii="Arial" w:cs="Arial" w:eastAsia="Arial" w:hAnsi="Arial"/>
                <w:sz w:val="14"/>
                <w:szCs w:val="14"/>
                <w:color w:val="auto"/>
              </w:rPr>
              <w:t>(73,878)</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(344,523)</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(624,870)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(80,782)</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(830,657)</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92,994</w:t>
            </w:r>
          </w:p>
        </w:tc>
        <w:tc>
          <w:tcPr>
            <w:tcW w:w="1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(453,228)</w:t>
            </w:r>
          </w:p>
        </w:tc>
        <w:tc>
          <w:tcPr>
            <w:tcW w:w="1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(1,271,673)</w:t>
            </w: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Quarterly Free Cash Flow (Non-GAAP)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5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2025</w:t>
            </w: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2024</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Q1</w:t>
            </w:r>
          </w:p>
        </w:tc>
        <w:tc>
          <w:tcPr>
            <w:tcW w:w="220" w:type="dxa"/>
            <w:vAlign w:val="bottom"/>
          </w:tcPr>
          <w:p>
            <w:pPr>
              <w:spacing w:after="0"/>
              <w:rPr>
                <w:sz w:val="17"/>
                <w:szCs w:val="17"/>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Q2</w:t>
            </w:r>
          </w:p>
        </w:tc>
        <w:tc>
          <w:tcPr>
            <w:tcW w:w="220" w:type="dxa"/>
            <w:vAlign w:val="bottom"/>
          </w:tcPr>
          <w:p>
            <w:pPr>
              <w:spacing w:after="0"/>
              <w:rPr>
                <w:sz w:val="17"/>
                <w:szCs w:val="17"/>
                <w:color w:val="auto"/>
              </w:rPr>
            </w:pPr>
          </w:p>
        </w:tc>
        <w:tc>
          <w:tcPr>
            <w:tcW w:w="700" w:type="dxa"/>
            <w:vAlign w:val="bottom"/>
          </w:tcPr>
          <w:p>
            <w:pPr>
              <w:jc w:val="center"/>
              <w:ind w:right="28"/>
              <w:spacing w:after="0"/>
              <w:rPr>
                <w:sz w:val="20"/>
                <w:szCs w:val="20"/>
                <w:color w:val="auto"/>
              </w:rPr>
            </w:pPr>
            <w:r>
              <w:rPr>
                <w:rFonts w:ascii="Arial" w:cs="Arial" w:eastAsia="Arial" w:hAnsi="Arial"/>
                <w:sz w:val="14"/>
                <w:szCs w:val="14"/>
                <w:b w:val="1"/>
                <w:bCs w:val="1"/>
                <w:color w:val="auto"/>
              </w:rPr>
              <w:t>Q3</w:t>
            </w:r>
          </w:p>
        </w:tc>
        <w:tc>
          <w:tcPr>
            <w:tcW w:w="240" w:type="dxa"/>
            <w:vAlign w:val="bottom"/>
          </w:tcPr>
          <w:p>
            <w:pPr>
              <w:spacing w:after="0"/>
              <w:rPr>
                <w:sz w:val="17"/>
                <w:szCs w:val="17"/>
                <w:color w:val="auto"/>
              </w:rPr>
            </w:pPr>
          </w:p>
        </w:tc>
        <w:tc>
          <w:tcPr>
            <w:tcW w:w="720" w:type="dxa"/>
            <w:vAlign w:val="bottom"/>
          </w:tcPr>
          <w:p>
            <w:pPr>
              <w:jc w:val="right"/>
              <w:ind w:right="248"/>
              <w:spacing w:after="0"/>
              <w:rPr>
                <w:sz w:val="20"/>
                <w:szCs w:val="20"/>
                <w:color w:val="auto"/>
              </w:rPr>
            </w:pPr>
            <w:r>
              <w:rPr>
                <w:rFonts w:ascii="Arial" w:cs="Arial" w:eastAsia="Arial" w:hAnsi="Arial"/>
                <w:sz w:val="14"/>
                <w:szCs w:val="14"/>
                <w:b w:val="1"/>
                <w:bCs w:val="1"/>
                <w:color w:val="auto"/>
              </w:rPr>
              <w:t>Q4</w:t>
            </w:r>
          </w:p>
        </w:tc>
        <w:tc>
          <w:tcPr>
            <w:tcW w:w="24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FY 2025</w:t>
            </w:r>
          </w:p>
        </w:tc>
        <w:tc>
          <w:tcPr>
            <w:tcW w:w="140" w:type="dxa"/>
            <w:vAlign w:val="bottom"/>
          </w:tcPr>
          <w:p>
            <w:pPr>
              <w:spacing w:after="0"/>
              <w:rPr>
                <w:sz w:val="17"/>
                <w:szCs w:val="17"/>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Q1</w:t>
            </w:r>
          </w:p>
        </w:tc>
        <w:tc>
          <w:tcPr>
            <w:tcW w:w="240" w:type="dxa"/>
            <w:vAlign w:val="bottom"/>
          </w:tcPr>
          <w:p>
            <w:pPr>
              <w:spacing w:after="0"/>
              <w:rPr>
                <w:sz w:val="17"/>
                <w:szCs w:val="17"/>
                <w:color w:val="auto"/>
              </w:rPr>
            </w:pPr>
          </w:p>
        </w:tc>
        <w:tc>
          <w:tcPr>
            <w:tcW w:w="700" w:type="dxa"/>
            <w:vAlign w:val="bottom"/>
          </w:tcPr>
          <w:p>
            <w:pPr>
              <w:jc w:val="right"/>
              <w:ind w:right="228"/>
              <w:spacing w:after="0"/>
              <w:rPr>
                <w:sz w:val="20"/>
                <w:szCs w:val="20"/>
                <w:color w:val="auto"/>
              </w:rPr>
            </w:pPr>
            <w:r>
              <w:rPr>
                <w:rFonts w:ascii="Arial" w:cs="Arial" w:eastAsia="Arial" w:hAnsi="Arial"/>
                <w:sz w:val="14"/>
                <w:szCs w:val="14"/>
                <w:b w:val="1"/>
                <w:bCs w:val="1"/>
                <w:color w:val="auto"/>
              </w:rPr>
              <w:t>Q2</w:t>
            </w:r>
          </w:p>
        </w:tc>
        <w:tc>
          <w:tcPr>
            <w:tcW w:w="220" w:type="dxa"/>
            <w:vAlign w:val="bottom"/>
          </w:tcPr>
          <w:p>
            <w:pPr>
              <w:spacing w:after="0"/>
              <w:rPr>
                <w:sz w:val="17"/>
                <w:szCs w:val="17"/>
                <w:color w:val="auto"/>
              </w:rPr>
            </w:pPr>
          </w:p>
        </w:tc>
        <w:tc>
          <w:tcPr>
            <w:tcW w:w="720" w:type="dxa"/>
            <w:vAlign w:val="bottom"/>
          </w:tcPr>
          <w:p>
            <w:pPr>
              <w:ind w:left="220"/>
              <w:spacing w:after="0"/>
              <w:rPr>
                <w:sz w:val="20"/>
                <w:szCs w:val="20"/>
                <w:color w:val="auto"/>
              </w:rPr>
            </w:pPr>
            <w:r>
              <w:rPr>
                <w:rFonts w:ascii="Arial" w:cs="Arial" w:eastAsia="Arial" w:hAnsi="Arial"/>
                <w:sz w:val="14"/>
                <w:szCs w:val="14"/>
                <w:b w:val="1"/>
                <w:bCs w:val="1"/>
                <w:color w:val="auto"/>
              </w:rPr>
              <w:t>Q3</w:t>
            </w:r>
          </w:p>
        </w:tc>
        <w:tc>
          <w:tcPr>
            <w:tcW w:w="220" w:type="dxa"/>
            <w:vAlign w:val="bottom"/>
          </w:tcPr>
          <w:p>
            <w:pPr>
              <w:spacing w:after="0"/>
              <w:rPr>
                <w:sz w:val="17"/>
                <w:szCs w:val="17"/>
                <w:color w:val="auto"/>
              </w:rPr>
            </w:pPr>
          </w:p>
        </w:tc>
        <w:tc>
          <w:tcPr>
            <w:tcW w:w="720" w:type="dxa"/>
            <w:vAlign w:val="bottom"/>
          </w:tcPr>
          <w:p>
            <w:pPr>
              <w:jc w:val="right"/>
              <w:ind w:right="228"/>
              <w:spacing w:after="0"/>
              <w:rPr>
                <w:sz w:val="20"/>
                <w:szCs w:val="20"/>
                <w:color w:val="auto"/>
              </w:rPr>
            </w:pPr>
            <w:r>
              <w:rPr>
                <w:rFonts w:ascii="Arial" w:cs="Arial" w:eastAsia="Arial" w:hAnsi="Arial"/>
                <w:sz w:val="14"/>
                <w:szCs w:val="14"/>
                <w:b w:val="1"/>
                <w:bCs w:val="1"/>
                <w:color w:val="auto"/>
              </w:rPr>
              <w:t>Q4</w:t>
            </w:r>
          </w:p>
        </w:tc>
        <w:tc>
          <w:tcPr>
            <w:tcW w:w="220" w:type="dxa"/>
            <w:vAlign w:val="bottom"/>
          </w:tcPr>
          <w:p>
            <w:pPr>
              <w:spacing w:after="0"/>
              <w:rPr>
                <w:sz w:val="17"/>
                <w:szCs w:val="17"/>
                <w:color w:val="auto"/>
              </w:rPr>
            </w:pPr>
          </w:p>
        </w:tc>
        <w:tc>
          <w:tcPr>
            <w:tcW w:w="880" w:type="dxa"/>
            <w:vAlign w:val="bottom"/>
          </w:tcPr>
          <w:p>
            <w:pPr>
              <w:jc w:val="right"/>
              <w:ind w:right="168"/>
              <w:spacing w:after="0"/>
              <w:rPr>
                <w:sz w:val="20"/>
                <w:szCs w:val="20"/>
                <w:color w:val="auto"/>
              </w:rPr>
            </w:pPr>
            <w:r>
              <w:rPr>
                <w:rFonts w:ascii="Arial" w:cs="Arial" w:eastAsia="Arial" w:hAnsi="Arial"/>
                <w:sz w:val="14"/>
                <w:szCs w:val="14"/>
                <w:b w:val="1"/>
                <w:bCs w:val="1"/>
                <w:color w:val="auto"/>
              </w:rPr>
              <w:t>FY 2024</w:t>
            </w:r>
          </w:p>
        </w:tc>
        <w:tc>
          <w:tcPr>
            <w:tcW w:w="0" w:type="dxa"/>
            <w:vAlign w:val="bottom"/>
          </w:tcPr>
          <w:p>
            <w:pPr>
              <w:spacing w:after="0"/>
              <w:rPr>
                <w:sz w:val="1"/>
                <w:szCs w:val="1"/>
                <w:color w:val="auto"/>
              </w:rPr>
            </w:pPr>
          </w:p>
        </w:tc>
      </w:tr>
      <w:tr>
        <w:trPr>
          <w:trHeight w:val="131"/>
        </w:trPr>
        <w:tc>
          <w:tcPr>
            <w:tcW w:w="1580" w:type="dxa"/>
            <w:vAlign w:val="bottom"/>
            <w:tcBorders>
              <w:top w:val="single" w:sz="8" w:color="CCEEFF"/>
            </w:tcBorders>
            <w:shd w:val="clear" w:color="auto" w:fill="CCEEFF"/>
          </w:tcPr>
          <w:p>
            <w:pPr>
              <w:ind w:left="20"/>
              <w:spacing w:after="0" w:line="131" w:lineRule="exact"/>
              <w:rPr>
                <w:sz w:val="20"/>
                <w:szCs w:val="20"/>
                <w:color w:val="auto"/>
              </w:rPr>
            </w:pPr>
            <w:r>
              <w:rPr>
                <w:rFonts w:ascii="Arial" w:cs="Arial" w:eastAsia="Arial" w:hAnsi="Arial"/>
                <w:sz w:val="14"/>
                <w:szCs w:val="14"/>
                <w:color w:val="auto"/>
              </w:rPr>
              <w:t>Cash flow from</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157,474</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center"/>
              <w:ind w:right="8"/>
              <w:spacing w:after="0"/>
              <w:rPr>
                <w:sz w:val="20"/>
                <w:szCs w:val="20"/>
                <w:color w:val="auto"/>
              </w:rPr>
            </w:pPr>
            <w:r>
              <w:rPr>
                <w:rFonts w:ascii="Arial" w:cs="Arial" w:eastAsia="Arial" w:hAnsi="Arial"/>
                <w:sz w:val="14"/>
                <w:szCs w:val="14"/>
                <w:color w:val="auto"/>
              </w:rPr>
              <w:t>212,340</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424,245</w:t>
            </w:r>
          </w:p>
        </w:tc>
        <w:tc>
          <w:tcPr>
            <w:tcW w:w="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543,946</w:t>
            </w:r>
          </w:p>
        </w:tc>
        <w:tc>
          <w:tcPr>
            <w:tcW w:w="2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top w:val="single" w:sz="8" w:color="auto"/>
            </w:tcBorders>
            <w:vMerge w:val="restart"/>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1,338,005</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center"/>
              <w:spacing w:after="0"/>
              <w:rPr>
                <w:sz w:val="20"/>
                <w:szCs w:val="20"/>
                <w:color w:val="auto"/>
              </w:rPr>
            </w:pPr>
            <w:r>
              <w:rPr>
                <w:rFonts w:ascii="Arial" w:cs="Arial" w:eastAsia="Arial" w:hAnsi="Arial"/>
                <w:sz w:val="14"/>
                <w:szCs w:val="14"/>
                <w:color w:val="auto"/>
              </w:rPr>
              <w:t>146,456</w:t>
            </w:r>
          </w:p>
        </w:tc>
        <w:tc>
          <w:tcPr>
            <w:tcW w:w="2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149,181</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353,244</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438,952</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vMerge w:val="restart"/>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1,087,833</w:t>
            </w:r>
          </w:p>
        </w:tc>
        <w:tc>
          <w:tcPr>
            <w:tcW w:w="0" w:type="dxa"/>
            <w:vAlign w:val="bottom"/>
          </w:tcPr>
          <w:p>
            <w:pPr>
              <w:spacing w:after="0"/>
              <w:rPr>
                <w:sz w:val="1"/>
                <w:szCs w:val="1"/>
                <w:color w:val="auto"/>
              </w:rPr>
            </w:pPr>
          </w:p>
        </w:tc>
      </w:tr>
      <w:tr>
        <w:trPr>
          <w:trHeight w:val="201"/>
        </w:trPr>
        <w:tc>
          <w:tcPr>
            <w:tcW w:w="1580" w:type="dxa"/>
            <w:vAlign w:val="bottom"/>
            <w:shd w:val="clear" w:color="auto" w:fill="CCEEFF"/>
          </w:tcPr>
          <w:p>
            <w:pPr>
              <w:ind w:left="20"/>
              <w:spacing w:after="0" w:line="201" w:lineRule="exact"/>
              <w:rPr>
                <w:sz w:val="20"/>
                <w:szCs w:val="20"/>
                <w:color w:val="auto"/>
              </w:rPr>
            </w:pPr>
            <w:r>
              <w:rPr>
                <w:rFonts w:ascii="Arial" w:cs="Arial" w:eastAsia="Arial" w:hAnsi="Arial"/>
                <w:sz w:val="14"/>
                <w:szCs w:val="14"/>
                <w:color w:val="auto"/>
              </w:rPr>
              <w:t xml:space="preserve">operating activities </w:t>
            </w:r>
            <w:r>
              <w:rPr>
                <w:rFonts w:ascii="Arial" w:cs="Arial" w:eastAsia="Arial" w:hAnsi="Arial"/>
                <w:sz w:val="18"/>
                <w:szCs w:val="18"/>
                <w:color w:val="auto"/>
                <w:vertAlign w:val="superscript"/>
              </w:rPr>
              <w:t>1</w:t>
            </w:r>
          </w:p>
        </w:tc>
        <w:tc>
          <w:tcPr>
            <w:tcW w:w="16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22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580" w:type="dxa"/>
            <w:vAlign w:val="bottom"/>
          </w:tcPr>
          <w:p>
            <w:pPr>
              <w:ind w:left="20"/>
              <w:spacing w:after="0" w:line="153" w:lineRule="exact"/>
              <w:rPr>
                <w:sz w:val="20"/>
                <w:szCs w:val="20"/>
                <w:color w:val="auto"/>
              </w:rPr>
            </w:pPr>
            <w:r>
              <w:rPr>
                <w:rFonts w:ascii="Arial" w:cs="Arial" w:eastAsia="Arial" w:hAnsi="Arial"/>
                <w:sz w:val="14"/>
                <w:szCs w:val="14"/>
                <w:color w:val="auto"/>
              </w:rPr>
              <w:t>Less: Capital</w:t>
            </w:r>
          </w:p>
        </w:tc>
        <w:tc>
          <w:tcPr>
            <w:tcW w:w="16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(48,192)</w:t>
            </w:r>
          </w:p>
        </w:tc>
        <w:tc>
          <w:tcPr>
            <w:tcW w:w="22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(60,932)</w:t>
            </w:r>
          </w:p>
        </w:tc>
        <w:tc>
          <w:tcPr>
            <w:tcW w:w="22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(54,150)</w:t>
            </w:r>
          </w:p>
        </w:tc>
        <w:tc>
          <w:tcPr>
            <w:tcW w:w="24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(56,989)</w:t>
            </w:r>
          </w:p>
        </w:tc>
        <w:tc>
          <w:tcPr>
            <w:tcW w:w="240" w:type="dxa"/>
            <w:vAlign w:val="bottom"/>
          </w:tcPr>
          <w:p>
            <w:pPr>
              <w:spacing w:after="0"/>
              <w:rPr>
                <w:sz w:val="13"/>
                <w:szCs w:val="13"/>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(220,263)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(40,050)</w:t>
            </w:r>
          </w:p>
        </w:tc>
        <w:tc>
          <w:tcPr>
            <w:tcW w:w="240" w:type="dxa"/>
            <w:vAlign w:val="bottom"/>
          </w:tcPr>
          <w:p>
            <w:pPr>
              <w:spacing w:after="0"/>
              <w:rPr>
                <w:sz w:val="13"/>
                <w:szCs w:val="13"/>
                <w:color w:val="auto"/>
              </w:rPr>
            </w:pPr>
          </w:p>
        </w:tc>
        <w:tc>
          <w:tcPr>
            <w:tcW w:w="700" w:type="dxa"/>
            <w:vAlign w:val="bottom"/>
            <w:vMerge w:val="restart"/>
          </w:tcPr>
          <w:p>
            <w:pPr>
              <w:jc w:val="right"/>
              <w:ind w:right="8"/>
              <w:spacing w:after="0"/>
              <w:rPr>
                <w:sz w:val="20"/>
                <w:szCs w:val="20"/>
                <w:color w:val="auto"/>
              </w:rPr>
            </w:pPr>
            <w:r>
              <w:rPr>
                <w:rFonts w:ascii="Arial" w:cs="Arial" w:eastAsia="Arial" w:hAnsi="Arial"/>
                <w:sz w:val="14"/>
                <w:szCs w:val="14"/>
                <w:color w:val="auto"/>
              </w:rPr>
              <w:t>(35,822)</w:t>
            </w:r>
          </w:p>
        </w:tc>
        <w:tc>
          <w:tcPr>
            <w:tcW w:w="220" w:type="dxa"/>
            <w:vAlign w:val="bottom"/>
          </w:tcPr>
          <w:p>
            <w:pPr>
              <w:spacing w:after="0"/>
              <w:rPr>
                <w:sz w:val="13"/>
                <w:szCs w:val="13"/>
                <w:color w:val="auto"/>
              </w:rPr>
            </w:pPr>
          </w:p>
        </w:tc>
        <w:tc>
          <w:tcPr>
            <w:tcW w:w="720" w:type="dxa"/>
            <w:vAlign w:val="bottom"/>
            <w:vMerge w:val="restart"/>
          </w:tcPr>
          <w:p>
            <w:pPr>
              <w:jc w:val="right"/>
              <w:ind w:right="28"/>
              <w:spacing w:after="0"/>
              <w:rPr>
                <w:sz w:val="20"/>
                <w:szCs w:val="20"/>
                <w:color w:val="auto"/>
              </w:rPr>
            </w:pPr>
            <w:r>
              <w:rPr>
                <w:rFonts w:ascii="Arial" w:cs="Arial" w:eastAsia="Arial" w:hAnsi="Arial"/>
                <w:sz w:val="14"/>
                <w:szCs w:val="14"/>
                <w:color w:val="auto"/>
              </w:rPr>
              <w:t>(37,754)</w:t>
            </w:r>
          </w:p>
        </w:tc>
        <w:tc>
          <w:tcPr>
            <w:tcW w:w="220" w:type="dxa"/>
            <w:vAlign w:val="bottom"/>
          </w:tcPr>
          <w:p>
            <w:pPr>
              <w:spacing w:after="0"/>
              <w:rPr>
                <w:sz w:val="13"/>
                <w:szCs w:val="13"/>
                <w:color w:val="auto"/>
              </w:rPr>
            </w:pPr>
          </w:p>
        </w:tc>
        <w:tc>
          <w:tcPr>
            <w:tcW w:w="720" w:type="dxa"/>
            <w:vAlign w:val="bottom"/>
            <w:vMerge w:val="restart"/>
          </w:tcPr>
          <w:p>
            <w:pPr>
              <w:jc w:val="right"/>
              <w:ind w:right="8"/>
              <w:spacing w:after="0"/>
              <w:rPr>
                <w:sz w:val="20"/>
                <w:szCs w:val="20"/>
                <w:color w:val="auto"/>
              </w:rPr>
            </w:pPr>
            <w:r>
              <w:rPr>
                <w:rFonts w:ascii="Arial" w:cs="Arial" w:eastAsia="Arial" w:hAnsi="Arial"/>
                <w:sz w:val="14"/>
                <w:szCs w:val="14"/>
                <w:color w:val="auto"/>
              </w:rPr>
              <w:t>(53,907)</w:t>
            </w:r>
          </w:p>
        </w:tc>
        <w:tc>
          <w:tcPr>
            <w:tcW w:w="220" w:type="dxa"/>
            <w:vAlign w:val="bottom"/>
          </w:tcPr>
          <w:p>
            <w:pPr>
              <w:spacing w:after="0"/>
              <w:rPr>
                <w:sz w:val="13"/>
                <w:szCs w:val="13"/>
                <w:color w:val="auto"/>
              </w:rPr>
            </w:pPr>
          </w:p>
        </w:tc>
        <w:tc>
          <w:tcPr>
            <w:tcW w:w="88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(167,533)</w:t>
            </w:r>
          </w:p>
        </w:tc>
        <w:tc>
          <w:tcPr>
            <w:tcW w:w="0" w:type="dxa"/>
            <w:vAlign w:val="bottom"/>
          </w:tcPr>
          <w:p>
            <w:pPr>
              <w:spacing w:after="0"/>
              <w:rPr>
                <w:sz w:val="1"/>
                <w:szCs w:val="1"/>
                <w:color w:val="auto"/>
              </w:rPr>
            </w:pPr>
          </w:p>
        </w:tc>
      </w:tr>
      <w:tr>
        <w:trPr>
          <w:trHeight w:val="185"/>
        </w:trPr>
        <w:tc>
          <w:tcPr>
            <w:tcW w:w="1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expenditures</w:t>
            </w: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109,282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center"/>
              <w:ind w:right="8"/>
              <w:spacing w:after="0"/>
              <w:rPr>
                <w:sz w:val="20"/>
                <w:szCs w:val="20"/>
                <w:color w:val="auto"/>
              </w:rPr>
            </w:pPr>
            <w:r>
              <w:rPr>
                <w:rFonts w:ascii="Arial" w:cs="Arial" w:eastAsia="Arial" w:hAnsi="Arial"/>
                <w:sz w:val="14"/>
                <w:szCs w:val="14"/>
                <w:color w:val="auto"/>
              </w:rPr>
              <w:t>151,408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370,095</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486,957</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b w:val="1"/>
                <w:bCs w:val="1"/>
                <w:color w:val="auto"/>
              </w:rPr>
              <w:t>1,117,742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106,406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113,359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315,490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385,045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b w:val="1"/>
                <w:bCs w:val="1"/>
                <w:color w:val="auto"/>
              </w:rPr>
              <w:t>920,300</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3086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39" w:lineRule="exact"/>
        <w:rPr>
          <w:sz w:val="20"/>
          <w:szCs w:val="20"/>
          <w:color w:val="auto"/>
        </w:rPr>
      </w:pPr>
    </w:p>
    <w:p>
      <w:pPr>
        <w:ind w:left="20"/>
        <w:spacing w:after="0" w:line="243" w:lineRule="auto"/>
        <w:rPr>
          <w:sz w:val="20"/>
          <w:szCs w:val="20"/>
          <w:color w:val="auto"/>
        </w:rPr>
      </w:pPr>
      <w:r>
        <w:rPr>
          <w:rFonts w:ascii="Arial" w:cs="Arial" w:eastAsia="Arial" w:hAnsi="Arial"/>
          <w:sz w:val="14"/>
          <w:szCs w:val="14"/>
          <w:color w:val="auto"/>
        </w:rPr>
        <w:t>Cash flow from operating activities as a percentage of revenue</w:t>
      </w:r>
    </w:p>
    <w:p>
      <w:pPr>
        <w:spacing w:after="0" w:line="159" w:lineRule="exact"/>
        <w:rPr>
          <w:sz w:val="20"/>
          <w:szCs w:val="20"/>
          <w:color w:val="auto"/>
        </w:rPr>
      </w:pPr>
    </w:p>
    <w:p>
      <w:pPr>
        <w:ind w:left="20"/>
        <w:spacing w:after="0" w:line="231" w:lineRule="auto"/>
        <w:rPr>
          <w:sz w:val="20"/>
          <w:szCs w:val="20"/>
          <w:color w:val="auto"/>
        </w:rPr>
      </w:pPr>
      <w:r>
        <w:rPr>
          <w:rFonts w:ascii="Arial" w:cs="Arial" w:eastAsia="Arial" w:hAnsi="Arial"/>
          <w:sz w:val="14"/>
          <w:szCs w:val="14"/>
          <w:color w:val="auto"/>
        </w:rPr>
        <w:t>Cash flow from operating activities as a</w:t>
      </w:r>
    </w:p>
    <w:p>
      <w:pPr>
        <w:spacing w:after="0" w:line="1" w:lineRule="exact"/>
        <w:rPr>
          <w:sz w:val="20"/>
          <w:szCs w:val="20"/>
          <w:color w:val="auto"/>
        </w:rPr>
      </w:pPr>
    </w:p>
    <w:p>
      <w:pPr>
        <w:ind w:left="20" w:right="40"/>
        <w:spacing w:after="0" w:line="211" w:lineRule="auto"/>
        <w:rPr>
          <w:sz w:val="20"/>
          <w:szCs w:val="20"/>
          <w:color w:val="auto"/>
        </w:rPr>
      </w:pPr>
      <w:r>
        <w:rPr>
          <w:rFonts w:ascii="Arial" w:cs="Arial" w:eastAsia="Arial" w:hAnsi="Arial"/>
          <w:sz w:val="14"/>
          <w:szCs w:val="14"/>
          <w:color w:val="auto"/>
        </w:rPr>
        <w:t>percentage of adjusted earnings from</w:t>
      </w:r>
    </w:p>
    <w:p>
      <w:pPr>
        <w:ind w:left="20"/>
        <w:spacing w:after="0"/>
        <w:rPr>
          <w:sz w:val="20"/>
          <w:szCs w:val="20"/>
          <w:color w:val="auto"/>
        </w:rPr>
      </w:pPr>
      <w:r>
        <w:rPr>
          <w:rFonts w:ascii="Arial" w:cs="Arial" w:eastAsia="Arial" w:hAnsi="Arial"/>
          <w:sz w:val="14"/>
          <w:szCs w:val="14"/>
          <w:color w:val="auto"/>
        </w:rPr>
        <w:t>continuing operations</w:t>
      </w:r>
    </w:p>
    <w:p>
      <w:pPr>
        <w:spacing w:after="0" w:line="176" w:lineRule="exact"/>
        <w:rPr>
          <w:sz w:val="20"/>
          <w:szCs w:val="20"/>
          <w:color w:val="auto"/>
        </w:rPr>
      </w:pPr>
    </w:p>
    <w:p>
      <w:pPr>
        <w:ind w:left="20" w:right="60"/>
        <w:spacing w:after="0" w:line="264" w:lineRule="auto"/>
        <w:rPr>
          <w:sz w:val="20"/>
          <w:szCs w:val="20"/>
          <w:color w:val="auto"/>
        </w:rPr>
      </w:pPr>
      <w:r>
        <w:rPr>
          <w:rFonts w:ascii="Arial" w:cs="Arial" w:eastAsia="Arial" w:hAnsi="Arial"/>
          <w:sz w:val="14"/>
          <w:szCs w:val="14"/>
          <w:color w:val="auto"/>
        </w:rPr>
        <w:t>Free cash flow as a percentage of revenue</w:t>
      </w:r>
    </w:p>
    <w:p>
      <w:pPr>
        <w:spacing w:after="0" w:line="145" w:lineRule="exact"/>
        <w:rPr>
          <w:sz w:val="20"/>
          <w:szCs w:val="20"/>
          <w:color w:val="auto"/>
        </w:rPr>
      </w:pPr>
    </w:p>
    <w:p>
      <w:pPr>
        <w:ind w:left="20" w:right="40"/>
        <w:spacing w:after="0" w:line="231" w:lineRule="auto"/>
        <w:rPr>
          <w:sz w:val="20"/>
          <w:szCs w:val="20"/>
          <w:color w:val="auto"/>
        </w:rPr>
      </w:pPr>
      <w:r>
        <w:rPr>
          <w:rFonts w:ascii="Arial" w:cs="Arial" w:eastAsia="Arial" w:hAnsi="Arial"/>
          <w:sz w:val="14"/>
          <w:szCs w:val="14"/>
          <w:color w:val="auto"/>
        </w:rPr>
        <w:t>Free cash flow as a percentage of adjusted</w:t>
      </w:r>
    </w:p>
    <w:p>
      <w:pPr>
        <w:spacing w:after="0" w:line="1" w:lineRule="exact"/>
        <w:rPr>
          <w:sz w:val="20"/>
          <w:szCs w:val="20"/>
          <w:color w:val="auto"/>
        </w:rPr>
      </w:pPr>
    </w:p>
    <w:p>
      <w:pPr>
        <w:ind w:left="20" w:right="120"/>
        <w:spacing w:after="0" w:line="231" w:lineRule="auto"/>
        <w:rPr>
          <w:sz w:val="20"/>
          <w:szCs w:val="20"/>
          <w:color w:val="auto"/>
        </w:rPr>
      </w:pPr>
      <w:r>
        <w:rPr>
          <w:rFonts w:ascii="Arial" w:cs="Arial" w:eastAsia="Arial" w:hAnsi="Arial"/>
          <w:sz w:val="14"/>
          <w:szCs w:val="14"/>
          <w:color w:val="auto"/>
        </w:rPr>
        <w:t>earnings from continuing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8.4 %</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10.4 %</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20.4 %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25.9 %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16.5 %</w:t>
            </w:r>
          </w:p>
        </w:tc>
      </w:tr>
      <w:tr>
        <w:trPr>
          <w:trHeight w:val="931"/>
        </w:trPr>
        <w:tc>
          <w:tcPr>
            <w:tcW w:w="680" w:type="dxa"/>
            <w:vAlign w:val="bottom"/>
          </w:tcPr>
          <w:p>
            <w:pPr>
              <w:jc w:val="right"/>
              <w:ind w:right="168"/>
              <w:spacing w:after="0"/>
              <w:rPr>
                <w:sz w:val="20"/>
                <w:szCs w:val="20"/>
                <w:color w:val="auto"/>
              </w:rPr>
            </w:pPr>
            <w:r>
              <w:rPr>
                <w:rFonts w:ascii="Arial" w:cs="Arial" w:eastAsia="Arial" w:hAnsi="Arial"/>
                <w:sz w:val="14"/>
                <w:szCs w:val="14"/>
                <w:color w:val="auto"/>
                <w:w w:val="96"/>
              </w:rPr>
              <w:t>55.6 %</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63.1 %</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117.4 %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158.4 %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101.0 %</w:t>
            </w:r>
          </w:p>
        </w:tc>
      </w:tr>
      <w:tr>
        <w:trPr>
          <w:trHeight w:val="500"/>
        </w:trPr>
        <w:tc>
          <w:tcPr>
            <w:tcW w:w="680" w:type="dxa"/>
            <w:vAlign w:val="bottom"/>
          </w:tcPr>
          <w:p>
            <w:pPr>
              <w:jc w:val="right"/>
              <w:ind w:right="168"/>
              <w:spacing w:after="0"/>
              <w:rPr>
                <w:sz w:val="20"/>
                <w:szCs w:val="20"/>
                <w:color w:val="auto"/>
              </w:rPr>
            </w:pPr>
            <w:r>
              <w:rPr>
                <w:rFonts w:ascii="Arial" w:cs="Arial" w:eastAsia="Arial" w:hAnsi="Arial"/>
                <w:sz w:val="14"/>
                <w:szCs w:val="14"/>
                <w:color w:val="auto"/>
              </w:rPr>
              <w:t>5.9 %</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7.4 %</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17.8 %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23.2 %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13.8 %</w:t>
            </w:r>
          </w:p>
        </w:tc>
      </w:tr>
      <w:tr>
        <w:trPr>
          <w:trHeight w:val="797"/>
        </w:trPr>
        <w:tc>
          <w:tcPr>
            <w:tcW w:w="680" w:type="dxa"/>
            <w:vAlign w:val="bottom"/>
          </w:tcPr>
          <w:p>
            <w:pPr>
              <w:jc w:val="right"/>
              <w:ind w:right="168"/>
              <w:spacing w:after="0"/>
              <w:rPr>
                <w:sz w:val="20"/>
                <w:szCs w:val="20"/>
                <w:color w:val="auto"/>
              </w:rPr>
            </w:pPr>
            <w:r>
              <w:rPr>
                <w:rFonts w:ascii="Arial" w:cs="Arial" w:eastAsia="Arial" w:hAnsi="Arial"/>
                <w:sz w:val="14"/>
                <w:szCs w:val="14"/>
                <w:color w:val="auto"/>
                <w:w w:val="96"/>
              </w:rPr>
              <w:t>38.6 %</w:t>
            </w:r>
          </w:p>
        </w:tc>
        <w:tc>
          <w:tcPr>
            <w:tcW w:w="900" w:type="dxa"/>
            <w:vAlign w:val="bottom"/>
          </w:tcPr>
          <w:p>
            <w:pPr>
              <w:jc w:val="right"/>
              <w:ind w:right="128"/>
              <w:spacing w:after="0"/>
              <w:rPr>
                <w:sz w:val="20"/>
                <w:szCs w:val="20"/>
                <w:color w:val="auto"/>
              </w:rPr>
            </w:pPr>
            <w:r>
              <w:rPr>
                <w:rFonts w:ascii="Arial" w:cs="Arial" w:eastAsia="Arial" w:hAnsi="Arial"/>
                <w:sz w:val="14"/>
                <w:szCs w:val="14"/>
                <w:color w:val="auto"/>
              </w:rPr>
              <w:t>45.0 %</w:t>
            </w:r>
          </w:p>
        </w:tc>
        <w:tc>
          <w:tcPr>
            <w:tcW w:w="940" w:type="dxa"/>
            <w:vAlign w:val="bottom"/>
          </w:tcPr>
          <w:p>
            <w:pPr>
              <w:jc w:val="right"/>
              <w:ind w:right="128"/>
              <w:spacing w:after="0"/>
              <w:rPr>
                <w:sz w:val="20"/>
                <w:szCs w:val="20"/>
                <w:color w:val="auto"/>
              </w:rPr>
            </w:pPr>
            <w:r>
              <w:rPr>
                <w:rFonts w:ascii="Arial" w:cs="Arial" w:eastAsia="Arial" w:hAnsi="Arial"/>
                <w:sz w:val="14"/>
                <w:szCs w:val="14"/>
                <w:color w:val="auto"/>
              </w:rPr>
              <w:t>102.4 %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141.8 %</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84.4 %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-1310005</wp:posOffset>
            </wp:positionV>
            <wp:extent cx="7132320" cy="4889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48895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-718185</wp:posOffset>
            </wp:positionV>
            <wp:extent cx="7132320" cy="2146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14630"/>
                    </a:xfrm>
                    <a:prstGeom prst="rect">
                      <a:avLst/>
                    </a:prstGeom>
                    <a:noFill/>
                  </pic:spPr>
                </pic:pic>
              </a:graphicData>
            </a:graphic>
          </wp:anchor>
        </w:drawing>
        <w:drawing>
          <wp:anchor simplePos="0" relativeHeight="251657728" behindDoc="1" locked="0" layoutInCell="0" allowOverlap="1">
            <wp:simplePos x="0" y="0"/>
            <wp:positionH relativeFrom="column">
              <wp:posOffset>-1289685</wp:posOffset>
            </wp:positionH>
            <wp:positionV relativeFrom="paragraph">
              <wp:posOffset>-401320</wp:posOffset>
            </wp:positionV>
            <wp:extent cx="7132320" cy="402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7.8 %</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7.7 %</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17.8 %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22.7 %</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14.0 %</w:t>
            </w:r>
          </w:p>
        </w:tc>
      </w:tr>
      <w:tr>
        <w:trPr>
          <w:trHeight w:val="931"/>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60.8 %</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51.3 %</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112.5 %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144.1 %</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94.6 %</w:t>
            </w:r>
          </w:p>
        </w:tc>
      </w:tr>
      <w:tr>
        <w:trPr>
          <w:trHeight w:val="500"/>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5.6 %</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5.8 %</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15.9 %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20.0 %</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11.9 %</w:t>
            </w:r>
          </w:p>
        </w:tc>
      </w:tr>
      <w:tr>
        <w:trPr>
          <w:trHeight w:val="797"/>
        </w:trPr>
        <w:tc>
          <w:tcPr>
            <w:tcW w:w="700" w:type="dxa"/>
            <w:vAlign w:val="bottom"/>
          </w:tcPr>
          <w:p>
            <w:pPr>
              <w:jc w:val="right"/>
              <w:ind w:right="168"/>
              <w:spacing w:after="0"/>
              <w:rPr>
                <w:sz w:val="20"/>
                <w:szCs w:val="20"/>
                <w:color w:val="auto"/>
              </w:rPr>
            </w:pPr>
            <w:r>
              <w:rPr>
                <w:rFonts w:ascii="Arial" w:cs="Arial" w:eastAsia="Arial" w:hAnsi="Arial"/>
                <w:sz w:val="14"/>
                <w:szCs w:val="14"/>
                <w:color w:val="auto"/>
              </w:rPr>
              <w:t>44.2 %</w:t>
            </w:r>
          </w:p>
        </w:tc>
        <w:tc>
          <w:tcPr>
            <w:tcW w:w="880" w:type="dxa"/>
            <w:vAlign w:val="bottom"/>
          </w:tcPr>
          <w:p>
            <w:pPr>
              <w:jc w:val="right"/>
              <w:ind w:right="128"/>
              <w:spacing w:after="0"/>
              <w:rPr>
                <w:sz w:val="20"/>
                <w:szCs w:val="20"/>
                <w:color w:val="auto"/>
              </w:rPr>
            </w:pPr>
            <w:r>
              <w:rPr>
                <w:rFonts w:ascii="Arial" w:cs="Arial" w:eastAsia="Arial" w:hAnsi="Arial"/>
                <w:sz w:val="14"/>
                <w:szCs w:val="14"/>
                <w:color w:val="auto"/>
              </w:rPr>
              <w:t>39.0 %</w:t>
            </w:r>
          </w:p>
        </w:tc>
        <w:tc>
          <w:tcPr>
            <w:tcW w:w="960" w:type="dxa"/>
            <w:vAlign w:val="bottom"/>
          </w:tcPr>
          <w:p>
            <w:pPr>
              <w:jc w:val="right"/>
              <w:ind w:right="148"/>
              <w:spacing w:after="0"/>
              <w:rPr>
                <w:sz w:val="20"/>
                <w:szCs w:val="20"/>
                <w:color w:val="auto"/>
              </w:rPr>
            </w:pPr>
            <w:r>
              <w:rPr>
                <w:rFonts w:ascii="Arial" w:cs="Arial" w:eastAsia="Arial" w:hAnsi="Arial"/>
                <w:sz w:val="14"/>
                <w:szCs w:val="14"/>
                <w:color w:val="auto"/>
              </w:rPr>
              <w:t>100.5 %</w:t>
            </w:r>
          </w:p>
        </w:tc>
        <w:tc>
          <w:tcPr>
            <w:tcW w:w="1020" w:type="dxa"/>
            <w:vAlign w:val="bottom"/>
          </w:tcPr>
          <w:p>
            <w:pPr>
              <w:jc w:val="right"/>
              <w:ind w:right="208"/>
              <w:spacing w:after="0"/>
              <w:rPr>
                <w:sz w:val="20"/>
                <w:szCs w:val="20"/>
                <w:color w:val="auto"/>
              </w:rPr>
            </w:pPr>
            <w:r>
              <w:rPr>
                <w:rFonts w:ascii="Arial" w:cs="Arial" w:eastAsia="Arial" w:hAnsi="Arial"/>
                <w:sz w:val="14"/>
                <w:szCs w:val="14"/>
                <w:color w:val="auto"/>
              </w:rPr>
              <w:t>126.4 %</w:t>
            </w: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80.0 %</w:t>
            </w:r>
          </w:p>
        </w:tc>
      </w:tr>
    </w:tbl>
    <w:p>
      <w:pPr>
        <w:spacing w:after="0" w:line="6" w:lineRule="exact"/>
        <w:rPr>
          <w:sz w:val="20"/>
          <w:szCs w:val="20"/>
          <w:color w:val="auto"/>
        </w:rPr>
      </w:pPr>
    </w:p>
    <w:p>
      <w:pPr>
        <w:sectPr>
          <w:pgSz w:w="11900" w:h="16838" w:orient="portrait"/>
          <w:cols w:equalWidth="0" w:num="3">
            <w:col w:w="1520" w:space="520"/>
            <w:col w:w="4340" w:space="540"/>
            <w:col w:w="4320"/>
          </w:cols>
          <w:pgMar w:left="320" w:top="122" w:right="339" w:bottom="1440" w:gutter="0" w:footer="0" w:header="0"/>
          <w:type w:val="continuous"/>
        </w:sectPr>
      </w:pPr>
    </w:p>
    <w:p>
      <w:pPr>
        <w:ind w:left="20" w:right="260" w:firstLine="6"/>
        <w:spacing w:after="0" w:line="264" w:lineRule="auto"/>
        <w:tabs>
          <w:tab w:leader="none" w:pos="112" w:val="left"/>
        </w:tabs>
        <w:numPr>
          <w:ilvl w:val="0"/>
          <w:numId w:val="20"/>
        </w:numPr>
        <w:rPr>
          <w:rFonts w:ascii="Arial" w:cs="Arial" w:eastAsia="Arial" w:hAnsi="Arial"/>
          <w:sz w:val="9"/>
          <w:szCs w:val="9"/>
          <w:color w:val="auto"/>
        </w:rPr>
      </w:pPr>
      <w:r>
        <w:rPr>
          <w:rFonts w:ascii="Arial" w:cs="Arial" w:eastAsia="Arial" w:hAnsi="Arial"/>
          <w:sz w:val="14"/>
          <w:szCs w:val="14"/>
          <w:color w:val="auto"/>
        </w:rPr>
        <w:t>Q2, Q3, Q4 and FY 2024 include income tax payments of $56.0 million, $24.0 million, $23.4 million and $103.4 million, respectively, related to the gain on the disposition of De-Sta-Co. Q4 and FY 2024 also include income tax payments of $20.4 million related to the sale of a minority owned equity method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- 12</w:t>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Non-GAAP Measures Definitions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 effort to provide investors with additional information regarding our results as determined by GAAP, management also discloses non-GAAP information that management believes provides useful information to investors. Adjusted earnings from continuing operations, adjusted diluted earnings per share from continuing operations, total segment earnings, total segment earnings margin, adjusted segment EBITDA, adjusted segment EBITDA margin, free cash flow, free cash flow as a percentage of revenue, free cash flow as a percentage of adjusted earnings from continuing operations, net debt, net capitalization, net debt to net capitalization ratio, and organic revenue growth are not financial measures under GAAP and should not be considered as a substitute for earnings from continuing operations, diluted earnings from continuing operations per share, cash flows from operating activities, or revenue as determined in accordance with GAAP, and they may not be comparable to similarly titled measures reported by other companies.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items described in our definitions herein, unless otherwise noted, relate solely to our continuing operations.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Adjusted earnings from continuing operations represents earnings from continuing operations adjusted for the effect of purchase accounting expenses, restructuring and other costs/benefits and gain/loss on dispositions. Purchase accounting expenses are primarily comprised of amortization of intangible assets. We exclude after-tax purchase accounting expenses because the amount and timing of such charges are significantly impacted by the timing, size, number and nature of the acquisitions the Company consummates. While we have a history of acquisition activity, our acquisitions do not happen in a predictive cycle. Exclusion of purchase accounting expenses facilitates more consistent comparisons of operating results over time. We believe it is important to understand that such intangible assets were recorded as part of purchase accounting and contribute to revenue generation. We exclude the other items because they occur for reasons that may be unrelated to the Company's commercial performance during the period and/or management believes they are not indicative of the Company's ongoing operating costs or gains in a given period.</w:t>
      </w:r>
    </w:p>
    <w:p>
      <w:pPr>
        <w:spacing w:after="0" w:line="20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diluted earnings per share from continuing operations or adjusted earnings per share from continuing operations represents diluted earnings per share from continuing operations adjusted for the effect of purchase accounting expenses, restructuring and other costs/benefits and gain/loss on disposition.</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segment earnings is defined as the sum of earnings before purchase accounting expenses, restructuring and other costs/benefits, gain/loss on dispositions, corporate expenses/other, interest expense, interest income and provision for income taxes for all segments. Total segment earnings margin is defined as total segment earnings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Adjusted segment EBITDA is defined as segment earnings plus other depreciation and amortization expense, which relates to property, plant, and equipment and intangibles, and excludes amounts related to purchase accounting expenses and restructuring and other costs/benefits. Adjusted segment EBITDA margin is defined as adjusted segment EBITDA divided by revenue.</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Management believes the non-GAAP measures above are useful to investors to better understand the Company’s ongoing profitability as they better reflect the Company's core operating results, offer more transparency and facilitate easier comparability to prior and future periods and to its peers.</w:t>
      </w:r>
    </w:p>
    <w:p>
      <w:pPr>
        <w:spacing w:after="0" w:line="1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debt represents total debt minus cash and cash equivalents. Net capitalization represents net debt plus stockholders' equity. Net debt to net capitalization ratio is net debt divided by net capitalization. Net debt to net capitalization is helpful in evaluating our capital structure and the amount of leverage we employ.</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Free cash flow represents net cash provided by operating activities minus capital expenditures. Free cash flow as a percentage of revenue equals free cash flow divided by revenue. Free cash flow as a percentage of adjusted earnings from continuing operations equals free cash flow divided by adjusted earnings from continuing operations. Management believes that free cash flow and free cash flow ratios are important measures of liquidity because they provide management and investors a measurement of cash generated from operations that is available for mandatory payment obligations and investment opportunities, such as funding acquisitions, paying dividends, repaying debt and repurchasing our common stock.</w:t>
      </w:r>
    </w:p>
    <w:p>
      <w:pPr>
        <w:spacing w:after="0" w:line="20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reporting organic revenue growth, which excludes the impact of foreign currency exchange rates and the impact of acquisitions and dispositions, provides a useful comparison of our revenue and trends between periods. We do not provide a reconciliation of forward-looking organic revenue to the most directly comparable GAAP financial measure pursuant to the exception provided in Item 10(e)</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(1)(i)(B) of Regulation S-K because we are not able to provide a meaningful or accurate compilation of reconciling items. This is due to the inherent difficulty in accurately</w:t>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IS - 13</w:t>
      </w:r>
    </w:p>
    <w:p>
      <w:pPr>
        <w:sectPr>
          <w:pgSz w:w="11900" w:h="16838" w:orient="portrait"/>
          <w:cols w:equalWidth="0" w:num="1">
            <w:col w:w="11240"/>
          </w:cols>
          <w:pgMar w:left="320" w:top="769" w:right="339" w:bottom="1440" w:gutter="0" w:footer="0" w:header="0"/>
          <w:type w:val="continuous"/>
        </w:sectPr>
      </w:pPr>
    </w:p>
    <w:bookmarkStart w:id="19" w:name="page20"/>
    <w:bookmarkEnd w:id="19"/>
    <w:p>
      <w:pPr>
        <w:jc w:val="both"/>
        <w:spacing w:after="0" w:line="268" w:lineRule="auto"/>
        <w:rPr>
          <w:sz w:val="20"/>
          <w:szCs w:val="20"/>
          <w:color w:val="auto"/>
        </w:rPr>
      </w:pPr>
      <w:r>
        <w:rPr>
          <w:rFonts w:ascii="Arial" w:cs="Arial" w:eastAsia="Arial" w:hAnsi="Arial"/>
          <w:sz w:val="18"/>
          <w:szCs w:val="18"/>
          <w:color w:val="auto"/>
        </w:rPr>
        <w:t>forecasting the timing and amounts of the items that would be excluded from the most directly comparable GAAP financial measure or are out of our control. For the same reasons, we are unable to address the probable significance of unavailable information which may be material.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Measures Definitions</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Bookings represent total orders received from customers in the current reporting period and exclude de-bookings related to orders received in prior periods, if any. This metric is an important measure of performance and an indicator of revenue order trends.</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use the above operational metric in monitoring the performance of the business. We believe the operational metric is useful to investors and other users of our financial information in assessing the performance of our segments.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 - 14</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Letter"/>
      <w:start w:val="4"/>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1"/>
      <w:numFmt w:val="bullet"/>
      <w:start w:val="1"/>
    </w:lvl>
  </w:abstractNum>
  <w:abstractNum w:abstractNumId="4">
    <w:nsid w:val="140E0F76"/>
    <w:multiLevelType w:val="hybridMultilevel"/>
    <w:lvl w:ilvl="0">
      <w:lvlJc w:val="left"/>
      <w:lvlText w:val="2"/>
      <w:numFmt w:val="bullet"/>
      <w:start w:val="1"/>
    </w:lvl>
  </w:abstractNum>
  <w:abstractNum w:abstractNumId="5">
    <w:nsid w:val="3352255A"/>
    <w:multiLevelType w:val="hybridMultilevel"/>
    <w:lvl w:ilvl="0">
      <w:lvlJc w:val="left"/>
      <w:lvlText w:val="3"/>
      <w:numFmt w:val="bullet"/>
      <w:start w:val="1"/>
    </w:lvl>
  </w:abstractNum>
  <w:abstractNum w:abstractNumId="6">
    <w:nsid w:val="109CF92E"/>
    <w:multiLevelType w:val="hybridMultilevel"/>
    <w:lvl w:ilvl="0">
      <w:lvlJc w:val="left"/>
      <w:lvlText w:val="4"/>
      <w:numFmt w:val="bullet"/>
      <w:start w:val="1"/>
    </w:lvl>
  </w:abstractNum>
  <w:abstractNum w:abstractNumId="7">
    <w:nsid w:val="DED7263"/>
    <w:multiLevelType w:val="hybridMultilevel"/>
    <w:lvl w:ilvl="0">
      <w:lvlJc w:val="left"/>
      <w:lvlText w:val="1"/>
      <w:numFmt w:val="bullet"/>
      <w:start w:val="1"/>
    </w:lvl>
  </w:abstractNum>
  <w:abstractNum w:abstractNumId="8">
    <w:nsid w:val="7FDCC233"/>
    <w:multiLevelType w:val="hybridMultilevel"/>
    <w:lvl w:ilvl="0">
      <w:lvlJc w:val="left"/>
      <w:lvlText w:val="1"/>
      <w:numFmt w:val="bullet"/>
      <w:start w:val="1"/>
    </w:lvl>
  </w:abstractNum>
  <w:abstractNum w:abstractNumId="9">
    <w:nsid w:val="1BEFD79F"/>
    <w:multiLevelType w:val="hybridMultilevel"/>
    <w:lvl w:ilvl="0">
      <w:lvlJc w:val="left"/>
      <w:lvlText w:val="2"/>
      <w:numFmt w:val="bullet"/>
      <w:start w:val="1"/>
    </w:lvl>
  </w:abstractNum>
  <w:abstractNum w:abstractNumId="10">
    <w:nsid w:val="41A7C4C9"/>
    <w:multiLevelType w:val="hybridMultilevel"/>
    <w:lvl w:ilvl="0">
      <w:lvlJc w:val="left"/>
      <w:lvlText w:val="3"/>
      <w:numFmt w:val="bullet"/>
      <w:start w:val="1"/>
    </w:lvl>
  </w:abstractNum>
  <w:abstractNum w:abstractNumId="11">
    <w:nsid w:val="6B68079A"/>
    <w:multiLevelType w:val="hybridMultilevel"/>
    <w:lvl w:ilvl="0">
      <w:lvlJc w:val="left"/>
      <w:lvlText w:val="4"/>
      <w:numFmt w:val="bullet"/>
      <w:start w:val="1"/>
    </w:lvl>
  </w:abstractNum>
  <w:abstractNum w:abstractNumId="12">
    <w:nsid w:val="4E6AFB66"/>
    <w:multiLevelType w:val="hybridMultilevel"/>
    <w:lvl w:ilvl="0">
      <w:lvlJc w:val="left"/>
      <w:lvlText w:val="1"/>
      <w:numFmt w:val="bullet"/>
      <w:start w:val="1"/>
    </w:lvl>
  </w:abstractNum>
  <w:abstractNum w:abstractNumId="13">
    <w:nsid w:val="25E45D32"/>
    <w:multiLevelType w:val="hybridMultilevel"/>
    <w:lvl w:ilvl="0">
      <w:lvlJc w:val="left"/>
      <w:lvlText w:val="2"/>
      <w:numFmt w:val="bullet"/>
      <w:start w:val="1"/>
    </w:lvl>
  </w:abstractNum>
  <w:abstractNum w:abstractNumId="14">
    <w:nsid w:val="519B500D"/>
    <w:multiLevelType w:val="hybridMultilevel"/>
    <w:lvl w:ilvl="0">
      <w:lvlJc w:val="left"/>
      <w:lvlText w:val="3"/>
      <w:numFmt w:val="bullet"/>
      <w:start w:val="1"/>
    </w:lvl>
  </w:abstractNum>
  <w:abstractNum w:abstractNumId="15">
    <w:nsid w:val="431BD7B7"/>
    <w:multiLevelType w:val="hybridMultilevel"/>
    <w:lvl w:ilvl="0">
      <w:lvlJc w:val="left"/>
      <w:lvlText w:val="2"/>
      <w:numFmt w:val="bullet"/>
      <w:start w:val="1"/>
    </w:lvl>
  </w:abstractNum>
  <w:abstractNum w:abstractNumId="16">
    <w:nsid w:val="3F2DBA31"/>
    <w:multiLevelType w:val="hybridMultilevel"/>
    <w:lvl w:ilvl="0">
      <w:lvlJc w:val="left"/>
      <w:lvlText w:val="3"/>
      <w:numFmt w:val="bullet"/>
      <w:start w:val="1"/>
    </w:lvl>
  </w:abstractNum>
  <w:abstractNum w:abstractNumId="17">
    <w:nsid w:val="7C83E458"/>
    <w:multiLevelType w:val="hybridMultilevel"/>
    <w:lvl w:ilvl="0">
      <w:lvlJc w:val="left"/>
      <w:lvlText w:val="4"/>
      <w:numFmt w:val="bullet"/>
      <w:start w:val="1"/>
    </w:lvl>
  </w:abstractNum>
  <w:abstractNum w:abstractNumId="18">
    <w:nsid w:val="257130A3"/>
    <w:multiLevelType w:val="hybridMultilevel"/>
    <w:lvl w:ilvl="0">
      <w:lvlJc w:val="left"/>
      <w:lvlText w:val="6"/>
      <w:numFmt w:val="bullet"/>
      <w:start w:val="1"/>
    </w:lvl>
  </w:abstractNum>
  <w:abstractNum w:abstractNumId="19">
    <w:nsid w:val="62BBD9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2026-01-29T06:08:22Z</dcterms:created>
  <dcterms:modified xsi:type="dcterms:W3CDTF">2026-01-29T06:08:22Z</dcterms:modified>
</cp:coreProperties>
</file>